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36" w:rsidRPr="00AE15DA" w:rsidRDefault="00580636" w:rsidP="0043334F">
      <w:pPr>
        <w:contextualSpacing/>
        <w:rPr>
          <w:rFonts w:cstheme="minorHAnsi"/>
          <w:color w:val="000000"/>
        </w:rPr>
      </w:pPr>
    </w:p>
    <w:p w:rsidR="007D5087" w:rsidRPr="00AE15DA" w:rsidRDefault="0046561A" w:rsidP="0043334F">
      <w:pPr>
        <w:pStyle w:val="Balk3"/>
        <w:pBdr>
          <w:bottom w:val="single" w:sz="6" w:space="1" w:color="auto"/>
        </w:pBdr>
        <w:spacing w:line="240" w:lineRule="auto"/>
        <w:contextualSpacing/>
        <w:jc w:val="both"/>
        <w:rPr>
          <w:rFonts w:asciiTheme="minorHAnsi" w:hAnsiTheme="minorHAnsi" w:cstheme="minorHAnsi"/>
          <w:color w:val="FF0000"/>
          <w:sz w:val="24"/>
          <w:szCs w:val="24"/>
          <w:u w:val="single"/>
        </w:rPr>
      </w:pPr>
      <w:r w:rsidRPr="0046561A">
        <w:rPr>
          <w:rFonts w:asciiTheme="minorHAnsi" w:hAnsiTheme="minorHAnsi" w:cstheme="minorHAnsi"/>
          <w:color w:val="FF0000"/>
          <w:sz w:val="24"/>
          <w:szCs w:val="24"/>
          <w:u w:val="single"/>
        </w:rPr>
        <w:t>CZAS DO ZATRZYMANIA – LEKI NIEZALECANE DO STOSOWANIA U OSÓB STARSZYCH</w:t>
      </w:r>
    </w:p>
    <w:p w:rsidR="0046561A" w:rsidRDefault="0046561A" w:rsidP="0043334F">
      <w:pPr>
        <w:contextualSpacing/>
        <w:rPr>
          <w:rFonts w:asciiTheme="minorHAnsi" w:hAnsiTheme="minorHAnsi" w:cstheme="minorHAnsi"/>
          <w:b/>
          <w:color w:val="FF0000"/>
        </w:rPr>
      </w:pPr>
      <w:r w:rsidRPr="0046561A">
        <w:rPr>
          <w:rFonts w:asciiTheme="minorHAnsi" w:hAnsiTheme="minorHAnsi" w:cstheme="minorHAnsi"/>
          <w:b/>
          <w:color w:val="FF0000"/>
        </w:rPr>
        <w:t>Stosowanie tej grupy leków w warunkach spełniających kryteria ma „wysoki” potencjał działań niepożądanych ze względu na lek-choroba, zespół lekowo-geriatryczny i/lub interakcję lek-lek u osób starszych i określa się je jak</w:t>
      </w:r>
      <w:r>
        <w:rPr>
          <w:rFonts w:asciiTheme="minorHAnsi" w:hAnsiTheme="minorHAnsi" w:cstheme="minorHAnsi"/>
          <w:b/>
          <w:color w:val="FF0000"/>
        </w:rPr>
        <w:t>o „potencjalnie nieodpowiednie”</w:t>
      </w:r>
      <w:r w:rsidRPr="0046561A">
        <w:rPr>
          <w:rFonts w:asciiTheme="minorHAnsi" w:hAnsiTheme="minorHAnsi" w:cstheme="minorHAnsi"/>
          <w:b/>
          <w:color w:val="FF0000"/>
        </w:rPr>
        <w:t xml:space="preserve"> używanie </w:t>
      </w:r>
      <w:r>
        <w:rPr>
          <w:rFonts w:asciiTheme="minorHAnsi" w:hAnsiTheme="minorHAnsi" w:cstheme="minorHAnsi"/>
          <w:b/>
          <w:color w:val="FF0000"/>
        </w:rPr>
        <w:t>lek</w:t>
      </w:r>
      <w:r w:rsidRPr="0046561A">
        <w:rPr>
          <w:rFonts w:asciiTheme="minorHAnsi" w:hAnsiTheme="minorHAnsi" w:cstheme="minorHAnsi"/>
          <w:b/>
          <w:color w:val="FF0000"/>
        </w:rPr>
        <w:t>ów".</w:t>
      </w:r>
    </w:p>
    <w:p w:rsidR="00580636" w:rsidRPr="00AE15DA" w:rsidRDefault="0046561A" w:rsidP="0043334F">
      <w:pPr>
        <w:contextualSpacing/>
        <w:rPr>
          <w:rFonts w:asciiTheme="minorHAnsi" w:hAnsiTheme="minorHAnsi" w:cstheme="minorHAnsi"/>
          <w:b/>
          <w:color w:val="FF0000"/>
        </w:rPr>
      </w:pPr>
      <w:r w:rsidRPr="0046561A">
        <w:rPr>
          <w:rFonts w:asciiTheme="minorHAnsi" w:hAnsiTheme="minorHAnsi" w:cstheme="minorHAnsi"/>
          <w:b/>
          <w:color w:val="FF0000"/>
        </w:rPr>
        <w:t>Klinicyści powinni podejmować decyzje, biorąc pod uwagę potencjalne korzyści i szkody leku u pacjenta z uwzględnieniem wszystkich cech pacjenta (równowaga korzyści i szkód) oraz celów leczenia określonych zgodnie z preferencjami pacjent</w:t>
      </w:r>
      <w:r>
        <w:rPr>
          <w:rFonts w:asciiTheme="minorHAnsi" w:hAnsiTheme="minorHAnsi" w:cstheme="minorHAnsi"/>
          <w:b/>
          <w:color w:val="FF0000"/>
        </w:rPr>
        <w:t>a/opiekuna</w:t>
      </w:r>
      <w:r w:rsidR="007D5087" w:rsidRPr="00AE15DA">
        <w:rPr>
          <w:rFonts w:asciiTheme="minorHAnsi" w:hAnsiTheme="minorHAnsi" w:cstheme="minorHAnsi"/>
          <w:b/>
          <w:color w:val="FF0000"/>
        </w:rPr>
        <w:t xml:space="preserve">. </w:t>
      </w:r>
      <w:r w:rsidRPr="0046561A">
        <w:rPr>
          <w:rFonts w:asciiTheme="minorHAnsi" w:hAnsiTheme="minorHAnsi" w:cstheme="minorHAnsi"/>
          <w:b/>
          <w:color w:val="FF0000"/>
        </w:rPr>
        <w:t>W niektórych przypadkach klinicyści nadal mogą uznać za właściwe stosowanie tej grupy leków. Są to leki, które należy stosować ostrożnie, gdy są preferowane, i należy je ściśle monitorować klinicznie pod kątem wystąpienia działań niepożądanych.</w:t>
      </w:r>
    </w:p>
    <w:p w:rsidR="007D5087" w:rsidRPr="00AE15DA" w:rsidRDefault="007D5087" w:rsidP="0043334F">
      <w:pPr>
        <w:contextualSpacing/>
        <w:rPr>
          <w:rFonts w:cstheme="minorHAnsi"/>
          <w:b/>
          <w:bCs/>
          <w:lang w:eastAsia="en-GB"/>
        </w:rPr>
      </w:pPr>
    </w:p>
    <w:p w:rsidR="00FE62C6" w:rsidRPr="00FE62C6" w:rsidRDefault="0046561A" w:rsidP="00FE62C6">
      <w:pPr>
        <w:pStyle w:val="Balk3"/>
        <w:pBdr>
          <w:bottom w:val="single" w:sz="6" w:space="1" w:color="000000"/>
        </w:pBdr>
        <w:spacing w:line="360" w:lineRule="auto"/>
        <w:jc w:val="both"/>
        <w:rPr>
          <w:i/>
          <w:color w:val="000000"/>
        </w:rPr>
      </w:pPr>
      <w:r w:rsidRPr="0046561A">
        <w:rPr>
          <w:i/>
          <w:color w:val="000000"/>
        </w:rPr>
        <w:t>Aby ułatwić zastosowanie kliniczne, wyjaśnienia dodane do niektórych kryteriów są podane kursywą i przedrostki</w:t>
      </w:r>
      <w:r>
        <w:rPr>
          <w:i/>
          <w:color w:val="000000"/>
        </w:rPr>
        <w:t>em * bezpośrednio po kryteriach</w:t>
      </w:r>
      <w:r w:rsidR="00FE62C6" w:rsidRPr="00FE62C6">
        <w:rPr>
          <w:i/>
          <w:color w:val="000000"/>
        </w:rPr>
        <w:t>.</w:t>
      </w:r>
    </w:p>
    <w:p w:rsidR="00FE62C6" w:rsidRDefault="00244FF3" w:rsidP="00FE62C6">
      <w:pPr>
        <w:pStyle w:val="Balk3"/>
        <w:pBdr>
          <w:bottom w:val="single" w:sz="6" w:space="1" w:color="000000"/>
        </w:pBdr>
        <w:spacing w:line="360" w:lineRule="auto"/>
        <w:jc w:val="both"/>
        <w:rPr>
          <w:i/>
          <w:color w:val="000000"/>
        </w:rPr>
      </w:pPr>
      <w:r w:rsidRPr="00244FF3">
        <w:rPr>
          <w:i/>
          <w:color w:val="000000"/>
        </w:rPr>
        <w:t>Referencje</w:t>
      </w:r>
      <w:r w:rsidR="0046561A" w:rsidRPr="0046561A">
        <w:rPr>
          <w:i/>
          <w:color w:val="000000"/>
        </w:rPr>
        <w:t>; Zawiera odniesienia do kryteriów oraz,</w:t>
      </w:r>
      <w:r w:rsidR="0046561A">
        <w:rPr>
          <w:i/>
          <w:color w:val="000000"/>
        </w:rPr>
        <w:t xml:space="preserve"> jeśli są dostępne, wyjaśnienia</w:t>
      </w:r>
      <w:r w:rsidR="00FE62C6" w:rsidRPr="00FE62C6">
        <w:rPr>
          <w:i/>
          <w:color w:val="000000"/>
        </w:rPr>
        <w:t>.</w:t>
      </w:r>
      <w:r w:rsidR="00FE62C6">
        <w:rPr>
          <w:i/>
          <w:color w:val="000000"/>
        </w:rPr>
        <w:t xml:space="preserve"> </w:t>
      </w:r>
    </w:p>
    <w:p w:rsidR="00580636" w:rsidRPr="00AE15DA" w:rsidRDefault="00580636" w:rsidP="0043334F">
      <w:pPr>
        <w:contextualSpacing/>
        <w:rPr>
          <w:rFonts w:cstheme="minorHAnsi"/>
          <w:bCs/>
          <w:lang w:eastAsia="en-GB"/>
        </w:rPr>
      </w:pPr>
    </w:p>
    <w:p w:rsidR="007D5087" w:rsidRPr="00AE15DA" w:rsidRDefault="007D5087" w:rsidP="0043334F">
      <w:pPr>
        <w:contextualSpacing/>
        <w:rPr>
          <w:rFonts w:asciiTheme="minorHAnsi" w:hAnsiTheme="minorHAnsi" w:cstheme="minorHAnsi"/>
          <w:b/>
          <w:bCs/>
          <w:sz w:val="28"/>
          <w:szCs w:val="28"/>
          <w:u w:val="single"/>
          <w:lang w:eastAsia="en-GB"/>
        </w:rPr>
      </w:pPr>
    </w:p>
    <w:p w:rsidR="00580636" w:rsidRPr="00AE15DA" w:rsidRDefault="0046561A" w:rsidP="0043334F">
      <w:pPr>
        <w:contextualSpacing/>
        <w:rPr>
          <w:rFonts w:asciiTheme="minorHAnsi" w:hAnsiTheme="minorHAnsi" w:cstheme="minorHAnsi"/>
          <w:b/>
          <w:bCs/>
          <w:sz w:val="28"/>
          <w:szCs w:val="28"/>
          <w:u w:val="single"/>
          <w:lang w:eastAsia="en-GB"/>
        </w:rPr>
      </w:pPr>
      <w:r w:rsidRPr="0046561A">
        <w:rPr>
          <w:rFonts w:asciiTheme="minorHAnsi" w:hAnsiTheme="minorHAnsi" w:cstheme="minorHAnsi"/>
          <w:b/>
          <w:bCs/>
          <w:sz w:val="28"/>
          <w:szCs w:val="28"/>
          <w:u w:val="single"/>
          <w:lang w:eastAsia="en-GB"/>
        </w:rPr>
        <w:t>Kryteria CZASU DO ZATRZYMANIA (z odniesieniem i wyjaśnieniem)</w:t>
      </w:r>
    </w:p>
    <w:p w:rsidR="0043334F" w:rsidRPr="00AE15DA" w:rsidRDefault="0043334F" w:rsidP="0043334F">
      <w:pPr>
        <w:contextualSpacing/>
        <w:rPr>
          <w:rFonts w:asciiTheme="minorHAnsi" w:hAnsiTheme="minorHAnsi" w:cstheme="minorHAnsi"/>
          <w:b/>
          <w:bCs/>
          <w:sz w:val="28"/>
          <w:szCs w:val="28"/>
          <w:lang w:eastAsia="en-GB"/>
        </w:rPr>
      </w:pPr>
    </w:p>
    <w:p w:rsidR="00E74F94" w:rsidRPr="00AE15DA" w:rsidRDefault="00D173A5"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8"/>
          <w:szCs w:val="28"/>
        </w:rPr>
      </w:pPr>
      <w:r w:rsidRPr="00AE15DA">
        <w:rPr>
          <w:rStyle w:val="normaltextrun"/>
          <w:rFonts w:asciiTheme="minorHAnsi" w:eastAsiaTheme="majorEastAsia" w:hAnsiTheme="minorHAnsi"/>
          <w:b/>
          <w:bCs/>
          <w:sz w:val="28"/>
          <w:szCs w:val="28"/>
        </w:rPr>
        <w:t>A</w:t>
      </w:r>
      <w:r w:rsidR="009B4E92" w:rsidRPr="00AE15DA">
        <w:rPr>
          <w:rStyle w:val="normaltextrun"/>
          <w:rFonts w:asciiTheme="minorHAnsi" w:eastAsiaTheme="majorEastAsia" w:hAnsiTheme="minorHAnsi"/>
          <w:b/>
          <w:bCs/>
          <w:sz w:val="28"/>
          <w:szCs w:val="28"/>
        </w:rPr>
        <w:t>:</w:t>
      </w:r>
      <w:r w:rsidRPr="00AE15DA">
        <w:rPr>
          <w:rStyle w:val="normaltextrun"/>
          <w:rFonts w:asciiTheme="minorHAnsi" w:eastAsiaTheme="majorEastAsia" w:hAnsiTheme="minorHAnsi"/>
          <w:b/>
          <w:bCs/>
          <w:sz w:val="28"/>
          <w:szCs w:val="28"/>
        </w:rPr>
        <w:t xml:space="preserve"> </w:t>
      </w:r>
      <w:r w:rsidR="0046561A" w:rsidRPr="0046561A">
        <w:rPr>
          <w:rStyle w:val="normaltextrun"/>
          <w:rFonts w:asciiTheme="minorHAnsi" w:eastAsiaTheme="majorEastAsia" w:hAnsiTheme="minorHAnsi"/>
          <w:b/>
          <w:bCs/>
          <w:sz w:val="28"/>
          <w:szCs w:val="28"/>
        </w:rPr>
        <w:t>Kryteria układu sercowo-naczyniowego</w:t>
      </w:r>
      <w:r w:rsidR="009B4E92" w:rsidRPr="00AE15DA">
        <w:rPr>
          <w:rStyle w:val="normaltextrun"/>
          <w:rFonts w:asciiTheme="minorHAnsi" w:eastAsiaTheme="majorEastAsia" w:hAnsiTheme="minorHAnsi"/>
          <w:b/>
          <w:bCs/>
          <w:sz w:val="28"/>
          <w:szCs w:val="28"/>
        </w:rPr>
        <w:t>.</w:t>
      </w:r>
    </w:p>
    <w:p w:rsidR="00580636" w:rsidRPr="00AE15DA" w:rsidRDefault="00580636" w:rsidP="0043334F">
      <w:pPr>
        <w:pStyle w:val="paragraph"/>
        <w:spacing w:before="0" w:beforeAutospacing="0" w:after="0" w:afterAutospacing="0"/>
        <w:contextualSpacing/>
        <w:jc w:val="both"/>
        <w:textAlignment w:val="baseline"/>
        <w:rPr>
          <w:rStyle w:val="normaltextrun"/>
          <w:rFonts w:asciiTheme="minorHAnsi" w:eastAsiaTheme="majorEastAsia" w:hAnsiTheme="minorHAnsi"/>
          <w:b/>
          <w:bCs/>
          <w:sz w:val="22"/>
          <w:szCs w:val="22"/>
        </w:rPr>
      </w:pPr>
    </w:p>
    <w:p w:rsidR="00040C22" w:rsidRPr="00AE15DA" w:rsidRDefault="006C24B0" w:rsidP="0043334F">
      <w:pPr>
        <w:pStyle w:val="paragraph"/>
        <w:spacing w:before="0" w:beforeAutospacing="0" w:after="0" w:afterAutospacing="0"/>
        <w:contextualSpacing/>
        <w:jc w:val="both"/>
        <w:textAlignment w:val="baseline"/>
        <w:rPr>
          <w:rFonts w:asciiTheme="minorHAnsi" w:eastAsiaTheme="majorEastAsia" w:hAnsiTheme="minorHAnsi"/>
          <w:b/>
          <w:bCs/>
          <w:sz w:val="22"/>
          <w:szCs w:val="22"/>
        </w:rPr>
      </w:pPr>
      <w:r w:rsidRPr="00AE15DA">
        <w:rPr>
          <w:rStyle w:val="normaltextrun"/>
          <w:rFonts w:asciiTheme="minorHAnsi" w:eastAsiaTheme="majorEastAsia" w:hAnsiTheme="minorHAnsi"/>
          <w:b/>
          <w:bCs/>
          <w:sz w:val="22"/>
          <w:szCs w:val="22"/>
        </w:rPr>
        <w:t xml:space="preserve">A1. </w:t>
      </w:r>
      <w:r w:rsidR="0046561A" w:rsidRPr="0046561A">
        <w:rPr>
          <w:rStyle w:val="normaltextrun"/>
          <w:rFonts w:asciiTheme="minorHAnsi" w:eastAsiaTheme="majorEastAsia" w:hAnsiTheme="minorHAnsi"/>
          <w:b/>
          <w:bCs/>
          <w:sz w:val="22"/>
          <w:szCs w:val="22"/>
        </w:rPr>
        <w:t>Stosowanie digoksyny w pierwszym etapie leczenia AF nie jest właściwe</w:t>
      </w:r>
    </w:p>
    <w:p w:rsidR="00CA5845" w:rsidRPr="00AE15DA" w:rsidRDefault="006C24B0" w:rsidP="0043334F">
      <w:pPr>
        <w:spacing w:after="100" w:afterAutospacing="1"/>
        <w:contextualSpacing/>
        <w:jc w:val="both"/>
        <w:rPr>
          <w:rStyle w:val="eop"/>
          <w:rFonts w:asciiTheme="minorHAnsi" w:eastAsiaTheme="majorEastAsia" w:hAnsiTheme="minorHAnsi"/>
          <w:i/>
          <w:sz w:val="22"/>
          <w:szCs w:val="22"/>
        </w:rPr>
      </w:pPr>
      <w:r w:rsidRPr="00AE15DA">
        <w:rPr>
          <w:rFonts w:asciiTheme="minorHAnsi" w:hAnsiTheme="minorHAnsi"/>
          <w:sz w:val="22"/>
          <w:szCs w:val="22"/>
        </w:rPr>
        <w:t>*</w:t>
      </w:r>
      <w:r w:rsidR="0046561A" w:rsidRPr="0046561A">
        <w:rPr>
          <w:rFonts w:asciiTheme="minorHAnsi" w:hAnsiTheme="minorHAnsi"/>
          <w:i/>
          <w:sz w:val="22"/>
          <w:szCs w:val="22"/>
        </w:rPr>
        <w:t xml:space="preserve">Stosowanie digoksyny może być stosowane w przypadkach AF, gdy beta-adrenolityki i blokery kanału wapniowego nie są tolerowane </w:t>
      </w:r>
      <w:proofErr w:type="gramStart"/>
      <w:r w:rsidR="0046561A" w:rsidRPr="0046561A">
        <w:rPr>
          <w:rFonts w:asciiTheme="minorHAnsi" w:hAnsiTheme="minorHAnsi"/>
          <w:i/>
          <w:sz w:val="22"/>
          <w:szCs w:val="22"/>
        </w:rPr>
        <w:t>(</w:t>
      </w:r>
      <w:proofErr w:type="gramEnd"/>
      <w:r w:rsidR="0046561A" w:rsidRPr="0046561A">
        <w:rPr>
          <w:rFonts w:asciiTheme="minorHAnsi" w:hAnsiTheme="minorHAnsi"/>
          <w:i/>
          <w:sz w:val="22"/>
          <w:szCs w:val="22"/>
        </w:rPr>
        <w:t>np. niedociśnienie</w:t>
      </w:r>
      <w:proofErr w:type="gramStart"/>
      <w:r w:rsidR="0046561A" w:rsidRPr="0046561A">
        <w:rPr>
          <w:rFonts w:asciiTheme="minorHAnsi" w:hAnsiTheme="minorHAnsi"/>
          <w:i/>
          <w:sz w:val="22"/>
          <w:szCs w:val="22"/>
        </w:rPr>
        <w:t>)</w:t>
      </w:r>
      <w:proofErr w:type="gramEnd"/>
      <w:r w:rsidR="0046561A" w:rsidRPr="0046561A">
        <w:rPr>
          <w:rFonts w:asciiTheme="minorHAnsi" w:hAnsiTheme="minorHAnsi"/>
          <w:i/>
          <w:sz w:val="22"/>
          <w:szCs w:val="22"/>
        </w:rPr>
        <w:t xml:space="preserve"> lub w terapii skojarzonej, gdy te metody leczenia są niewystarczające</w:t>
      </w:r>
      <w:r w:rsidR="00F62A6D" w:rsidRPr="00AE15DA">
        <w:rPr>
          <w:rStyle w:val="normaltextrun"/>
          <w:rFonts w:asciiTheme="minorHAnsi" w:hAnsiTheme="minorHAnsi"/>
          <w:bCs/>
          <w:i/>
          <w:sz w:val="22"/>
          <w:szCs w:val="22"/>
        </w:rPr>
        <w:t>.</w:t>
      </w:r>
      <w:r w:rsidRPr="00AE15DA">
        <w:rPr>
          <w:rStyle w:val="eop"/>
          <w:rFonts w:asciiTheme="minorHAnsi" w:eastAsiaTheme="majorEastAsia" w:hAnsiTheme="minorHAnsi"/>
          <w:i/>
          <w:sz w:val="22"/>
          <w:szCs w:val="22"/>
        </w:rPr>
        <w:t> </w:t>
      </w:r>
    </w:p>
    <w:p w:rsidR="00CA5845" w:rsidRPr="00AE15DA" w:rsidRDefault="00CA5845" w:rsidP="0043334F">
      <w:pPr>
        <w:spacing w:after="100" w:afterAutospacing="1"/>
        <w:contextualSpacing/>
        <w:jc w:val="both"/>
        <w:rPr>
          <w:rStyle w:val="eop"/>
          <w:rFonts w:asciiTheme="minorHAnsi" w:eastAsiaTheme="majorEastAsia" w:hAnsiTheme="minorHAnsi"/>
          <w:i/>
          <w:sz w:val="22"/>
          <w:szCs w:val="22"/>
        </w:rPr>
      </w:pPr>
    </w:p>
    <w:p w:rsidR="00CA5845" w:rsidRPr="00AE15DA" w:rsidRDefault="00CA5845" w:rsidP="0043334F">
      <w:pPr>
        <w:spacing w:after="100" w:afterAutospacing="1"/>
        <w:contextualSpacing/>
        <w:jc w:val="both"/>
        <w:rPr>
          <w:rFonts w:asciiTheme="minorHAnsi" w:eastAsiaTheme="majorEastAsia" w:hAnsiTheme="minorHAnsi"/>
          <w:i/>
          <w:sz w:val="22"/>
          <w:szCs w:val="22"/>
        </w:rPr>
      </w:pPr>
    </w:p>
    <w:p w:rsidR="00CA5845" w:rsidRPr="00AE15DA" w:rsidRDefault="006C24B0" w:rsidP="0043334F">
      <w:pPr>
        <w:spacing w:after="100" w:afterAutospacing="1"/>
        <w:contextualSpacing/>
        <w:jc w:val="both"/>
        <w:rPr>
          <w:rFonts w:asciiTheme="minorHAnsi" w:eastAsiaTheme="majorEastAsia" w:hAnsiTheme="minorHAnsi"/>
          <w:i/>
          <w:sz w:val="22"/>
          <w:szCs w:val="22"/>
        </w:rPr>
      </w:pPr>
      <w:r w:rsidRPr="00AE15DA">
        <w:rPr>
          <w:rFonts w:asciiTheme="minorHAnsi" w:hAnsiTheme="minorHAnsi"/>
          <w:b/>
          <w:color w:val="000000"/>
          <w:sz w:val="22"/>
          <w:szCs w:val="22"/>
        </w:rPr>
        <w:t>A2.</w:t>
      </w:r>
      <w:r w:rsidR="00181929" w:rsidRPr="00AE15DA">
        <w:rPr>
          <w:rFonts w:asciiTheme="minorHAnsi" w:hAnsiTheme="minorHAnsi"/>
          <w:b/>
          <w:color w:val="000000"/>
          <w:sz w:val="22"/>
          <w:szCs w:val="22"/>
        </w:rPr>
        <w:t xml:space="preserve"> </w:t>
      </w:r>
      <w:r w:rsidR="00713065" w:rsidRPr="00713065">
        <w:rPr>
          <w:rFonts w:asciiTheme="minorHAnsi" w:hAnsiTheme="minorHAnsi"/>
          <w:b/>
          <w:color w:val="000000"/>
          <w:sz w:val="22"/>
          <w:szCs w:val="22"/>
        </w:rPr>
        <w:t>Stosowanie digoksyny w dawkach większych niż 0,125 mg/dobę nie jest właściwe (ryzyko toksyczności)</w:t>
      </w:r>
    </w:p>
    <w:p w:rsidR="00CA5845" w:rsidRPr="00AE15DA" w:rsidRDefault="00CA5845" w:rsidP="0043334F">
      <w:pPr>
        <w:spacing w:before="100" w:beforeAutospacing="1" w:after="100" w:afterAutospacing="1"/>
        <w:contextualSpacing/>
        <w:jc w:val="both"/>
        <w:rPr>
          <w:rFonts w:asciiTheme="minorHAnsi" w:hAnsiTheme="minorHAnsi"/>
          <w:b/>
          <w:color w:val="000000"/>
          <w:sz w:val="22"/>
          <w:szCs w:val="22"/>
        </w:rPr>
      </w:pPr>
    </w:p>
    <w:p w:rsidR="0043334F" w:rsidRPr="00AE15DA" w:rsidRDefault="0043334F" w:rsidP="0043334F">
      <w:pPr>
        <w:spacing w:before="100" w:beforeAutospacing="1" w:after="100" w:afterAutospacing="1"/>
        <w:contextualSpacing/>
        <w:jc w:val="both"/>
        <w:rPr>
          <w:rFonts w:asciiTheme="minorHAnsi" w:hAnsiTheme="minorHAnsi" w:cstheme="minorHAnsi"/>
          <w:sz w:val="22"/>
          <w:szCs w:val="22"/>
          <w:lang w:eastAsia="en-GB"/>
        </w:rPr>
      </w:pPr>
    </w:p>
    <w:p w:rsidR="0043334F" w:rsidRPr="00AE15DA" w:rsidRDefault="006C24B0" w:rsidP="0043334F">
      <w:pPr>
        <w:spacing w:before="100" w:beforeAutospacing="1" w:after="100" w:afterAutospacing="1"/>
        <w:contextualSpacing/>
        <w:jc w:val="both"/>
        <w:rPr>
          <w:rStyle w:val="normaltextrun"/>
          <w:rFonts w:asciiTheme="minorHAnsi" w:eastAsiaTheme="majorEastAsia" w:hAnsiTheme="minorHAnsi"/>
          <w:b/>
          <w:bCs/>
          <w:sz w:val="22"/>
          <w:szCs w:val="22"/>
        </w:rPr>
      </w:pPr>
      <w:r w:rsidRPr="00AE15DA">
        <w:rPr>
          <w:rStyle w:val="normaltextrun"/>
          <w:rFonts w:asciiTheme="minorHAnsi" w:eastAsiaTheme="majorEastAsia" w:hAnsiTheme="minorHAnsi"/>
          <w:b/>
          <w:bCs/>
          <w:sz w:val="22"/>
          <w:szCs w:val="22"/>
        </w:rPr>
        <w:t>A3.</w:t>
      </w:r>
      <w:r w:rsidR="00181929" w:rsidRPr="00AE15DA">
        <w:rPr>
          <w:rStyle w:val="normaltextrun"/>
          <w:rFonts w:asciiTheme="minorHAnsi" w:eastAsiaTheme="majorEastAsia" w:hAnsiTheme="minorHAnsi"/>
          <w:b/>
          <w:bCs/>
          <w:sz w:val="22"/>
          <w:szCs w:val="22"/>
        </w:rPr>
        <w:t xml:space="preserve"> </w:t>
      </w:r>
      <w:r w:rsidR="00713065" w:rsidRPr="00713065">
        <w:rPr>
          <w:rStyle w:val="normaltextrun"/>
          <w:rFonts w:asciiTheme="minorHAnsi" w:eastAsiaTheme="majorEastAsia" w:hAnsiTheme="minorHAnsi"/>
          <w:b/>
          <w:bCs/>
          <w:sz w:val="22"/>
          <w:szCs w:val="22"/>
        </w:rPr>
        <w:t>Digoksyna nie jest odpowiednia do wskazania niewydolności se</w:t>
      </w:r>
      <w:r w:rsidR="00713065">
        <w:rPr>
          <w:rStyle w:val="normaltextrun"/>
          <w:rFonts w:asciiTheme="minorHAnsi" w:eastAsiaTheme="majorEastAsia" w:hAnsiTheme="minorHAnsi"/>
          <w:b/>
          <w:bCs/>
          <w:sz w:val="22"/>
          <w:szCs w:val="22"/>
        </w:rPr>
        <w:t>rca z zachowaną (prawidłową) EF</w:t>
      </w:r>
    </w:p>
    <w:p w:rsidR="006C24B0" w:rsidRPr="00AE15DA" w:rsidRDefault="006C24B0" w:rsidP="0043334F">
      <w:pPr>
        <w:spacing w:before="100" w:beforeAutospacing="1" w:after="100" w:afterAutospacing="1"/>
        <w:contextualSpacing/>
        <w:jc w:val="both"/>
        <w:rPr>
          <w:rStyle w:val="normaltextrun"/>
          <w:rFonts w:asciiTheme="minorHAnsi" w:hAnsiTheme="minorHAnsi"/>
          <w:b/>
          <w:color w:val="000000"/>
          <w:sz w:val="22"/>
          <w:szCs w:val="22"/>
        </w:rPr>
      </w:pPr>
      <w:r w:rsidRPr="00AE15DA">
        <w:rPr>
          <w:rStyle w:val="eop"/>
          <w:rFonts w:asciiTheme="minorHAnsi" w:eastAsiaTheme="majorEastAsia" w:hAnsiTheme="minorHAnsi"/>
          <w:i/>
          <w:sz w:val="22"/>
          <w:szCs w:val="22"/>
        </w:rPr>
        <w:t>*</w:t>
      </w:r>
      <w:r w:rsidR="00713065" w:rsidRPr="00713065">
        <w:t xml:space="preserve"> </w:t>
      </w:r>
      <w:r w:rsidR="00713065" w:rsidRPr="00713065">
        <w:rPr>
          <w:rStyle w:val="eop"/>
          <w:rFonts w:asciiTheme="minorHAnsi" w:eastAsiaTheme="majorEastAsia" w:hAnsiTheme="minorHAnsi"/>
          <w:i/>
          <w:sz w:val="22"/>
          <w:szCs w:val="22"/>
        </w:rPr>
        <w:t>Digoksyna może być wskazana w przypadku współistniejącego AF (patrz A1).</w:t>
      </w:r>
    </w:p>
    <w:p w:rsidR="00CA5845" w:rsidRPr="00AE15DA" w:rsidRDefault="00CA5845" w:rsidP="0043334F">
      <w:pPr>
        <w:pStyle w:val="HTMLncedenBiimlendirilmi"/>
        <w:contextualSpacing/>
        <w:jc w:val="both"/>
        <w:rPr>
          <w:rFonts w:asciiTheme="minorHAnsi" w:hAnsiTheme="minorHAnsi" w:cstheme="minorHAnsi"/>
          <w:color w:val="000000"/>
          <w:sz w:val="22"/>
          <w:szCs w:val="22"/>
        </w:rPr>
      </w:pPr>
    </w:p>
    <w:p w:rsidR="006C24B0" w:rsidRPr="00AE15DA" w:rsidRDefault="006C24B0"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A4. </w:t>
      </w:r>
      <w:r w:rsidR="00713065" w:rsidRPr="00713065">
        <w:rPr>
          <w:rFonts w:asciiTheme="minorHAnsi" w:hAnsiTheme="minorHAnsi"/>
          <w:b/>
          <w:sz w:val="22"/>
          <w:szCs w:val="22"/>
        </w:rPr>
        <w:t>Stosowanie diltiazemu lub werapamilu nie jest właściwe w niewydolności serca z niską EF</w:t>
      </w:r>
    </w:p>
    <w:p w:rsidR="00CA5845" w:rsidRPr="00AE15DA" w:rsidRDefault="00CA5845" w:rsidP="0043334F">
      <w:pPr>
        <w:pStyle w:val="HTMLncedenBiimlendirilmi"/>
        <w:contextualSpacing/>
        <w:jc w:val="both"/>
        <w:rPr>
          <w:rFonts w:asciiTheme="minorHAnsi" w:hAnsiTheme="minorHAnsi" w:cstheme="minorHAnsi"/>
          <w:sz w:val="22"/>
          <w:szCs w:val="22"/>
        </w:rPr>
      </w:pPr>
    </w:p>
    <w:p w:rsidR="005E5EA5" w:rsidRPr="00AE15DA" w:rsidRDefault="005E5EA5" w:rsidP="0043334F">
      <w:pPr>
        <w:spacing w:after="100" w:afterAutospacing="1"/>
        <w:contextualSpacing/>
        <w:jc w:val="both"/>
        <w:rPr>
          <w:rFonts w:asciiTheme="minorHAnsi" w:hAnsiTheme="minorHAnsi"/>
          <w:b/>
          <w:sz w:val="22"/>
          <w:szCs w:val="22"/>
        </w:rPr>
      </w:pPr>
    </w:p>
    <w:p w:rsidR="00CA5845" w:rsidRPr="00AE15DA" w:rsidRDefault="006C24B0" w:rsidP="0043334F">
      <w:pPr>
        <w:spacing w:after="100" w:afterAutospacing="1"/>
        <w:contextualSpacing/>
        <w:jc w:val="both"/>
        <w:rPr>
          <w:rFonts w:asciiTheme="minorHAnsi" w:hAnsiTheme="minorHAnsi"/>
          <w:b/>
          <w:sz w:val="22"/>
          <w:szCs w:val="22"/>
        </w:rPr>
      </w:pPr>
      <w:r w:rsidRPr="00AE15DA">
        <w:rPr>
          <w:rFonts w:asciiTheme="minorHAnsi" w:hAnsiTheme="minorHAnsi"/>
          <w:b/>
          <w:sz w:val="22"/>
          <w:szCs w:val="22"/>
        </w:rPr>
        <w:t>A5.</w:t>
      </w:r>
      <w:r w:rsidR="00181929" w:rsidRPr="00AE15DA">
        <w:rPr>
          <w:rFonts w:asciiTheme="minorHAnsi" w:hAnsiTheme="minorHAnsi"/>
          <w:b/>
          <w:sz w:val="22"/>
          <w:szCs w:val="22"/>
        </w:rPr>
        <w:t xml:space="preserve"> </w:t>
      </w:r>
      <w:r w:rsidR="00713065" w:rsidRPr="00713065">
        <w:rPr>
          <w:rFonts w:asciiTheme="minorHAnsi" w:hAnsiTheme="minorHAnsi"/>
          <w:b/>
          <w:sz w:val="22"/>
          <w:szCs w:val="22"/>
        </w:rPr>
        <w:t>Nie należy rozpoczynać terapii ograniczającej szybkość (beta-bloker, werapamil, diltiazem, digoksyna) u pacjentów z bradykardią (&lt;50/min), blokiem serca typu 2 lub całkowitym blokiem serca</w:t>
      </w:r>
      <w:r w:rsidRPr="00AE15DA">
        <w:rPr>
          <w:rFonts w:asciiTheme="minorHAnsi" w:hAnsiTheme="minorHAnsi"/>
          <w:b/>
          <w:sz w:val="22"/>
          <w:szCs w:val="22"/>
        </w:rPr>
        <w:t xml:space="preserve"> </w:t>
      </w:r>
    </w:p>
    <w:p w:rsidR="006C24B0" w:rsidRPr="00AE15DA" w:rsidRDefault="006C24B0" w:rsidP="0043334F">
      <w:pPr>
        <w:spacing w:after="100" w:afterAutospacing="1"/>
        <w:contextualSpacing/>
        <w:jc w:val="both"/>
        <w:rPr>
          <w:rFonts w:asciiTheme="minorHAnsi" w:hAnsiTheme="minorHAnsi"/>
          <w:b/>
          <w:sz w:val="22"/>
          <w:szCs w:val="22"/>
        </w:rPr>
      </w:pPr>
      <w:r w:rsidRPr="00AE15DA">
        <w:rPr>
          <w:rFonts w:asciiTheme="minorHAnsi" w:hAnsiTheme="minorHAnsi"/>
          <w:sz w:val="22"/>
          <w:szCs w:val="22"/>
        </w:rPr>
        <w:t>*</w:t>
      </w:r>
      <w:r w:rsidR="00713065" w:rsidRPr="00713065">
        <w:rPr>
          <w:rFonts w:asciiTheme="minorHAnsi" w:hAnsiTheme="minorHAnsi"/>
          <w:i/>
          <w:sz w:val="22"/>
          <w:szCs w:val="22"/>
        </w:rPr>
        <w:t>Beta-adrenolityki są stosunkowo przeciwwskazane w przypadkach z odstępem PR &gt;240 ms. Zmniejszenie dawki należy przeprowadzić w przypadku wystąpienia bradykardii (&lt;50/min) u pacjentów aktualnie stosujących beta-adrenolityki, d</w:t>
      </w:r>
      <w:r w:rsidR="00713065">
        <w:rPr>
          <w:rFonts w:asciiTheme="minorHAnsi" w:hAnsiTheme="minorHAnsi"/>
          <w:i/>
          <w:sz w:val="22"/>
          <w:szCs w:val="22"/>
        </w:rPr>
        <w:t>iltiazem, werapamil i digoksynę</w:t>
      </w:r>
      <w:r w:rsidR="00F62A6D" w:rsidRPr="00AE15DA">
        <w:rPr>
          <w:rFonts w:asciiTheme="minorHAnsi" w:hAnsiTheme="minorHAnsi"/>
          <w:i/>
          <w:sz w:val="22"/>
          <w:szCs w:val="22"/>
        </w:rPr>
        <w:t>.</w:t>
      </w:r>
    </w:p>
    <w:p w:rsidR="009B4E92" w:rsidRPr="00AE15DA" w:rsidRDefault="009B4E92" w:rsidP="0043334F">
      <w:pPr>
        <w:spacing w:before="100" w:beforeAutospacing="1" w:after="100" w:afterAutospacing="1"/>
        <w:contextualSpacing/>
        <w:jc w:val="both"/>
        <w:rPr>
          <w:rFonts w:asciiTheme="minorHAnsi" w:hAnsiTheme="minorHAnsi" w:cstheme="minorHAnsi"/>
          <w:sz w:val="22"/>
          <w:szCs w:val="22"/>
        </w:rPr>
      </w:pPr>
    </w:p>
    <w:p w:rsidR="00EB686B" w:rsidRPr="00AE15DA" w:rsidRDefault="00EB686B" w:rsidP="0043334F">
      <w:pPr>
        <w:spacing w:before="100" w:beforeAutospacing="1" w:after="100" w:afterAutospacing="1"/>
        <w:contextualSpacing/>
        <w:jc w:val="both"/>
        <w:rPr>
          <w:rFonts w:asciiTheme="minorHAnsi" w:hAnsiTheme="minorHAnsi"/>
          <w:b/>
          <w:sz w:val="22"/>
          <w:szCs w:val="22"/>
        </w:rPr>
      </w:pPr>
    </w:p>
    <w:p w:rsidR="009B4E92" w:rsidRPr="00AE15DA" w:rsidRDefault="009B4E92" w:rsidP="0043334F">
      <w:pPr>
        <w:spacing w:before="100" w:beforeAutospacing="1" w:after="100" w:afterAutospacing="1"/>
        <w:contextualSpacing/>
        <w:jc w:val="both"/>
        <w:rPr>
          <w:rFonts w:asciiTheme="minorHAnsi" w:hAnsiTheme="minorHAnsi"/>
          <w:b/>
          <w:sz w:val="22"/>
          <w:szCs w:val="22"/>
        </w:rPr>
      </w:pPr>
    </w:p>
    <w:p w:rsidR="00325178"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A6.</w:t>
      </w:r>
      <w:r w:rsidR="00181929" w:rsidRPr="00AE15DA">
        <w:rPr>
          <w:rFonts w:asciiTheme="minorHAnsi" w:hAnsiTheme="minorHAnsi"/>
          <w:b/>
          <w:sz w:val="22"/>
          <w:szCs w:val="22"/>
        </w:rPr>
        <w:t xml:space="preserve"> </w:t>
      </w:r>
      <w:r w:rsidR="00713065" w:rsidRPr="00713065">
        <w:rPr>
          <w:rFonts w:asciiTheme="minorHAnsi" w:hAnsiTheme="minorHAnsi"/>
          <w:b/>
          <w:sz w:val="22"/>
          <w:szCs w:val="22"/>
        </w:rPr>
        <w:t xml:space="preserve">Diuretyki pętlowe nie są odpowiednie w przypadku obrzęku kostek bez klinicznych, biochemicznych lub radiologicznych objawów niewydolności serca, niewydolności wątroby, zespołu nerczycowego lub niewydolności nerek (zwykle bardziej odpowiednie są </w:t>
      </w:r>
      <w:r w:rsidR="00713065">
        <w:rPr>
          <w:rFonts w:asciiTheme="minorHAnsi" w:hAnsiTheme="minorHAnsi"/>
          <w:b/>
          <w:sz w:val="22"/>
          <w:szCs w:val="22"/>
        </w:rPr>
        <w:t>rajstopy</w:t>
      </w:r>
      <w:r w:rsidR="00713065" w:rsidRPr="00713065">
        <w:rPr>
          <w:rFonts w:asciiTheme="minorHAnsi" w:hAnsiTheme="minorHAnsi"/>
          <w:b/>
          <w:sz w:val="22"/>
          <w:szCs w:val="22"/>
        </w:rPr>
        <w:t xml:space="preserve"> unoszące nogi i/lub uciskowe)</w:t>
      </w:r>
    </w:p>
    <w:p w:rsidR="009B4E92" w:rsidRPr="00AE15DA"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EB686B" w:rsidRPr="00AE15DA" w:rsidRDefault="00EB686B" w:rsidP="0043334F">
      <w:pPr>
        <w:autoSpaceDE w:val="0"/>
        <w:autoSpaceDN w:val="0"/>
        <w:adjustRightInd w:val="0"/>
        <w:contextualSpacing/>
        <w:jc w:val="both"/>
        <w:rPr>
          <w:rFonts w:asciiTheme="minorHAnsi" w:hAnsiTheme="minorHAnsi"/>
          <w:b/>
          <w:color w:val="000000"/>
          <w:sz w:val="22"/>
          <w:szCs w:val="22"/>
        </w:rPr>
      </w:pPr>
    </w:p>
    <w:p w:rsidR="00A964BC" w:rsidRPr="00AE15DA" w:rsidRDefault="006C24B0" w:rsidP="0043334F">
      <w:pPr>
        <w:autoSpaceDE w:val="0"/>
        <w:autoSpaceDN w:val="0"/>
        <w:adjustRightInd w:val="0"/>
        <w:contextualSpacing/>
        <w:jc w:val="both"/>
        <w:rPr>
          <w:rFonts w:asciiTheme="minorHAnsi" w:hAnsiTheme="minorHAnsi"/>
          <w:b/>
          <w:color w:val="000000" w:themeColor="text1"/>
          <w:sz w:val="22"/>
          <w:szCs w:val="22"/>
        </w:rPr>
      </w:pPr>
      <w:r w:rsidRPr="00AE15DA">
        <w:rPr>
          <w:rFonts w:asciiTheme="minorHAnsi" w:hAnsiTheme="minorHAnsi"/>
          <w:b/>
          <w:color w:val="000000"/>
          <w:sz w:val="22"/>
          <w:szCs w:val="22"/>
        </w:rPr>
        <w:t>A7.</w:t>
      </w:r>
      <w:r w:rsidR="00181929" w:rsidRPr="00AE15DA">
        <w:rPr>
          <w:rFonts w:asciiTheme="minorHAnsi" w:hAnsiTheme="minorHAnsi"/>
          <w:b/>
          <w:color w:val="000000"/>
          <w:sz w:val="22"/>
          <w:szCs w:val="22"/>
        </w:rPr>
        <w:t xml:space="preserve"> </w:t>
      </w:r>
      <w:r w:rsidR="00713065" w:rsidRPr="00713065">
        <w:rPr>
          <w:rFonts w:asciiTheme="minorHAnsi" w:hAnsiTheme="minorHAnsi"/>
          <w:b/>
          <w:color w:val="000000"/>
          <w:sz w:val="22"/>
          <w:szCs w:val="22"/>
        </w:rPr>
        <w:t>Chociaż nie ma konkretnych wskazań, beta-blokery nie nada</w:t>
      </w:r>
      <w:r w:rsidR="004B6921">
        <w:rPr>
          <w:rFonts w:asciiTheme="minorHAnsi" w:hAnsiTheme="minorHAnsi"/>
          <w:b/>
          <w:color w:val="000000"/>
          <w:sz w:val="22"/>
          <w:szCs w:val="22"/>
        </w:rPr>
        <w:t>ją się do leczenia samoistnego H</w:t>
      </w:r>
      <w:r w:rsidR="00713065" w:rsidRPr="00713065">
        <w:rPr>
          <w:rFonts w:asciiTheme="minorHAnsi" w:hAnsiTheme="minorHAnsi"/>
          <w:b/>
          <w:color w:val="000000"/>
          <w:sz w:val="22"/>
          <w:szCs w:val="22"/>
        </w:rPr>
        <w:t>T w pierwszej linii (ze względu na zwiększone ryzyko wystąpienia bloku serca, mniejszą skute</w:t>
      </w:r>
      <w:r w:rsidR="00713065">
        <w:rPr>
          <w:rFonts w:asciiTheme="minorHAnsi" w:hAnsiTheme="minorHAnsi"/>
          <w:b/>
          <w:color w:val="000000"/>
          <w:sz w:val="22"/>
          <w:szCs w:val="22"/>
        </w:rPr>
        <w:t>czność w profilaktyce zmęczenia</w:t>
      </w:r>
      <w:r w:rsidR="00713065" w:rsidRPr="00713065">
        <w:rPr>
          <w:rFonts w:asciiTheme="minorHAnsi" w:hAnsiTheme="minorHAnsi"/>
          <w:b/>
          <w:color w:val="000000"/>
          <w:sz w:val="22"/>
          <w:szCs w:val="22"/>
        </w:rPr>
        <w:t>, dysfunkcji seksualnych i udaru mózgu; dodatkowo wraz z wiekiem następuje spadek funkcji receptora β-adrenergicznego)</w:t>
      </w:r>
    </w:p>
    <w:p w:rsidR="002A1E62" w:rsidRPr="00AE15DA" w:rsidRDefault="002A1E62" w:rsidP="0043334F">
      <w:pPr>
        <w:contextualSpacing/>
        <w:jc w:val="both"/>
        <w:rPr>
          <w:rFonts w:asciiTheme="minorHAnsi" w:hAnsiTheme="minorHAnsi"/>
          <w:b/>
          <w:sz w:val="22"/>
          <w:szCs w:val="22"/>
        </w:rPr>
      </w:pPr>
    </w:p>
    <w:p w:rsidR="002A1E62" w:rsidRPr="00AE15DA" w:rsidRDefault="002A1E62" w:rsidP="0043334F">
      <w:pPr>
        <w:contextualSpacing/>
        <w:jc w:val="both"/>
        <w:rPr>
          <w:rFonts w:asciiTheme="minorHAnsi" w:hAnsiTheme="minorHAnsi"/>
          <w:b/>
          <w:sz w:val="22"/>
          <w:szCs w:val="22"/>
        </w:rPr>
      </w:pPr>
    </w:p>
    <w:p w:rsidR="004E6DCE" w:rsidRPr="00AE15DA" w:rsidRDefault="006C24B0" w:rsidP="0043334F">
      <w:pPr>
        <w:contextualSpacing/>
        <w:jc w:val="both"/>
        <w:rPr>
          <w:rFonts w:asciiTheme="minorHAnsi" w:hAnsiTheme="minorHAnsi"/>
          <w:b/>
          <w:sz w:val="22"/>
          <w:szCs w:val="22"/>
        </w:rPr>
      </w:pPr>
      <w:r w:rsidRPr="00AE15DA">
        <w:rPr>
          <w:rFonts w:asciiTheme="minorHAnsi" w:hAnsiTheme="minorHAnsi"/>
          <w:b/>
          <w:sz w:val="22"/>
          <w:szCs w:val="22"/>
        </w:rPr>
        <w:t>A8.</w:t>
      </w:r>
      <w:r w:rsidR="00181929" w:rsidRPr="00AE15DA">
        <w:rPr>
          <w:rFonts w:asciiTheme="minorHAnsi" w:hAnsiTheme="minorHAnsi"/>
          <w:b/>
          <w:sz w:val="22"/>
          <w:szCs w:val="22"/>
        </w:rPr>
        <w:t xml:space="preserve"> </w:t>
      </w:r>
      <w:r w:rsidR="00713065" w:rsidRPr="00713065">
        <w:rPr>
          <w:rFonts w:asciiTheme="minorHAnsi" w:hAnsiTheme="minorHAnsi"/>
          <w:b/>
          <w:sz w:val="22"/>
          <w:szCs w:val="22"/>
        </w:rPr>
        <w:t xml:space="preserve">U pacjentów z nietrzymaniem moczu stosowanie leków moczopędnych w pierwszym etapie nie jest </w:t>
      </w:r>
      <w:r w:rsidR="004B6921">
        <w:rPr>
          <w:rFonts w:asciiTheme="minorHAnsi" w:hAnsiTheme="minorHAnsi"/>
          <w:b/>
          <w:sz w:val="22"/>
          <w:szCs w:val="22"/>
        </w:rPr>
        <w:t>właściwe w leczeniu samoistnej H</w:t>
      </w:r>
      <w:r w:rsidR="00713065" w:rsidRPr="00713065">
        <w:rPr>
          <w:rFonts w:asciiTheme="minorHAnsi" w:hAnsiTheme="minorHAnsi"/>
          <w:b/>
          <w:sz w:val="22"/>
          <w:szCs w:val="22"/>
        </w:rPr>
        <w:t>T (może pogorszyć jakość życia poprzez nasilenie nietrzymania moczu i parcia nagl</w:t>
      </w:r>
      <w:r w:rsidR="00713065">
        <w:rPr>
          <w:rFonts w:asciiTheme="minorHAnsi" w:hAnsiTheme="minorHAnsi"/>
          <w:b/>
          <w:sz w:val="22"/>
          <w:szCs w:val="22"/>
        </w:rPr>
        <w:t>ącego oraz może nasilać upadki)</w:t>
      </w:r>
    </w:p>
    <w:p w:rsidR="006C24B0" w:rsidRPr="00AE15DA" w:rsidRDefault="006C24B0" w:rsidP="0043334F">
      <w:pPr>
        <w:spacing w:after="100" w:afterAutospacing="1"/>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713065" w:rsidRPr="00713065">
        <w:rPr>
          <w:rFonts w:asciiTheme="minorHAnsi" w:hAnsiTheme="minorHAnsi"/>
          <w:i/>
          <w:color w:val="000000" w:themeColor="text1"/>
          <w:sz w:val="22"/>
          <w:szCs w:val="22"/>
        </w:rPr>
        <w:t>Ogólnie rzecz biorąc, leki moczopędne u osób starszych mogą pogarszać jakość życia poprzez zmniejszanie objętości/zwiększanie częstotliwości i objętości oddawania moczu oraz powodowanie uczucia ściskania i mogą być czynnikiem ryzyka upadków. Pod tym względem należy uważnie śledzić przypadk</w:t>
      </w:r>
      <w:r w:rsidR="00713065">
        <w:rPr>
          <w:rFonts w:asciiTheme="minorHAnsi" w:hAnsiTheme="minorHAnsi"/>
          <w:i/>
          <w:color w:val="000000" w:themeColor="text1"/>
          <w:sz w:val="22"/>
          <w:szCs w:val="22"/>
        </w:rPr>
        <w:t>i stosowania leków moczopędnych</w:t>
      </w:r>
      <w:r w:rsidRPr="00AE15DA">
        <w:rPr>
          <w:rFonts w:asciiTheme="minorHAnsi" w:hAnsiTheme="minorHAnsi"/>
          <w:i/>
          <w:color w:val="000000" w:themeColor="text1"/>
          <w:sz w:val="22"/>
          <w:szCs w:val="22"/>
        </w:rPr>
        <w:t xml:space="preserve">.  </w:t>
      </w:r>
    </w:p>
    <w:p w:rsidR="00CA5845" w:rsidRDefault="00CA584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E85274" w:rsidRPr="00AE15DA"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6C24B0"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A9.</w:t>
      </w:r>
      <w:r w:rsidR="002A1E62" w:rsidRPr="00AE15DA">
        <w:rPr>
          <w:rFonts w:asciiTheme="minorHAnsi" w:hAnsiTheme="minorHAnsi"/>
          <w:b/>
          <w:color w:val="000000"/>
          <w:sz w:val="22"/>
          <w:szCs w:val="22"/>
        </w:rPr>
        <w:t xml:space="preserve"> </w:t>
      </w:r>
      <w:r w:rsidR="00713065" w:rsidRPr="00713065">
        <w:rPr>
          <w:rFonts w:asciiTheme="minorHAnsi" w:hAnsiTheme="minorHAnsi"/>
          <w:b/>
          <w:color w:val="000000"/>
          <w:sz w:val="22"/>
          <w:szCs w:val="22"/>
        </w:rPr>
        <w:t xml:space="preserve">Stosowanie alfa-1-blokerów lub leków przeciwnadciśnieniowych działających ośrodkowo </w:t>
      </w:r>
      <w:proofErr w:type="gramStart"/>
      <w:r w:rsidR="00713065" w:rsidRPr="00713065">
        <w:rPr>
          <w:rFonts w:asciiTheme="minorHAnsi" w:hAnsiTheme="minorHAnsi"/>
          <w:b/>
          <w:color w:val="000000"/>
          <w:sz w:val="22"/>
          <w:szCs w:val="22"/>
        </w:rPr>
        <w:t>(</w:t>
      </w:r>
      <w:proofErr w:type="gramEnd"/>
      <w:r w:rsidR="00713065" w:rsidRPr="00713065">
        <w:rPr>
          <w:rFonts w:asciiTheme="minorHAnsi" w:hAnsiTheme="minorHAnsi"/>
          <w:b/>
          <w:color w:val="000000"/>
          <w:sz w:val="22"/>
          <w:szCs w:val="22"/>
        </w:rPr>
        <w:t>np. metylodopa, rilmenidyna, rezerpina</w:t>
      </w:r>
      <w:proofErr w:type="gramStart"/>
      <w:r w:rsidR="00713065" w:rsidRPr="00713065">
        <w:rPr>
          <w:rFonts w:asciiTheme="minorHAnsi" w:hAnsiTheme="minorHAnsi"/>
          <w:b/>
          <w:color w:val="000000"/>
          <w:sz w:val="22"/>
          <w:szCs w:val="22"/>
        </w:rPr>
        <w:t>)</w:t>
      </w:r>
      <w:proofErr w:type="gramEnd"/>
      <w:r w:rsidR="00713065" w:rsidRPr="00713065">
        <w:rPr>
          <w:rFonts w:asciiTheme="minorHAnsi" w:hAnsiTheme="minorHAnsi"/>
          <w:b/>
          <w:color w:val="000000"/>
          <w:sz w:val="22"/>
          <w:szCs w:val="22"/>
        </w:rPr>
        <w:t xml:space="preserve"> nie je</w:t>
      </w:r>
      <w:r w:rsidR="004B6921">
        <w:rPr>
          <w:rFonts w:asciiTheme="minorHAnsi" w:hAnsiTheme="minorHAnsi"/>
          <w:b/>
          <w:color w:val="000000"/>
          <w:sz w:val="22"/>
          <w:szCs w:val="22"/>
        </w:rPr>
        <w:t>st właściwe w leczeniu H</w:t>
      </w:r>
      <w:r w:rsidR="00713065" w:rsidRPr="00713065">
        <w:rPr>
          <w:rFonts w:asciiTheme="minorHAnsi" w:hAnsiTheme="minorHAnsi"/>
          <w:b/>
          <w:color w:val="000000"/>
          <w:sz w:val="22"/>
          <w:szCs w:val="22"/>
        </w:rPr>
        <w:t>T, z wyjątkiem przypadków, gdy inne klasy leków hipotensyjnych nie są</w:t>
      </w:r>
      <w:r w:rsidR="00713065">
        <w:rPr>
          <w:rFonts w:asciiTheme="minorHAnsi" w:hAnsiTheme="minorHAnsi"/>
          <w:b/>
          <w:color w:val="000000"/>
          <w:sz w:val="22"/>
          <w:szCs w:val="22"/>
        </w:rPr>
        <w:t xml:space="preserve"> tolerowane lub są nieskuteczne</w:t>
      </w:r>
      <w:r w:rsidR="00713065" w:rsidRPr="00713065">
        <w:rPr>
          <w:rFonts w:asciiTheme="minorHAnsi" w:hAnsiTheme="minorHAnsi"/>
          <w:b/>
          <w:color w:val="000000"/>
          <w:sz w:val="22"/>
          <w:szCs w:val="22"/>
        </w:rPr>
        <w:t xml:space="preserve"> (Wzrost częstości występowania niewydolności serca i zdarzeń sercowo-naczyniowych po zastosowaniu leków przeciwnadciśnieniowych z grupy alfa-1-adrenolityków, niedociśnienie ortostatyczne, upadki, omdlenia, pogorszenie nietrzymania moczu u kobiet; działania niepożądane leków przeciwnadciśnieniowych o działaniu ośrodkowym na ośrodkowy układ nerwowy, sedacja-depresja-parkinsonizm i hipotonia ortostatyczna, skutki uboczne bradykardii)</w:t>
      </w:r>
      <w:r w:rsidRPr="00AE15DA">
        <w:rPr>
          <w:rFonts w:asciiTheme="minorHAnsi" w:hAnsiTheme="minorHAnsi"/>
          <w:sz w:val="22"/>
          <w:szCs w:val="22"/>
        </w:rPr>
        <w:t xml:space="preserve"> </w:t>
      </w:r>
    </w:p>
    <w:p w:rsidR="009B4E92" w:rsidRPr="00AE15DA" w:rsidRDefault="009B4E92" w:rsidP="0043334F">
      <w:pPr>
        <w:pStyle w:val="HTMLncedenBiimlendirilmi"/>
        <w:contextualSpacing/>
        <w:jc w:val="both"/>
        <w:rPr>
          <w:rFonts w:asciiTheme="minorHAnsi" w:hAnsiTheme="minorHAnsi" w:cstheme="minorHAnsi"/>
          <w:color w:val="000000" w:themeColor="text1"/>
          <w:sz w:val="22"/>
          <w:szCs w:val="22"/>
        </w:rPr>
      </w:pPr>
    </w:p>
    <w:p w:rsidR="00C75B3A" w:rsidRPr="00AE15DA" w:rsidRDefault="00C75B3A" w:rsidP="0043334F">
      <w:pPr>
        <w:pStyle w:val="HTMLncedenBiimlendirilmi"/>
        <w:contextualSpacing/>
        <w:jc w:val="both"/>
        <w:rPr>
          <w:rFonts w:asciiTheme="minorHAnsi" w:hAnsiTheme="minorHAnsi" w:cstheme="minorHAnsi"/>
          <w:color w:val="000000"/>
          <w:sz w:val="22"/>
          <w:szCs w:val="22"/>
        </w:rPr>
      </w:pPr>
    </w:p>
    <w:p w:rsidR="006C24B0" w:rsidRPr="00AE15DA" w:rsidRDefault="006C24B0"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sz w:val="22"/>
          <w:szCs w:val="22"/>
        </w:rPr>
        <w:t>A10.</w:t>
      </w:r>
      <w:r w:rsidR="002A1E62" w:rsidRPr="00AE15DA">
        <w:rPr>
          <w:rFonts w:asciiTheme="minorHAnsi" w:hAnsiTheme="minorHAnsi"/>
          <w:b/>
          <w:sz w:val="22"/>
          <w:szCs w:val="22"/>
        </w:rPr>
        <w:t xml:space="preserve"> </w:t>
      </w:r>
      <w:r w:rsidR="00713065" w:rsidRPr="00713065">
        <w:rPr>
          <w:rFonts w:asciiTheme="minorHAnsi" w:hAnsiTheme="minorHAnsi"/>
          <w:b/>
          <w:sz w:val="22"/>
          <w:szCs w:val="22"/>
        </w:rPr>
        <w:t>Leki przeciwnadciśnieniowe rozszerzające naczynia (alfa-1 blokery)/azotany nie są odpowiednie do stosowania u pacjentów z niedociśnieniem ortostatycznym (spadek skurczowego ciśnienia krwi o &gt;=20 mmHg lub o spadek rozkurczowego ciśnienia krwi o &gt;=10 mmHg) (ryzyko zwiększonego niedociśnienia ortostatycznego)</w:t>
      </w:r>
      <w:r w:rsidRPr="00AE15DA">
        <w:rPr>
          <w:rFonts w:asciiTheme="minorHAnsi" w:hAnsiTheme="minorHAnsi"/>
          <w:b/>
          <w:sz w:val="22"/>
          <w:szCs w:val="22"/>
        </w:rPr>
        <w:t xml:space="preserve"> </w:t>
      </w:r>
    </w:p>
    <w:p w:rsidR="008073BC" w:rsidRPr="00AE15DA" w:rsidRDefault="006C24B0" w:rsidP="0043334F">
      <w:pPr>
        <w:contextualSpacing/>
        <w:jc w:val="both"/>
        <w:rPr>
          <w:rFonts w:asciiTheme="minorHAnsi" w:hAnsiTheme="minorHAnsi"/>
          <w:i/>
          <w:sz w:val="22"/>
          <w:szCs w:val="22"/>
        </w:rPr>
      </w:pPr>
      <w:r w:rsidRPr="00AE15DA">
        <w:rPr>
          <w:rFonts w:asciiTheme="minorHAnsi" w:hAnsiTheme="minorHAnsi"/>
          <w:i/>
          <w:sz w:val="22"/>
          <w:szCs w:val="22"/>
        </w:rPr>
        <w:t>*</w:t>
      </w:r>
      <w:r w:rsidR="00713065" w:rsidRPr="00713065">
        <w:t xml:space="preserve"> </w:t>
      </w:r>
      <w:r w:rsidR="00713065" w:rsidRPr="00713065">
        <w:rPr>
          <w:rFonts w:asciiTheme="minorHAnsi" w:hAnsiTheme="minorHAnsi"/>
          <w:i/>
          <w:sz w:val="22"/>
          <w:szCs w:val="22"/>
        </w:rPr>
        <w:t>Stosowanie leków przeciwnadciśnieniowych rozszerzających naczynia krwionośne w przypadku hipotonii ortostatycznej może być właściwe tylko wtedy, gdy ciężkiej</w:t>
      </w:r>
      <w:r w:rsidR="004B6921">
        <w:rPr>
          <w:rFonts w:asciiTheme="minorHAnsi" w:hAnsiTheme="minorHAnsi"/>
          <w:i/>
          <w:sz w:val="22"/>
          <w:szCs w:val="22"/>
        </w:rPr>
        <w:t xml:space="preserve"> H</w:t>
      </w:r>
      <w:r w:rsidR="00713065" w:rsidRPr="00713065">
        <w:rPr>
          <w:rFonts w:asciiTheme="minorHAnsi" w:hAnsiTheme="minorHAnsi"/>
          <w:i/>
          <w:sz w:val="22"/>
          <w:szCs w:val="22"/>
        </w:rPr>
        <w:t xml:space="preserve">T w pozycji leżącej nie można kontrolować innymi lekami przeciwnadciśnieniowymi. Jeśli są stosowane, należy jednocześnie stosować środki ochronne przeciwko hipotonii ortostatycznej. W przypadku </w:t>
      </w:r>
      <w:r w:rsidR="000B1551" w:rsidRPr="00713065">
        <w:rPr>
          <w:rFonts w:asciiTheme="minorHAnsi" w:hAnsiTheme="minorHAnsi"/>
          <w:i/>
          <w:sz w:val="22"/>
          <w:szCs w:val="22"/>
        </w:rPr>
        <w:t>hipotonii ortostatycznej</w:t>
      </w:r>
      <w:r w:rsidR="00713065" w:rsidRPr="00713065">
        <w:rPr>
          <w:rFonts w:asciiTheme="minorHAnsi" w:hAnsiTheme="minorHAnsi"/>
          <w:i/>
          <w:sz w:val="22"/>
          <w:szCs w:val="22"/>
        </w:rPr>
        <w:t xml:space="preserve"> należy ocenić wszystkie leki przeciwnadciśnieniowe pod kątem zmniejszenia dawki.</w:t>
      </w:r>
    </w:p>
    <w:p w:rsidR="009B4E92" w:rsidRPr="00AE15DA"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E86B5B" w:rsidRPr="00AE15DA" w:rsidRDefault="00E86B5B"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p>
    <w:p w:rsidR="009B4E92"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olor w:val="000000"/>
          <w:sz w:val="22"/>
          <w:szCs w:val="22"/>
          <w:vertAlign w:val="superscript"/>
        </w:rPr>
      </w:pPr>
      <w:r w:rsidRPr="00AE15DA">
        <w:rPr>
          <w:rFonts w:asciiTheme="minorHAnsi" w:hAnsiTheme="minorHAnsi"/>
          <w:b/>
          <w:sz w:val="22"/>
          <w:szCs w:val="22"/>
        </w:rPr>
        <w:t>A11.</w:t>
      </w:r>
      <w:r w:rsidR="00181929" w:rsidRPr="00AE15DA">
        <w:rPr>
          <w:rFonts w:asciiTheme="minorHAnsi" w:hAnsiTheme="minorHAnsi"/>
          <w:b/>
          <w:sz w:val="22"/>
          <w:szCs w:val="22"/>
        </w:rPr>
        <w:t xml:space="preserve"> </w:t>
      </w:r>
      <w:r w:rsidR="000B1551" w:rsidRPr="000B1551">
        <w:rPr>
          <w:rFonts w:asciiTheme="minorHAnsi" w:hAnsiTheme="minorHAnsi"/>
          <w:b/>
          <w:sz w:val="22"/>
          <w:szCs w:val="22"/>
        </w:rPr>
        <w:t xml:space="preserve">Ścisła kontrola ciśnienia krwi (&lt;140/90 mmHg) nie jest odpowiednia u pacjentów z hipotonią ortostatyczną/zaburzeniami funkcji poznawczych </w:t>
      </w:r>
      <w:proofErr w:type="gramStart"/>
      <w:r w:rsidR="000B1551" w:rsidRPr="000B1551">
        <w:rPr>
          <w:rFonts w:asciiTheme="minorHAnsi" w:hAnsiTheme="minorHAnsi"/>
          <w:b/>
          <w:sz w:val="22"/>
          <w:szCs w:val="22"/>
        </w:rPr>
        <w:t>(</w:t>
      </w:r>
      <w:proofErr w:type="gramEnd"/>
      <w:r w:rsidR="000B1551" w:rsidRPr="000B1551">
        <w:rPr>
          <w:rFonts w:asciiTheme="minorHAnsi" w:hAnsiTheme="minorHAnsi"/>
          <w:b/>
          <w:sz w:val="22"/>
          <w:szCs w:val="22"/>
        </w:rPr>
        <w:t xml:space="preserve">np. </w:t>
      </w:r>
      <w:proofErr w:type="gramStart"/>
      <w:r w:rsidR="000B1551" w:rsidRPr="000B1551">
        <w:rPr>
          <w:rFonts w:asciiTheme="minorHAnsi" w:hAnsiTheme="minorHAnsi"/>
          <w:b/>
          <w:sz w:val="22"/>
          <w:szCs w:val="22"/>
        </w:rPr>
        <w:t>ot</w:t>
      </w:r>
      <w:proofErr w:type="gramEnd"/>
      <w:r w:rsidR="000B1551" w:rsidRPr="000B1551">
        <w:rPr>
          <w:rFonts w:asciiTheme="minorHAnsi" w:hAnsiTheme="minorHAnsi"/>
          <w:b/>
          <w:sz w:val="22"/>
          <w:szCs w:val="22"/>
        </w:rPr>
        <w:t>ępieniem)/ograniczeniem czynnościowym/krótką przewidywaną długością życia (&lt;2 lata)/wysokim ryzykiem upadku</w:t>
      </w:r>
      <w:r w:rsidRPr="00AE15DA">
        <w:rPr>
          <w:rFonts w:asciiTheme="minorHAnsi" w:hAnsiTheme="minorHAnsi"/>
          <w:b/>
          <w:sz w:val="22"/>
          <w:szCs w:val="22"/>
        </w:rPr>
        <w:t xml:space="preserve"> </w:t>
      </w:r>
    </w:p>
    <w:p w:rsidR="00C75B3A" w:rsidRPr="00AE15DA" w:rsidRDefault="00C75B3A" w:rsidP="0043334F">
      <w:pPr>
        <w:autoSpaceDE w:val="0"/>
        <w:autoSpaceDN w:val="0"/>
        <w:adjustRightInd w:val="0"/>
        <w:contextualSpacing/>
        <w:jc w:val="both"/>
        <w:rPr>
          <w:rFonts w:asciiTheme="minorHAnsi" w:eastAsiaTheme="minorHAnsi" w:hAnsiTheme="minorHAnsi" w:cstheme="minorHAnsi"/>
          <w:sz w:val="22"/>
          <w:szCs w:val="22"/>
        </w:rPr>
      </w:pPr>
    </w:p>
    <w:p w:rsidR="00C75B3A" w:rsidRPr="00AE15DA" w:rsidRDefault="00C75B3A" w:rsidP="0043334F">
      <w:pPr>
        <w:autoSpaceDE w:val="0"/>
        <w:autoSpaceDN w:val="0"/>
        <w:adjustRightInd w:val="0"/>
        <w:contextualSpacing/>
        <w:jc w:val="both"/>
        <w:rPr>
          <w:rFonts w:asciiTheme="minorHAnsi" w:eastAsiaTheme="minorHAnsi" w:hAnsiTheme="minorHAnsi" w:cstheme="minorHAnsi"/>
          <w:sz w:val="22"/>
          <w:szCs w:val="22"/>
        </w:rPr>
      </w:pPr>
    </w:p>
    <w:p w:rsidR="006C24B0" w:rsidRPr="00AE15DA" w:rsidRDefault="006C24B0" w:rsidP="0043334F">
      <w:pPr>
        <w:autoSpaceDE w:val="0"/>
        <w:autoSpaceDN w:val="0"/>
        <w:adjustRightInd w:val="0"/>
        <w:contextualSpacing/>
        <w:jc w:val="both"/>
        <w:rPr>
          <w:rFonts w:asciiTheme="minorHAnsi" w:eastAsiaTheme="minorHAnsi" w:hAnsiTheme="minorHAnsi" w:cstheme="minorHAnsi"/>
          <w:sz w:val="22"/>
          <w:szCs w:val="22"/>
        </w:rPr>
      </w:pPr>
      <w:r w:rsidRPr="00AE15DA">
        <w:rPr>
          <w:rFonts w:asciiTheme="minorHAnsi" w:hAnsiTheme="minorHAnsi"/>
          <w:b/>
          <w:sz w:val="22"/>
          <w:szCs w:val="22"/>
        </w:rPr>
        <w:t xml:space="preserve">A12. </w:t>
      </w:r>
      <w:r w:rsidR="000B1551" w:rsidRPr="000B1551">
        <w:rPr>
          <w:rFonts w:asciiTheme="minorHAnsi" w:hAnsiTheme="minorHAnsi"/>
          <w:b/>
          <w:color w:val="000000"/>
          <w:sz w:val="22"/>
          <w:szCs w:val="22"/>
        </w:rPr>
        <w:t>Fludrokortyzon nie jest odpowiedni do leczenia hipotonii ortostatycznej bez wykluczenia czynników wtórnych i zastosowania metod nielekowych</w:t>
      </w:r>
    </w:p>
    <w:p w:rsidR="009B4E92" w:rsidRPr="00AE15DA" w:rsidRDefault="006C24B0" w:rsidP="0043334F">
      <w:pPr>
        <w:spacing w:after="100" w:afterAutospacing="1"/>
        <w:contextualSpacing/>
        <w:jc w:val="both"/>
        <w:rPr>
          <w:rFonts w:asciiTheme="minorHAnsi" w:hAnsiTheme="minorHAnsi"/>
          <w:i/>
          <w:sz w:val="22"/>
          <w:szCs w:val="22"/>
        </w:rPr>
      </w:pPr>
      <w:r w:rsidRPr="00AE15DA">
        <w:rPr>
          <w:rFonts w:asciiTheme="minorHAnsi" w:hAnsiTheme="minorHAnsi"/>
          <w:i/>
          <w:color w:val="000000" w:themeColor="text1"/>
          <w:sz w:val="22"/>
          <w:szCs w:val="22"/>
        </w:rPr>
        <w:lastRenderedPageBreak/>
        <w:t>*</w:t>
      </w:r>
      <w:r w:rsidR="004B6921" w:rsidRPr="004B6921">
        <w:t xml:space="preserve"> </w:t>
      </w:r>
      <w:r w:rsidR="004B6921" w:rsidRPr="004B6921">
        <w:rPr>
          <w:rFonts w:asciiTheme="minorHAnsi" w:hAnsiTheme="minorHAnsi"/>
          <w:i/>
          <w:color w:val="000000" w:themeColor="text1"/>
          <w:sz w:val="22"/>
          <w:szCs w:val="22"/>
        </w:rPr>
        <w:t xml:space="preserve">Nielekowe podejścia do leczenia hipotonii ortostatycznej są następujące: powolne wstawanie, ćwiczenia oporowe kończyn dolnych, noszenie </w:t>
      </w:r>
      <w:r w:rsidR="004B6921">
        <w:rPr>
          <w:rFonts w:asciiTheme="minorHAnsi" w:hAnsiTheme="minorHAnsi"/>
          <w:i/>
          <w:color w:val="000000" w:themeColor="text1"/>
          <w:sz w:val="22"/>
          <w:szCs w:val="22"/>
        </w:rPr>
        <w:t>rajstop</w:t>
      </w:r>
      <w:r w:rsidR="004B6921" w:rsidRPr="004B6921">
        <w:rPr>
          <w:rFonts w:asciiTheme="minorHAnsi" w:hAnsiTheme="minorHAnsi"/>
          <w:i/>
          <w:color w:val="000000" w:themeColor="text1"/>
          <w:sz w:val="22"/>
          <w:szCs w:val="22"/>
        </w:rPr>
        <w:t xml:space="preserve"> uciskowych, odpowiednia podaż płynów [2–3 l/dobę], unikanie alkoholu, spożywanie małych i częstych posiłków, spożycie </w:t>
      </w:r>
      <w:r w:rsidR="004B6921">
        <w:rPr>
          <w:rFonts w:asciiTheme="minorHAnsi" w:hAnsiTheme="minorHAnsi"/>
          <w:i/>
          <w:color w:val="000000" w:themeColor="text1"/>
          <w:sz w:val="22"/>
          <w:szCs w:val="22"/>
        </w:rPr>
        <w:t>odpowiednej ilości</w:t>
      </w:r>
      <w:r w:rsidR="004B6921" w:rsidRPr="004B6921">
        <w:rPr>
          <w:rFonts w:asciiTheme="minorHAnsi" w:hAnsiTheme="minorHAnsi"/>
          <w:i/>
          <w:color w:val="000000" w:themeColor="text1"/>
          <w:sz w:val="22"/>
          <w:szCs w:val="22"/>
        </w:rPr>
        <w:t xml:space="preserve"> soli [6-10] g/dzień</w:t>
      </w:r>
      <w:proofErr w:type="gramStart"/>
      <w:r w:rsidR="004B6921" w:rsidRPr="004B6921">
        <w:rPr>
          <w:rFonts w:asciiTheme="minorHAnsi" w:hAnsiTheme="minorHAnsi"/>
          <w:i/>
          <w:color w:val="000000" w:themeColor="text1"/>
          <w:sz w:val="22"/>
          <w:szCs w:val="22"/>
        </w:rPr>
        <w:t>]</w:t>
      </w:r>
      <w:proofErr w:type="gramEnd"/>
      <w:r w:rsidR="004B6921" w:rsidRPr="004B6921">
        <w:rPr>
          <w:rFonts w:asciiTheme="minorHAnsi" w:hAnsiTheme="minorHAnsi"/>
          <w:i/>
          <w:color w:val="000000" w:themeColor="text1"/>
          <w:sz w:val="22"/>
          <w:szCs w:val="22"/>
        </w:rPr>
        <w:t>, unikanie pokarmów bogatych w węglowodany, unikanie intensywnych ćwiczeń w czasie upałów, utrzymywanie głowy uniesionej na 30-45 stopni w pozycji leżącej</w:t>
      </w:r>
    </w:p>
    <w:p w:rsidR="00C75B3A" w:rsidRPr="00AE15DA" w:rsidRDefault="00C75B3A" w:rsidP="0043334F">
      <w:pPr>
        <w:spacing w:after="100" w:afterAutospacing="1"/>
        <w:contextualSpacing/>
        <w:jc w:val="both"/>
        <w:rPr>
          <w:rFonts w:asciiTheme="minorHAnsi" w:hAnsiTheme="minorHAnsi"/>
          <w:i/>
          <w:sz w:val="22"/>
          <w:szCs w:val="22"/>
        </w:rPr>
      </w:pPr>
    </w:p>
    <w:p w:rsidR="0077695B" w:rsidRPr="00AE15DA" w:rsidRDefault="0077695B" w:rsidP="0043334F">
      <w:pPr>
        <w:spacing w:before="100" w:beforeAutospacing="1"/>
        <w:contextualSpacing/>
        <w:jc w:val="both"/>
        <w:rPr>
          <w:rFonts w:asciiTheme="minorHAnsi" w:hAnsiTheme="minorHAnsi"/>
          <w:b/>
          <w:sz w:val="22"/>
          <w:szCs w:val="22"/>
        </w:rPr>
      </w:pPr>
    </w:p>
    <w:p w:rsidR="006C24B0" w:rsidRPr="00AE15DA" w:rsidRDefault="006C24B0"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A13.</w:t>
      </w:r>
      <w:r w:rsidR="00181929" w:rsidRPr="00AE15DA">
        <w:rPr>
          <w:rFonts w:asciiTheme="minorHAnsi" w:hAnsiTheme="minorHAnsi"/>
          <w:b/>
          <w:sz w:val="22"/>
          <w:szCs w:val="22"/>
        </w:rPr>
        <w:t xml:space="preserve"> </w:t>
      </w:r>
      <w:r w:rsidR="004B6921" w:rsidRPr="004B6921">
        <w:rPr>
          <w:rFonts w:asciiTheme="minorHAnsi" w:hAnsiTheme="minorHAnsi"/>
          <w:b/>
          <w:sz w:val="22"/>
          <w:szCs w:val="22"/>
        </w:rPr>
        <w:t xml:space="preserve">Stosowanie kombinacji beta-adrenolityków i werapamilu/diltiazemu nie jest właściwe u pacjentów z </w:t>
      </w:r>
      <w:r w:rsidR="004B6921">
        <w:rPr>
          <w:rFonts w:asciiTheme="minorHAnsi" w:hAnsiTheme="minorHAnsi"/>
          <w:b/>
          <w:sz w:val="22"/>
          <w:szCs w:val="22"/>
        </w:rPr>
        <w:t>HT</w:t>
      </w:r>
      <w:r w:rsidR="004B6921" w:rsidRPr="004B6921">
        <w:rPr>
          <w:rFonts w:asciiTheme="minorHAnsi" w:hAnsiTheme="minorHAnsi"/>
          <w:b/>
          <w:sz w:val="22"/>
          <w:szCs w:val="22"/>
        </w:rPr>
        <w:t xml:space="preserve"> (ryzyko bloku serca)</w:t>
      </w:r>
    </w:p>
    <w:p w:rsidR="00EC68B4" w:rsidRPr="00AE15DA" w:rsidRDefault="00EC68B4" w:rsidP="0043334F">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4B6921" w:rsidRPr="004B6921">
        <w:t xml:space="preserve"> </w:t>
      </w:r>
      <w:r w:rsidR="004B6921">
        <w:rPr>
          <w:rFonts w:asciiTheme="minorHAnsi" w:hAnsiTheme="minorHAnsi"/>
          <w:i/>
          <w:color w:val="000000" w:themeColor="text1"/>
          <w:sz w:val="22"/>
          <w:szCs w:val="22"/>
        </w:rPr>
        <w:t>W leczeniu H</w:t>
      </w:r>
      <w:r w:rsidR="004B6921" w:rsidRPr="004B6921">
        <w:rPr>
          <w:rFonts w:asciiTheme="minorHAnsi" w:hAnsiTheme="minorHAnsi"/>
          <w:i/>
          <w:color w:val="000000" w:themeColor="text1"/>
          <w:sz w:val="22"/>
          <w:szCs w:val="22"/>
        </w:rPr>
        <w:t>T u osób w podeszłym wieku preferowane powinny być długo działające blokery kanału wapniowego z grupy dihydropirydyn (stosowanie werapamilu/diltiazemu może zwiększać ryzyko wystąpienia bloku serca).</w:t>
      </w:r>
    </w:p>
    <w:p w:rsidR="006C24B0" w:rsidRPr="00AE15DA" w:rsidRDefault="006C24B0" w:rsidP="0043334F">
      <w:pPr>
        <w:contextualSpacing/>
        <w:jc w:val="both"/>
        <w:rPr>
          <w:rFonts w:asciiTheme="minorHAnsi" w:hAnsiTheme="minorHAnsi"/>
          <w:i/>
          <w:sz w:val="22"/>
          <w:szCs w:val="22"/>
        </w:rPr>
      </w:pPr>
      <w:r w:rsidRPr="00AE15DA">
        <w:rPr>
          <w:rFonts w:asciiTheme="minorHAnsi" w:hAnsiTheme="minorHAnsi"/>
          <w:i/>
          <w:sz w:val="22"/>
          <w:szCs w:val="22"/>
        </w:rPr>
        <w:t xml:space="preserve"> *</w:t>
      </w:r>
      <w:r w:rsidR="004B6921" w:rsidRPr="004B6921">
        <w:t xml:space="preserve"> </w:t>
      </w:r>
      <w:r w:rsidR="004B6921" w:rsidRPr="004B6921">
        <w:rPr>
          <w:rFonts w:asciiTheme="minorHAnsi" w:hAnsiTheme="minorHAnsi"/>
          <w:i/>
          <w:sz w:val="22"/>
          <w:szCs w:val="22"/>
        </w:rPr>
        <w:t>W niektórych przypadkach częstoskurczu nadkomorowego właściwe może być skojarzenie beta-adrenolityków z werapamilem/diltiazemem. W takim przypadku należy go używać ostrożnie</w:t>
      </w:r>
      <w:r w:rsidRPr="00AE15DA">
        <w:rPr>
          <w:rFonts w:asciiTheme="minorHAnsi" w:hAnsiTheme="minorHAnsi"/>
          <w:i/>
          <w:color w:val="000000"/>
          <w:sz w:val="22"/>
          <w:szCs w:val="22"/>
        </w:rPr>
        <w:t xml:space="preserve">. </w:t>
      </w:r>
    </w:p>
    <w:p w:rsidR="0077695B" w:rsidRDefault="0077695B" w:rsidP="0043334F">
      <w:pPr>
        <w:contextualSpacing/>
        <w:jc w:val="both"/>
        <w:rPr>
          <w:rFonts w:asciiTheme="minorHAnsi" w:hAnsiTheme="minorHAnsi"/>
          <w:i/>
          <w:color w:val="44546A" w:themeColor="text2"/>
          <w:sz w:val="22"/>
          <w:szCs w:val="22"/>
        </w:rPr>
      </w:pPr>
    </w:p>
    <w:p w:rsidR="00E85274" w:rsidRPr="00AE15DA" w:rsidRDefault="00E85274" w:rsidP="0043334F">
      <w:pPr>
        <w:contextualSpacing/>
        <w:jc w:val="both"/>
        <w:rPr>
          <w:rFonts w:asciiTheme="minorHAnsi" w:hAnsiTheme="minorHAnsi"/>
          <w:b/>
          <w:sz w:val="22"/>
          <w:szCs w:val="22"/>
        </w:rPr>
      </w:pPr>
    </w:p>
    <w:p w:rsidR="0018466D" w:rsidRPr="00AE15DA" w:rsidRDefault="0018466D" w:rsidP="0043334F">
      <w:pPr>
        <w:contextualSpacing/>
        <w:jc w:val="both"/>
        <w:rPr>
          <w:rFonts w:asciiTheme="minorHAnsi" w:hAnsiTheme="minorHAnsi"/>
          <w:b/>
          <w:sz w:val="22"/>
          <w:szCs w:val="22"/>
        </w:rPr>
      </w:pPr>
      <w:r w:rsidRPr="00AE15DA">
        <w:rPr>
          <w:rFonts w:asciiTheme="minorHAnsi" w:hAnsiTheme="minorHAnsi"/>
          <w:b/>
          <w:sz w:val="22"/>
          <w:szCs w:val="22"/>
        </w:rPr>
        <w:t xml:space="preserve">A14. </w:t>
      </w:r>
      <w:r w:rsidR="004B6921" w:rsidRPr="004B6921">
        <w:rPr>
          <w:rFonts w:asciiTheme="minorHAnsi" w:hAnsiTheme="minorHAnsi"/>
          <w:b/>
          <w:sz w:val="22"/>
          <w:szCs w:val="22"/>
        </w:rPr>
        <w:t>W przypadku stężenia potasu w surowicy powyżej 5,5 mEq/l nie należy rozpoczynać leczenia blokerem RAS (inhibitor ACE, ARB, bezpośredni inhibitor reniny) lub lekiem moczopędnym oszczędzającym potas (spironolakton, e</w:t>
      </w:r>
      <w:r w:rsidR="004B6921">
        <w:rPr>
          <w:rFonts w:asciiTheme="minorHAnsi" w:hAnsiTheme="minorHAnsi"/>
          <w:b/>
          <w:sz w:val="22"/>
          <w:szCs w:val="22"/>
        </w:rPr>
        <w:t>plerenon, amiloryd, triamteren)</w:t>
      </w:r>
    </w:p>
    <w:p w:rsidR="006A79E8" w:rsidRPr="00AE15DA" w:rsidRDefault="0018466D" w:rsidP="0043334F">
      <w:pPr>
        <w:contextualSpacing/>
        <w:jc w:val="both"/>
        <w:rPr>
          <w:rFonts w:asciiTheme="minorHAnsi" w:hAnsiTheme="minorHAnsi"/>
          <w:i/>
          <w:sz w:val="22"/>
          <w:szCs w:val="22"/>
        </w:rPr>
      </w:pPr>
      <w:r w:rsidRPr="00AE15DA">
        <w:rPr>
          <w:rFonts w:asciiTheme="minorHAnsi" w:hAnsiTheme="minorHAnsi"/>
          <w:sz w:val="22"/>
          <w:szCs w:val="22"/>
        </w:rPr>
        <w:t>*</w:t>
      </w:r>
      <w:r w:rsidR="004B6921" w:rsidRPr="004B6921">
        <w:t xml:space="preserve"> </w:t>
      </w:r>
      <w:r w:rsidR="004B6921" w:rsidRPr="004B6921">
        <w:rPr>
          <w:rFonts w:asciiTheme="minorHAnsi" w:hAnsiTheme="minorHAnsi"/>
          <w:i/>
          <w:sz w:val="22"/>
          <w:szCs w:val="22"/>
        </w:rPr>
        <w:t>W przypadku stosowania tej grupy leków w przypadkach ze stężeniem potasu pow</w:t>
      </w:r>
      <w:r w:rsidR="004B6921">
        <w:rPr>
          <w:rFonts w:asciiTheme="minorHAnsi" w:hAnsiTheme="minorHAnsi"/>
          <w:i/>
          <w:sz w:val="22"/>
          <w:szCs w:val="22"/>
        </w:rPr>
        <w:t>yżej 6 mEq/l należy je odstawić</w:t>
      </w:r>
      <w:r w:rsidRPr="00AE15DA">
        <w:rPr>
          <w:rFonts w:asciiTheme="minorHAnsi" w:hAnsiTheme="minorHAnsi"/>
          <w:i/>
          <w:sz w:val="22"/>
          <w:szCs w:val="22"/>
        </w:rPr>
        <w:t xml:space="preserve">. </w:t>
      </w:r>
    </w:p>
    <w:p w:rsidR="0018466D" w:rsidRPr="00AE15DA" w:rsidRDefault="00CC0179" w:rsidP="0043334F">
      <w:pPr>
        <w:contextualSpacing/>
        <w:jc w:val="both"/>
        <w:rPr>
          <w:rFonts w:asciiTheme="minorHAnsi" w:hAnsiTheme="minorHAnsi"/>
          <w:i/>
          <w:sz w:val="22"/>
          <w:szCs w:val="22"/>
        </w:rPr>
      </w:pPr>
      <w:r w:rsidRPr="00AE15DA">
        <w:rPr>
          <w:rFonts w:asciiTheme="minorHAnsi" w:hAnsiTheme="minorHAnsi"/>
          <w:i/>
          <w:sz w:val="22"/>
          <w:szCs w:val="22"/>
        </w:rPr>
        <w:t>*</w:t>
      </w:r>
      <w:r w:rsidR="004B6921" w:rsidRPr="004B6921">
        <w:t xml:space="preserve"> </w:t>
      </w:r>
      <w:r w:rsidR="004B6921" w:rsidRPr="004B6921">
        <w:rPr>
          <w:rFonts w:asciiTheme="minorHAnsi" w:hAnsiTheme="minorHAnsi"/>
          <w:i/>
          <w:sz w:val="22"/>
          <w:szCs w:val="22"/>
        </w:rPr>
        <w:t>Łączne stosowanie inhibitorów ACE i ARB w celach przeciwnad</w:t>
      </w:r>
      <w:r w:rsidR="004B6921">
        <w:rPr>
          <w:rFonts w:asciiTheme="minorHAnsi" w:hAnsiTheme="minorHAnsi"/>
          <w:i/>
          <w:sz w:val="22"/>
          <w:szCs w:val="22"/>
        </w:rPr>
        <w:t>ciśnieniowych nie jest właściwe</w:t>
      </w:r>
      <w:r w:rsidR="0018466D" w:rsidRPr="00AE15DA">
        <w:rPr>
          <w:rFonts w:asciiTheme="minorHAnsi" w:hAnsiTheme="minorHAnsi"/>
          <w:i/>
          <w:sz w:val="22"/>
          <w:szCs w:val="22"/>
        </w:rPr>
        <w:t xml:space="preserve">. </w:t>
      </w:r>
    </w:p>
    <w:p w:rsidR="006A79E8" w:rsidRPr="00AE15DA" w:rsidRDefault="006A79E8" w:rsidP="0043334F">
      <w:pPr>
        <w:contextualSpacing/>
        <w:jc w:val="both"/>
        <w:rPr>
          <w:rFonts w:asciiTheme="minorHAnsi" w:hAnsiTheme="minorHAnsi"/>
          <w:sz w:val="22"/>
          <w:szCs w:val="22"/>
          <w:vertAlign w:val="superscript"/>
        </w:rPr>
      </w:pPr>
    </w:p>
    <w:p w:rsidR="0077695B" w:rsidRPr="00AE15DA" w:rsidRDefault="0077695B" w:rsidP="0043334F">
      <w:pPr>
        <w:contextualSpacing/>
        <w:rPr>
          <w:rFonts w:asciiTheme="minorHAnsi" w:hAnsiTheme="minorHAnsi" w:cstheme="minorHAnsi"/>
          <w:color w:val="000000"/>
          <w:sz w:val="22"/>
          <w:szCs w:val="22"/>
        </w:rPr>
      </w:pPr>
    </w:p>
    <w:p w:rsidR="00234A6B" w:rsidRPr="00AE15DA" w:rsidRDefault="0018466D" w:rsidP="0043334F">
      <w:pPr>
        <w:contextualSpacing/>
        <w:rPr>
          <w:rFonts w:asciiTheme="minorHAnsi" w:hAnsiTheme="minorHAnsi" w:cstheme="minorHAnsi"/>
          <w:color w:val="000000"/>
          <w:sz w:val="22"/>
          <w:szCs w:val="22"/>
        </w:rPr>
      </w:pPr>
      <w:r w:rsidRPr="00AE15DA">
        <w:rPr>
          <w:rFonts w:asciiTheme="minorHAnsi" w:hAnsiTheme="minorHAnsi"/>
          <w:b/>
          <w:sz w:val="22"/>
          <w:szCs w:val="22"/>
        </w:rPr>
        <w:t xml:space="preserve">A15. </w:t>
      </w:r>
      <w:r w:rsidR="004B6921" w:rsidRPr="004B6921">
        <w:rPr>
          <w:rFonts w:asciiTheme="minorHAnsi" w:hAnsiTheme="minorHAnsi"/>
          <w:b/>
          <w:sz w:val="22"/>
          <w:szCs w:val="22"/>
        </w:rPr>
        <w:t>Nie należy łączyć blokerów RAS (ACEI, ARB, bezpośredni inhibitor reniny) z lekami moczopędnymi oszczędzającymi potas (spironolakton, eplerenon, amiloryd, triamteren) bez monitorowania stężenia potasu w surowicy (ryzyk</w:t>
      </w:r>
      <w:r w:rsidR="004B6921">
        <w:rPr>
          <w:rFonts w:asciiTheme="minorHAnsi" w:hAnsiTheme="minorHAnsi"/>
          <w:b/>
          <w:sz w:val="22"/>
          <w:szCs w:val="22"/>
        </w:rPr>
        <w:t>o niebezpiecznej hiperkaliemii)</w:t>
      </w:r>
      <w:r w:rsidR="00CB779B" w:rsidRPr="00AE15DA">
        <w:rPr>
          <w:rFonts w:asciiTheme="minorHAnsi" w:hAnsiTheme="minorHAnsi"/>
          <w:b/>
          <w:sz w:val="22"/>
          <w:szCs w:val="22"/>
        </w:rPr>
        <w:t xml:space="preserve"> </w:t>
      </w:r>
    </w:p>
    <w:p w:rsidR="0018466D" w:rsidRPr="00AE15DA" w:rsidRDefault="0018466D" w:rsidP="0043334F">
      <w:pPr>
        <w:spacing w:after="100" w:afterAutospacing="1"/>
        <w:contextualSpacing/>
        <w:jc w:val="both"/>
        <w:rPr>
          <w:rFonts w:asciiTheme="minorHAnsi" w:hAnsiTheme="minorHAnsi"/>
          <w:i/>
          <w:sz w:val="22"/>
          <w:szCs w:val="22"/>
          <w:vertAlign w:val="superscript"/>
        </w:rPr>
      </w:pPr>
      <w:r w:rsidRPr="00AE15DA">
        <w:rPr>
          <w:rFonts w:asciiTheme="minorHAnsi" w:hAnsiTheme="minorHAnsi"/>
          <w:i/>
          <w:sz w:val="22"/>
          <w:szCs w:val="22"/>
        </w:rPr>
        <w:t>*</w:t>
      </w:r>
      <w:r w:rsidR="004B6921" w:rsidRPr="004B6921">
        <w:t xml:space="preserve"> </w:t>
      </w:r>
      <w:r w:rsidR="004B6921" w:rsidRPr="004B6921">
        <w:rPr>
          <w:rFonts w:asciiTheme="minorHAnsi" w:hAnsiTheme="minorHAnsi"/>
          <w:i/>
          <w:sz w:val="22"/>
          <w:szCs w:val="22"/>
        </w:rPr>
        <w:t>Ryzyko to jest szczególnie wyższe u pacjentów z cukrzycą, niewydolnością nerek, osób starszych oraz osób przyjmuj</w:t>
      </w:r>
      <w:r w:rsidR="004B6921">
        <w:rPr>
          <w:rFonts w:asciiTheme="minorHAnsi" w:hAnsiTheme="minorHAnsi"/>
          <w:i/>
          <w:sz w:val="22"/>
          <w:szCs w:val="22"/>
        </w:rPr>
        <w:t>ących suplementy soli potasowej</w:t>
      </w:r>
      <w:r w:rsidRPr="00AE15DA">
        <w:rPr>
          <w:rFonts w:asciiTheme="minorHAnsi" w:hAnsiTheme="minorHAnsi"/>
          <w:i/>
          <w:sz w:val="22"/>
          <w:szCs w:val="22"/>
        </w:rPr>
        <w:t xml:space="preserve">.  </w:t>
      </w:r>
    </w:p>
    <w:p w:rsidR="00E86B5B" w:rsidRPr="00AE15DA" w:rsidRDefault="00E86B5B" w:rsidP="0043334F">
      <w:pPr>
        <w:contextualSpacing/>
        <w:jc w:val="both"/>
        <w:rPr>
          <w:rFonts w:asciiTheme="minorHAnsi" w:hAnsiTheme="minorHAnsi"/>
          <w:b/>
          <w:color w:val="000000" w:themeColor="text1"/>
          <w:sz w:val="22"/>
          <w:szCs w:val="22"/>
        </w:rPr>
      </w:pPr>
    </w:p>
    <w:p w:rsidR="00E86B5B" w:rsidRPr="00AE15DA" w:rsidRDefault="00E86B5B" w:rsidP="0043334F">
      <w:pPr>
        <w:contextualSpacing/>
        <w:jc w:val="both"/>
        <w:rPr>
          <w:rFonts w:asciiTheme="minorHAnsi" w:hAnsiTheme="minorHAnsi"/>
          <w:b/>
          <w:color w:val="000000" w:themeColor="text1"/>
          <w:sz w:val="22"/>
          <w:szCs w:val="22"/>
        </w:rPr>
      </w:pPr>
    </w:p>
    <w:p w:rsidR="003814F4" w:rsidRPr="00AE15DA" w:rsidRDefault="003814F4" w:rsidP="0043334F">
      <w:pPr>
        <w:contextualSpacing/>
        <w:jc w:val="both"/>
        <w:rPr>
          <w:rFonts w:asciiTheme="minorHAnsi" w:hAnsiTheme="minorHAnsi"/>
          <w:b/>
          <w:color w:val="000000" w:themeColor="text1"/>
          <w:sz w:val="22"/>
          <w:szCs w:val="22"/>
        </w:rPr>
      </w:pPr>
      <w:r w:rsidRPr="00AE15DA">
        <w:rPr>
          <w:rFonts w:asciiTheme="minorHAnsi" w:hAnsiTheme="minorHAnsi"/>
          <w:b/>
          <w:color w:val="000000" w:themeColor="text1"/>
          <w:sz w:val="22"/>
          <w:szCs w:val="22"/>
        </w:rPr>
        <w:t xml:space="preserve">A16. </w:t>
      </w:r>
      <w:r w:rsidR="004B6921" w:rsidRPr="004B6921">
        <w:rPr>
          <w:rFonts w:asciiTheme="minorHAnsi" w:hAnsiTheme="minorHAnsi"/>
          <w:b/>
          <w:color w:val="000000" w:themeColor="text1"/>
          <w:sz w:val="22"/>
          <w:szCs w:val="22"/>
        </w:rPr>
        <w:t xml:space="preserve">Leki oszczędzające potas (antagoniści aldosteronu, triamteren, amiloryd, ACEI, ARB) nie są odpowiednie do stosowania u pacjentów z GFR &lt;30 ml/min/1,73m2 i u których nie można ściśle monitorować stężenia potasu w </w:t>
      </w:r>
      <w:r w:rsidR="004B6921">
        <w:rPr>
          <w:rFonts w:asciiTheme="minorHAnsi" w:hAnsiTheme="minorHAnsi"/>
          <w:b/>
          <w:color w:val="000000" w:themeColor="text1"/>
          <w:sz w:val="22"/>
          <w:szCs w:val="22"/>
        </w:rPr>
        <w:t>surowicy (ryzyko hiperkaliemii)</w:t>
      </w:r>
      <w:r w:rsidRPr="00AE15DA">
        <w:rPr>
          <w:rFonts w:asciiTheme="minorHAnsi" w:hAnsiTheme="minorHAnsi"/>
          <w:b/>
          <w:color w:val="000000" w:themeColor="text1"/>
          <w:sz w:val="22"/>
          <w:szCs w:val="22"/>
        </w:rPr>
        <w:t xml:space="preserve"> </w:t>
      </w:r>
    </w:p>
    <w:p w:rsidR="001D79D5" w:rsidRPr="00AE15DA" w:rsidRDefault="001D79D5" w:rsidP="0043334F">
      <w:pPr>
        <w:contextualSpacing/>
        <w:jc w:val="both"/>
        <w:rPr>
          <w:rFonts w:asciiTheme="minorHAnsi" w:hAnsiTheme="minorHAnsi"/>
          <w:b/>
          <w:color w:val="000000" w:themeColor="text1"/>
          <w:sz w:val="22"/>
          <w:szCs w:val="22"/>
        </w:rPr>
      </w:pPr>
    </w:p>
    <w:p w:rsidR="009B4E92" w:rsidRPr="00AE15DA" w:rsidRDefault="009B4E92" w:rsidP="0043334F">
      <w:pPr>
        <w:contextualSpacing/>
        <w:jc w:val="both"/>
        <w:rPr>
          <w:rFonts w:asciiTheme="minorHAnsi" w:hAnsiTheme="minorHAnsi"/>
          <w:b/>
          <w:color w:val="000000" w:themeColor="text1"/>
          <w:sz w:val="22"/>
          <w:szCs w:val="22"/>
        </w:rPr>
      </w:pPr>
    </w:p>
    <w:p w:rsidR="00C75B3A"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A17.</w:t>
      </w:r>
      <w:r w:rsidR="00181929" w:rsidRPr="00AE15DA">
        <w:rPr>
          <w:rFonts w:asciiTheme="minorHAnsi" w:hAnsiTheme="minorHAnsi"/>
          <w:b/>
          <w:sz w:val="22"/>
          <w:szCs w:val="22"/>
        </w:rPr>
        <w:t xml:space="preserve"> </w:t>
      </w:r>
      <w:r w:rsidR="004B6921" w:rsidRPr="004B6921">
        <w:rPr>
          <w:rFonts w:asciiTheme="minorHAnsi" w:hAnsiTheme="minorHAnsi"/>
          <w:b/>
          <w:sz w:val="22"/>
          <w:szCs w:val="22"/>
        </w:rPr>
        <w:t>Diuretyki tiazydowe nie są odpowiednie do stosowania u pacjentów ze znaczną hipokaliemią (K w surowicy &lt;3,0 mg/l), hiponatremią (Na w surowicy &lt; 130 mEq/l), hiperkalcemią (skorygowane Ca w surowicy &gt; 10,6 mg/dl) lub dną moczanową</w:t>
      </w:r>
    </w:p>
    <w:p w:rsidR="0077695B" w:rsidRPr="00AE15DA" w:rsidRDefault="0077695B" w:rsidP="0043334F">
      <w:pPr>
        <w:spacing w:before="100" w:beforeAutospacing="1" w:after="100" w:afterAutospacing="1"/>
        <w:contextualSpacing/>
        <w:jc w:val="both"/>
        <w:rPr>
          <w:rFonts w:asciiTheme="minorHAnsi" w:hAnsiTheme="minorHAnsi"/>
          <w:b/>
          <w:sz w:val="22"/>
          <w:szCs w:val="22"/>
        </w:rPr>
      </w:pPr>
    </w:p>
    <w:p w:rsidR="009B4E92" w:rsidRPr="00AE15DA" w:rsidRDefault="009B4E92" w:rsidP="0043334F">
      <w:pPr>
        <w:spacing w:before="100" w:beforeAutospacing="1" w:after="100" w:afterAutospacing="1"/>
        <w:contextualSpacing/>
        <w:jc w:val="both"/>
        <w:rPr>
          <w:rFonts w:asciiTheme="minorHAnsi" w:hAnsiTheme="minorHAnsi"/>
          <w:b/>
          <w:sz w:val="22"/>
          <w:szCs w:val="22"/>
        </w:rPr>
      </w:pPr>
    </w:p>
    <w:p w:rsidR="006C24B0" w:rsidRPr="00AE15DA" w:rsidRDefault="006C24B0"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A18.</w:t>
      </w:r>
      <w:r w:rsidR="00181929" w:rsidRPr="00AE15DA">
        <w:rPr>
          <w:rFonts w:asciiTheme="minorHAnsi" w:hAnsiTheme="minorHAnsi"/>
          <w:b/>
          <w:sz w:val="22"/>
          <w:szCs w:val="22"/>
        </w:rPr>
        <w:t xml:space="preserve"> </w:t>
      </w:r>
      <w:r w:rsidR="004B6921" w:rsidRPr="004B6921">
        <w:rPr>
          <w:rFonts w:asciiTheme="minorHAnsi" w:hAnsiTheme="minorHAnsi" w:cstheme="minorHAnsi"/>
          <w:b/>
          <w:sz w:val="22"/>
          <w:szCs w:val="22"/>
        </w:rPr>
        <w:t xml:space="preserve">Stosowanie </w:t>
      </w:r>
      <w:r w:rsidR="004B6921">
        <w:rPr>
          <w:rFonts w:asciiTheme="minorHAnsi" w:hAnsiTheme="minorHAnsi" w:cstheme="minorHAnsi"/>
          <w:b/>
          <w:sz w:val="22"/>
          <w:szCs w:val="22"/>
        </w:rPr>
        <w:t>NSAII</w:t>
      </w:r>
      <w:r w:rsidR="004B6921" w:rsidRPr="004B6921">
        <w:rPr>
          <w:rFonts w:asciiTheme="minorHAnsi" w:hAnsiTheme="minorHAnsi" w:cstheme="minorHAnsi"/>
          <w:b/>
          <w:sz w:val="22"/>
          <w:szCs w:val="22"/>
        </w:rPr>
        <w:t xml:space="preserve"> nie jest właściwe u pacjentów z chorobami układu krążenia (ciężkie nadciśnienie, niewydolność serca lub przebyty zawał serca, udar) (nasilony incydent sercowo-naczyniowy: ryzyko zawału serca, udaru, niewydolności serca i zgonu)</w:t>
      </w:r>
      <w:r w:rsidRPr="00AE15DA">
        <w:rPr>
          <w:rFonts w:asciiTheme="minorHAnsi" w:hAnsiTheme="minorHAnsi"/>
          <w:b/>
          <w:sz w:val="22"/>
          <w:szCs w:val="22"/>
        </w:rPr>
        <w:t xml:space="preserve"> </w:t>
      </w:r>
    </w:p>
    <w:p w:rsidR="006C24B0" w:rsidRPr="00AE15DA" w:rsidRDefault="006C24B0" w:rsidP="0043334F">
      <w:pPr>
        <w:contextualSpacing/>
        <w:jc w:val="both"/>
        <w:rPr>
          <w:rFonts w:asciiTheme="minorHAnsi" w:hAnsiTheme="minorHAnsi"/>
          <w:i/>
          <w:sz w:val="22"/>
          <w:szCs w:val="22"/>
        </w:rPr>
      </w:pPr>
      <w:r w:rsidRPr="00AE15DA">
        <w:rPr>
          <w:rFonts w:asciiTheme="minorHAnsi" w:hAnsiTheme="minorHAnsi"/>
          <w:i/>
          <w:sz w:val="22"/>
          <w:szCs w:val="22"/>
        </w:rPr>
        <w:t>*</w:t>
      </w:r>
      <w:r w:rsidR="004B6921" w:rsidRPr="004B6921">
        <w:t xml:space="preserve"> </w:t>
      </w:r>
      <w:r w:rsidR="004B6921" w:rsidRPr="004B6921">
        <w:rPr>
          <w:rFonts w:asciiTheme="minorHAnsi" w:hAnsiTheme="minorHAnsi"/>
          <w:i/>
          <w:sz w:val="22"/>
          <w:szCs w:val="22"/>
        </w:rPr>
        <w:t xml:space="preserve">W przypadkach, w których stosowanie </w:t>
      </w:r>
      <w:r w:rsidR="004B6921">
        <w:rPr>
          <w:rFonts w:asciiTheme="minorHAnsi" w:hAnsiTheme="minorHAnsi"/>
          <w:i/>
          <w:sz w:val="22"/>
          <w:szCs w:val="22"/>
        </w:rPr>
        <w:t>NSAII</w:t>
      </w:r>
      <w:r w:rsidR="004B6921" w:rsidRPr="004B6921">
        <w:rPr>
          <w:rFonts w:asciiTheme="minorHAnsi" w:hAnsiTheme="minorHAnsi"/>
          <w:i/>
          <w:sz w:val="22"/>
          <w:szCs w:val="22"/>
        </w:rPr>
        <w:t xml:space="preserve"> jest wskazane klinicznie, preferowane może być krótkotrwałe stosowanie pod ścisłą obserwacją kliniczną i w możliwie najniższej dawce</w:t>
      </w:r>
      <w:proofErr w:type="gramStart"/>
      <w:r w:rsidR="004B6921" w:rsidRPr="004B6921">
        <w:rPr>
          <w:rFonts w:asciiTheme="minorHAnsi" w:hAnsiTheme="minorHAnsi"/>
          <w:i/>
          <w:sz w:val="22"/>
          <w:szCs w:val="22"/>
        </w:rPr>
        <w:t>.</w:t>
      </w:r>
      <w:r w:rsidRPr="00AE15DA">
        <w:rPr>
          <w:rFonts w:asciiTheme="minorHAnsi" w:hAnsiTheme="minorHAnsi"/>
          <w:i/>
          <w:sz w:val="22"/>
          <w:szCs w:val="22"/>
        </w:rPr>
        <w:t>.</w:t>
      </w:r>
      <w:proofErr w:type="gramEnd"/>
      <w:r w:rsidRPr="00AE15DA">
        <w:rPr>
          <w:rFonts w:asciiTheme="minorHAnsi" w:hAnsiTheme="minorHAnsi"/>
          <w:i/>
          <w:sz w:val="22"/>
          <w:szCs w:val="22"/>
        </w:rPr>
        <w:t xml:space="preserve"> </w:t>
      </w:r>
    </w:p>
    <w:p w:rsidR="006025E9" w:rsidRPr="00AE15DA" w:rsidRDefault="006C24B0" w:rsidP="0043334F">
      <w:pPr>
        <w:contextualSpacing/>
        <w:jc w:val="both"/>
        <w:rPr>
          <w:rFonts w:asciiTheme="minorHAnsi" w:hAnsiTheme="minorHAnsi"/>
          <w:i/>
          <w:sz w:val="22"/>
          <w:szCs w:val="22"/>
        </w:rPr>
      </w:pPr>
      <w:r w:rsidRPr="00AE15DA">
        <w:rPr>
          <w:rFonts w:asciiTheme="minorHAnsi" w:hAnsiTheme="minorHAnsi"/>
          <w:i/>
          <w:color w:val="000000" w:themeColor="text1"/>
          <w:sz w:val="22"/>
          <w:szCs w:val="22"/>
        </w:rPr>
        <w:t>*</w:t>
      </w:r>
      <w:r w:rsidR="004B6921" w:rsidRPr="004B6921">
        <w:t xml:space="preserve"> </w:t>
      </w:r>
      <w:r w:rsidR="004B6921" w:rsidRPr="004B6921">
        <w:rPr>
          <w:rFonts w:asciiTheme="minorHAnsi" w:hAnsiTheme="minorHAnsi"/>
          <w:i/>
          <w:color w:val="000000" w:themeColor="text1"/>
          <w:sz w:val="22"/>
          <w:szCs w:val="22"/>
        </w:rPr>
        <w:t xml:space="preserve">Chociaż wszystkie </w:t>
      </w:r>
      <w:r w:rsidR="004B6921">
        <w:rPr>
          <w:rFonts w:asciiTheme="minorHAnsi" w:hAnsiTheme="minorHAnsi"/>
          <w:i/>
          <w:color w:val="000000" w:themeColor="text1"/>
          <w:sz w:val="22"/>
          <w:szCs w:val="22"/>
        </w:rPr>
        <w:t>NSAII</w:t>
      </w:r>
      <w:r w:rsidR="004B6921" w:rsidRPr="004B6921">
        <w:rPr>
          <w:rFonts w:asciiTheme="minorHAnsi" w:hAnsiTheme="minorHAnsi"/>
          <w:i/>
          <w:color w:val="000000" w:themeColor="text1"/>
          <w:sz w:val="22"/>
          <w:szCs w:val="22"/>
        </w:rPr>
        <w:t xml:space="preserve"> są ryzykowne dla układu sercowo-naczyniowego, naproksen i ibuprofen mogą być stosunkowo bezpieczne</w:t>
      </w:r>
      <w:r w:rsidRPr="00AE15DA">
        <w:rPr>
          <w:rFonts w:asciiTheme="minorHAnsi" w:hAnsiTheme="minorHAnsi"/>
          <w:i/>
          <w:sz w:val="22"/>
          <w:szCs w:val="22"/>
        </w:rPr>
        <w:t xml:space="preserve">. </w:t>
      </w:r>
    </w:p>
    <w:p w:rsidR="006025E9" w:rsidRPr="00AE15DA" w:rsidRDefault="004F3ECE" w:rsidP="0043334F">
      <w:pPr>
        <w:contextualSpacing/>
        <w:jc w:val="both"/>
        <w:rPr>
          <w:rFonts w:asciiTheme="minorHAnsi" w:hAnsiTheme="minorHAnsi"/>
          <w:i/>
          <w:sz w:val="22"/>
          <w:szCs w:val="22"/>
        </w:rPr>
      </w:pPr>
      <w:r w:rsidRPr="00AE15DA">
        <w:rPr>
          <w:rFonts w:asciiTheme="minorHAnsi" w:hAnsiTheme="minorHAnsi"/>
          <w:i/>
          <w:sz w:val="22"/>
          <w:szCs w:val="22"/>
        </w:rPr>
        <w:t>*</w:t>
      </w:r>
      <w:r w:rsidR="004B6921" w:rsidRPr="004B6921">
        <w:t xml:space="preserve"> </w:t>
      </w:r>
      <w:r w:rsidR="004B6921" w:rsidRPr="004B6921">
        <w:rPr>
          <w:rFonts w:asciiTheme="minorHAnsi" w:hAnsiTheme="minorHAnsi"/>
          <w:i/>
          <w:sz w:val="22"/>
          <w:szCs w:val="22"/>
        </w:rPr>
        <w:t xml:space="preserve">Jeśli </w:t>
      </w:r>
      <w:r w:rsidR="004B6921">
        <w:rPr>
          <w:rFonts w:asciiTheme="minorHAnsi" w:hAnsiTheme="minorHAnsi"/>
          <w:i/>
          <w:sz w:val="22"/>
          <w:szCs w:val="22"/>
        </w:rPr>
        <w:t>NSAII</w:t>
      </w:r>
      <w:r w:rsidR="004B6921" w:rsidRPr="004B6921">
        <w:rPr>
          <w:rFonts w:asciiTheme="minorHAnsi" w:hAnsiTheme="minorHAnsi"/>
          <w:i/>
          <w:sz w:val="22"/>
          <w:szCs w:val="22"/>
        </w:rPr>
        <w:t xml:space="preserve"> mają być podawane pacjentowi stosującemu aspirynę, bardziej odpowiednie może być podanie ich co </w:t>
      </w:r>
      <w:r w:rsidR="004B6921">
        <w:rPr>
          <w:rFonts w:asciiTheme="minorHAnsi" w:hAnsiTheme="minorHAnsi"/>
          <w:i/>
          <w:sz w:val="22"/>
          <w:szCs w:val="22"/>
        </w:rPr>
        <w:t>najmniej 2 godziny po aspirynie</w:t>
      </w:r>
      <w:r w:rsidR="006025E9" w:rsidRPr="00AE15DA">
        <w:rPr>
          <w:rFonts w:asciiTheme="minorHAnsi" w:hAnsiTheme="minorHAnsi"/>
          <w:i/>
          <w:sz w:val="22"/>
          <w:szCs w:val="22"/>
        </w:rPr>
        <w:t>.</w:t>
      </w:r>
    </w:p>
    <w:p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6C24B0"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lastRenderedPageBreak/>
        <w:t>A19.</w:t>
      </w:r>
      <w:r w:rsidR="00181929" w:rsidRPr="00AE15DA">
        <w:rPr>
          <w:rFonts w:asciiTheme="minorHAnsi" w:hAnsiTheme="minorHAnsi"/>
          <w:b/>
          <w:sz w:val="22"/>
          <w:szCs w:val="22"/>
        </w:rPr>
        <w:t xml:space="preserve"> </w:t>
      </w:r>
      <w:r w:rsidR="004B6921" w:rsidRPr="004B6921">
        <w:rPr>
          <w:rFonts w:asciiTheme="minorHAnsi" w:hAnsiTheme="minorHAnsi"/>
          <w:b/>
          <w:sz w:val="22"/>
          <w:szCs w:val="22"/>
        </w:rPr>
        <w:t xml:space="preserve">Beta-adrenolityki nie są odpowiednie dla pacjentów z DM z częstymi epizodami hipoglikemii (ryzyko </w:t>
      </w:r>
      <w:r w:rsidR="004B6921">
        <w:rPr>
          <w:rFonts w:asciiTheme="minorHAnsi" w:hAnsiTheme="minorHAnsi"/>
          <w:b/>
          <w:sz w:val="22"/>
          <w:szCs w:val="22"/>
        </w:rPr>
        <w:t>tłumienia objawów hipoglikemii)</w:t>
      </w:r>
    </w:p>
    <w:p w:rsidR="009B4E92" w:rsidRPr="00AE15DA" w:rsidRDefault="009B4E92"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D03264" w:rsidRPr="00AE15DA" w:rsidRDefault="00D0326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7662E6"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sz w:val="22"/>
          <w:szCs w:val="22"/>
        </w:rPr>
      </w:pPr>
      <w:r w:rsidRPr="00AE15DA">
        <w:rPr>
          <w:rFonts w:asciiTheme="minorHAnsi" w:hAnsiTheme="minorHAnsi"/>
          <w:b/>
          <w:sz w:val="22"/>
          <w:szCs w:val="22"/>
        </w:rPr>
        <w:t>A20.</w:t>
      </w:r>
      <w:r w:rsidR="00181929" w:rsidRPr="00AE15DA">
        <w:rPr>
          <w:rFonts w:asciiTheme="minorHAnsi" w:hAnsiTheme="minorHAnsi"/>
          <w:b/>
          <w:sz w:val="22"/>
          <w:szCs w:val="22"/>
        </w:rPr>
        <w:t xml:space="preserve"> </w:t>
      </w:r>
      <w:r w:rsidR="004B6921" w:rsidRPr="004B6921">
        <w:rPr>
          <w:rFonts w:asciiTheme="minorHAnsi" w:hAnsiTheme="minorHAnsi"/>
          <w:b/>
          <w:sz w:val="22"/>
          <w:szCs w:val="22"/>
        </w:rPr>
        <w:t>Stosowanie nieselektywnych beta-adrenolityków (doustnie lub miejscowo w leczeniu jaskry) nie jest właściwe u osób z astmą (ryzyko nasilenia skurczu oskrzeli)</w:t>
      </w:r>
    </w:p>
    <w:p w:rsidR="00D03264" w:rsidRPr="00AE15DA" w:rsidRDefault="00D03264" w:rsidP="0043334F">
      <w:pPr>
        <w:pStyle w:val="HTMLncedenBiimlendirilmi"/>
        <w:contextualSpacing/>
        <w:jc w:val="both"/>
        <w:rPr>
          <w:rFonts w:asciiTheme="minorHAnsi" w:hAnsiTheme="minorHAnsi" w:cstheme="minorHAnsi"/>
          <w:color w:val="000000"/>
          <w:sz w:val="22"/>
          <w:szCs w:val="22"/>
        </w:rPr>
      </w:pPr>
    </w:p>
    <w:p w:rsidR="009B4E92" w:rsidRPr="00AE15DA" w:rsidRDefault="009B4E92" w:rsidP="0043334F">
      <w:pPr>
        <w:pStyle w:val="HTMLncedenBiimlendirilmi"/>
        <w:contextualSpacing/>
        <w:jc w:val="both"/>
        <w:rPr>
          <w:rFonts w:asciiTheme="minorHAnsi" w:hAnsiTheme="minorHAnsi" w:cstheme="minorHAnsi"/>
          <w:color w:val="000000"/>
          <w:sz w:val="22"/>
          <w:szCs w:val="22"/>
        </w:rPr>
      </w:pPr>
    </w:p>
    <w:p w:rsidR="009B4E92" w:rsidRPr="00E95449" w:rsidRDefault="006C24B0" w:rsidP="00E95449">
      <w:pPr>
        <w:pStyle w:val="HTMLncedenBiimlendirilmi"/>
        <w:contextualSpacing/>
        <w:jc w:val="both"/>
        <w:rPr>
          <w:rFonts w:asciiTheme="minorHAnsi" w:hAnsiTheme="minorHAnsi" w:cs="Times New Roman"/>
          <w:b/>
          <w:sz w:val="22"/>
          <w:szCs w:val="22"/>
          <w:vertAlign w:val="superscript"/>
        </w:rPr>
      </w:pPr>
      <w:r w:rsidRPr="00AE15DA">
        <w:rPr>
          <w:rFonts w:asciiTheme="minorHAnsi" w:hAnsiTheme="minorHAnsi" w:cs="Times New Roman"/>
          <w:b/>
          <w:sz w:val="22"/>
          <w:szCs w:val="22"/>
        </w:rPr>
        <w:t xml:space="preserve">A21. </w:t>
      </w:r>
      <w:r w:rsidR="00E95449" w:rsidRPr="00E95449">
        <w:rPr>
          <w:rFonts w:asciiTheme="minorHAnsi" w:hAnsiTheme="minorHAnsi" w:cs="Times New Roman"/>
          <w:b/>
          <w:sz w:val="22"/>
          <w:szCs w:val="22"/>
        </w:rPr>
        <w:t>Przewlekłe stosowanie aspiryny w dawkach większych niż 75-150 mg/dobę nie jest odpowiednie dla pierwotnej lub wtórnej ochrony układu sercowo-naczyniowego (brak udowodnionych dodatkowych korzyści i zwiększa ryzyko krwawienia)</w:t>
      </w:r>
    </w:p>
    <w:p w:rsidR="009B4E92" w:rsidRPr="00AE15DA" w:rsidRDefault="00E66E29" w:rsidP="0043334F">
      <w:pPr>
        <w:spacing w:before="100" w:beforeAutospacing="1" w:after="100" w:afterAutospacing="1"/>
        <w:contextualSpacing/>
        <w:jc w:val="both"/>
        <w:rPr>
          <w:rFonts w:asciiTheme="minorHAnsi" w:hAnsiTheme="minorHAnsi"/>
          <w:b/>
          <w:sz w:val="22"/>
          <w:szCs w:val="22"/>
        </w:rPr>
      </w:pPr>
      <w:r w:rsidRPr="009460D3">
        <w:rPr>
          <w:rFonts w:ascii="Calibri" w:hAnsi="Calibri" w:cs="Calibri"/>
          <w:b/>
          <w:sz w:val="22"/>
          <w:szCs w:val="22"/>
        </w:rPr>
        <w:t>#</w:t>
      </w:r>
      <w:r w:rsidR="006C24B0" w:rsidRPr="009460D3">
        <w:rPr>
          <w:rFonts w:asciiTheme="minorHAnsi" w:hAnsiTheme="minorHAnsi"/>
          <w:b/>
          <w:sz w:val="22"/>
          <w:szCs w:val="22"/>
        </w:rPr>
        <w:t>A22</w:t>
      </w:r>
      <w:r w:rsidR="006C24B0" w:rsidRPr="00AE15DA">
        <w:rPr>
          <w:rFonts w:asciiTheme="minorHAnsi" w:hAnsiTheme="minorHAnsi"/>
          <w:b/>
          <w:sz w:val="22"/>
          <w:szCs w:val="22"/>
        </w:rPr>
        <w:t xml:space="preserve">. </w:t>
      </w:r>
      <w:r w:rsidR="00E95449" w:rsidRPr="00E95449">
        <w:rPr>
          <w:rFonts w:asciiTheme="minorHAnsi" w:hAnsiTheme="minorHAnsi"/>
          <w:b/>
          <w:sz w:val="22"/>
          <w:szCs w:val="22"/>
        </w:rPr>
        <w:t xml:space="preserve">Stosowanie aspiryny, klopidogrelu, dipirydamolu i OAKs (antagonistów witaminy K, bezpośredniego inhibitora trombiny lub inhibitorów czynnika Xa) nie jest właściwe w przypadku znacznego ryzyka krwawienia </w:t>
      </w:r>
      <w:proofErr w:type="gramStart"/>
      <w:r w:rsidR="00E95449" w:rsidRPr="00E95449">
        <w:rPr>
          <w:rFonts w:asciiTheme="minorHAnsi" w:hAnsiTheme="minorHAnsi"/>
          <w:b/>
          <w:sz w:val="22"/>
          <w:szCs w:val="22"/>
        </w:rPr>
        <w:t>(</w:t>
      </w:r>
      <w:proofErr w:type="gramEnd"/>
      <w:r w:rsidR="00E95449" w:rsidRPr="00E95449">
        <w:rPr>
          <w:rFonts w:asciiTheme="minorHAnsi" w:hAnsiTheme="minorHAnsi"/>
          <w:b/>
          <w:sz w:val="22"/>
          <w:szCs w:val="22"/>
        </w:rPr>
        <w:t xml:space="preserve">np. </w:t>
      </w:r>
      <w:proofErr w:type="gramStart"/>
      <w:r w:rsidR="00E95449" w:rsidRPr="00E95449">
        <w:rPr>
          <w:rFonts w:asciiTheme="minorHAnsi" w:hAnsiTheme="minorHAnsi"/>
          <w:b/>
          <w:sz w:val="22"/>
          <w:szCs w:val="22"/>
        </w:rPr>
        <w:t>u</w:t>
      </w:r>
      <w:proofErr w:type="gramEnd"/>
      <w:r w:rsidR="00E95449">
        <w:rPr>
          <w:rFonts w:asciiTheme="minorHAnsi" w:hAnsiTheme="minorHAnsi"/>
          <w:b/>
          <w:sz w:val="22"/>
          <w:szCs w:val="22"/>
        </w:rPr>
        <w:t xml:space="preserve"> osób z niekontrolowaną ciężką H</w:t>
      </w:r>
      <w:r w:rsidR="00E95449" w:rsidRPr="00E95449">
        <w:rPr>
          <w:rFonts w:asciiTheme="minorHAnsi" w:hAnsiTheme="minorHAnsi"/>
          <w:b/>
          <w:sz w:val="22"/>
          <w:szCs w:val="22"/>
        </w:rPr>
        <w:t>T, skazą krwotoczną, samoistnym istotnym krwawieni</w:t>
      </w:r>
      <w:r w:rsidR="00E95449">
        <w:rPr>
          <w:rFonts w:asciiTheme="minorHAnsi" w:hAnsiTheme="minorHAnsi"/>
          <w:b/>
          <w:sz w:val="22"/>
          <w:szCs w:val="22"/>
        </w:rPr>
        <w:t>em) (wysokie ryzyko krwawienia)</w:t>
      </w:r>
      <w:r w:rsidR="006C24B0" w:rsidRPr="00AE15DA">
        <w:rPr>
          <w:rFonts w:asciiTheme="minorHAnsi" w:hAnsiTheme="minorHAnsi"/>
          <w:b/>
          <w:sz w:val="22"/>
          <w:szCs w:val="22"/>
        </w:rPr>
        <w:t xml:space="preserve"> </w:t>
      </w:r>
    </w:p>
    <w:p w:rsidR="00C75B3A" w:rsidRPr="00AE15DA" w:rsidRDefault="00C75B3A" w:rsidP="0043334F">
      <w:pPr>
        <w:spacing w:before="100" w:beforeAutospacing="1" w:after="100" w:afterAutospacing="1"/>
        <w:contextualSpacing/>
        <w:jc w:val="both"/>
        <w:rPr>
          <w:rFonts w:asciiTheme="minorHAnsi" w:hAnsiTheme="minorHAnsi"/>
          <w:b/>
          <w:sz w:val="22"/>
          <w:szCs w:val="22"/>
        </w:rPr>
      </w:pPr>
    </w:p>
    <w:p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E67728" w:rsidRPr="00AE15DA" w:rsidRDefault="007662E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A23. </w:t>
      </w:r>
      <w:r w:rsidR="00E95449" w:rsidRPr="00E95449">
        <w:rPr>
          <w:rFonts w:asciiTheme="minorHAnsi" w:hAnsiTheme="minorHAnsi"/>
          <w:b/>
          <w:color w:val="222222"/>
          <w:sz w:val="22"/>
          <w:szCs w:val="22"/>
        </w:rPr>
        <w:t>Jednoczesne stosowanie aspiryny i klopidogrelu nie jest właściwe we wtórnej profilaktyce udaru mózgu, chyba że istnieją szczególne wskazania do jednoczesnego stosowania aspiryny i klopidogrelu</w:t>
      </w:r>
    </w:p>
    <w:p w:rsidR="00E95449" w:rsidRPr="00E95449" w:rsidRDefault="003400E8" w:rsidP="00E95449">
      <w:pPr>
        <w:contextualSpacing/>
        <w:jc w:val="both"/>
        <w:rPr>
          <w:rFonts w:asciiTheme="minorHAnsi" w:hAnsiTheme="minorHAnsi"/>
          <w:i/>
          <w:sz w:val="22"/>
          <w:szCs w:val="22"/>
        </w:rPr>
      </w:pPr>
      <w:r w:rsidRPr="00AE15DA">
        <w:rPr>
          <w:rFonts w:asciiTheme="minorHAnsi" w:hAnsiTheme="minorHAnsi"/>
          <w:i/>
          <w:sz w:val="22"/>
          <w:szCs w:val="22"/>
        </w:rPr>
        <w:t>*</w:t>
      </w:r>
      <w:r w:rsidR="00E95449" w:rsidRPr="00E95449">
        <w:rPr>
          <w:rFonts w:asciiTheme="minorHAnsi" w:hAnsiTheme="minorHAnsi"/>
          <w:i/>
          <w:sz w:val="22"/>
          <w:szCs w:val="22"/>
        </w:rPr>
        <w:t>Sytuacje, w których wskazane jest jednoczesne stosowanie aspiryny i klopidogrelu</w:t>
      </w:r>
    </w:p>
    <w:p w:rsidR="00E95449" w:rsidRPr="00E95449" w:rsidRDefault="00E95449" w:rsidP="00E95449">
      <w:pPr>
        <w:contextualSpacing/>
        <w:jc w:val="both"/>
        <w:rPr>
          <w:rFonts w:asciiTheme="minorHAnsi" w:hAnsiTheme="minorHAnsi"/>
          <w:i/>
          <w:sz w:val="22"/>
          <w:szCs w:val="22"/>
        </w:rPr>
      </w:pPr>
      <w:r w:rsidRPr="00E95449">
        <w:rPr>
          <w:rFonts w:asciiTheme="minorHAnsi" w:hAnsiTheme="minorHAnsi"/>
          <w:i/>
          <w:sz w:val="22"/>
          <w:szCs w:val="22"/>
        </w:rPr>
        <w:t>1. Pacjent miał ostry zespół wieńcowy lub interwencję wieńcową w ciągu ostatnich 12 miesięcy (balon i/lub stent)</w:t>
      </w:r>
    </w:p>
    <w:p w:rsidR="00372860" w:rsidRPr="00AE15DA" w:rsidRDefault="00E95449" w:rsidP="00E95449">
      <w:pPr>
        <w:contextualSpacing/>
        <w:jc w:val="both"/>
        <w:rPr>
          <w:rFonts w:asciiTheme="minorHAnsi" w:hAnsiTheme="minorHAnsi"/>
          <w:i/>
          <w:sz w:val="22"/>
          <w:szCs w:val="22"/>
        </w:rPr>
      </w:pPr>
      <w:r w:rsidRPr="00E95449">
        <w:rPr>
          <w:rFonts w:asciiTheme="minorHAnsi" w:hAnsiTheme="minorHAnsi"/>
          <w:i/>
          <w:sz w:val="22"/>
          <w:szCs w:val="22"/>
        </w:rPr>
        <w:t>2. Pacjent przeszedł interwencję w ciągu ostatniego miesiąca z powodu choroby tętnic obwodowych</w:t>
      </w:r>
      <w:r w:rsidR="00372860" w:rsidRPr="00AE15DA">
        <w:rPr>
          <w:rFonts w:asciiTheme="minorHAnsi" w:hAnsiTheme="minorHAnsi"/>
          <w:i/>
          <w:sz w:val="22"/>
          <w:szCs w:val="22"/>
        </w:rPr>
        <w:t xml:space="preserve"> </w:t>
      </w:r>
    </w:p>
    <w:p w:rsidR="00E95449" w:rsidRPr="00E95449" w:rsidRDefault="00E95449" w:rsidP="00E95449">
      <w:pPr>
        <w:pStyle w:val="HTMLncedenBiimlendirilmi"/>
        <w:contextualSpacing/>
        <w:jc w:val="both"/>
        <w:rPr>
          <w:rFonts w:asciiTheme="minorHAnsi" w:hAnsiTheme="minorHAnsi" w:cs="Times New Roman"/>
          <w:i/>
          <w:sz w:val="22"/>
          <w:szCs w:val="22"/>
        </w:rPr>
      </w:pPr>
      <w:r w:rsidRPr="00E95449">
        <w:rPr>
          <w:rFonts w:asciiTheme="minorHAnsi" w:hAnsiTheme="minorHAnsi" w:cs="Times New Roman"/>
          <w:i/>
          <w:sz w:val="22"/>
          <w:szCs w:val="22"/>
        </w:rPr>
        <w:t>Umieszczenie stentu (z powodu zwężenia tętnicy szyjnej/choroby tętnic kończyn dolnych) w ostatnim miesiącu</w:t>
      </w:r>
    </w:p>
    <w:p w:rsidR="00372860" w:rsidRPr="00AE15DA" w:rsidRDefault="00E95449" w:rsidP="00E95449">
      <w:pPr>
        <w:pStyle w:val="HTMLncedenBiimlendirilmi"/>
        <w:contextualSpacing/>
        <w:jc w:val="both"/>
        <w:rPr>
          <w:rFonts w:asciiTheme="minorHAnsi" w:hAnsiTheme="minorHAnsi" w:cs="Times New Roman"/>
          <w:i/>
          <w:sz w:val="22"/>
          <w:szCs w:val="22"/>
        </w:rPr>
      </w:pPr>
      <w:r w:rsidRPr="00E95449">
        <w:rPr>
          <w:rFonts w:asciiTheme="minorHAnsi" w:hAnsiTheme="minorHAnsi" w:cs="Times New Roman"/>
          <w:i/>
          <w:sz w:val="22"/>
          <w:szCs w:val="22"/>
        </w:rPr>
        <w:t>Aplikacja balonu na kończynę dolną w ostatnim miesiącu</w:t>
      </w:r>
    </w:p>
    <w:p w:rsidR="00E95449" w:rsidRPr="00E95449" w:rsidRDefault="00E95449" w:rsidP="00E95449">
      <w:pPr>
        <w:contextualSpacing/>
        <w:jc w:val="both"/>
        <w:rPr>
          <w:rFonts w:asciiTheme="minorHAnsi" w:hAnsiTheme="minorHAnsi"/>
          <w:i/>
          <w:sz w:val="22"/>
          <w:szCs w:val="22"/>
        </w:rPr>
      </w:pPr>
      <w:r w:rsidRPr="00E95449">
        <w:rPr>
          <w:rFonts w:asciiTheme="minorHAnsi" w:hAnsiTheme="minorHAnsi"/>
          <w:i/>
          <w:sz w:val="22"/>
          <w:szCs w:val="22"/>
        </w:rPr>
        <w:t>3. Pacjentka przebyła udar mózgu w ciągu ostatnich 3 tygodni – 3 miesięcy</w:t>
      </w:r>
    </w:p>
    <w:p w:rsidR="00E95449" w:rsidRPr="00E95449" w:rsidRDefault="00E95449" w:rsidP="00E95449">
      <w:pPr>
        <w:contextualSpacing/>
        <w:jc w:val="both"/>
        <w:rPr>
          <w:rFonts w:asciiTheme="minorHAnsi" w:hAnsiTheme="minorHAnsi"/>
          <w:i/>
          <w:sz w:val="22"/>
          <w:szCs w:val="22"/>
        </w:rPr>
      </w:pPr>
      <w:r w:rsidRPr="00E95449">
        <w:rPr>
          <w:rFonts w:asciiTheme="minorHAnsi" w:hAnsiTheme="minorHAnsi"/>
          <w:i/>
          <w:sz w:val="22"/>
          <w:szCs w:val="22"/>
        </w:rPr>
        <w:t xml:space="preserve">Przez 3 miesiące </w:t>
      </w:r>
      <w:r>
        <w:rPr>
          <w:rFonts w:asciiTheme="minorHAnsi" w:hAnsiTheme="minorHAnsi"/>
          <w:i/>
          <w:sz w:val="22"/>
          <w:szCs w:val="22"/>
        </w:rPr>
        <w:t>u pacjentów z udarem mózgu lub G</w:t>
      </w:r>
      <w:r w:rsidRPr="00E95449">
        <w:rPr>
          <w:rFonts w:asciiTheme="minorHAnsi" w:hAnsiTheme="minorHAnsi"/>
          <w:i/>
          <w:sz w:val="22"/>
          <w:szCs w:val="22"/>
        </w:rPr>
        <w:t>IA z powodu miażdżycy wewnątrzczaszkowej</w:t>
      </w:r>
    </w:p>
    <w:p w:rsidR="00372860" w:rsidRPr="00AE15DA" w:rsidRDefault="00E95449" w:rsidP="00E95449">
      <w:pPr>
        <w:contextualSpacing/>
        <w:jc w:val="both"/>
        <w:rPr>
          <w:rFonts w:asciiTheme="minorHAnsi" w:hAnsiTheme="minorHAnsi"/>
          <w:i/>
          <w:sz w:val="22"/>
          <w:szCs w:val="22"/>
        </w:rPr>
      </w:pPr>
      <w:r w:rsidRPr="00E95449">
        <w:rPr>
          <w:rFonts w:asciiTheme="minorHAnsi" w:hAnsiTheme="minorHAnsi"/>
          <w:i/>
          <w:sz w:val="22"/>
          <w:szCs w:val="22"/>
        </w:rPr>
        <w:t xml:space="preserve">Przez 3 tygodnie </w:t>
      </w:r>
      <w:r>
        <w:rPr>
          <w:rFonts w:asciiTheme="minorHAnsi" w:hAnsiTheme="minorHAnsi"/>
          <w:i/>
          <w:sz w:val="22"/>
          <w:szCs w:val="22"/>
        </w:rPr>
        <w:t>w przypadku lekkiego udaru lub G</w:t>
      </w:r>
      <w:r w:rsidRPr="00E95449">
        <w:rPr>
          <w:rFonts w:asciiTheme="minorHAnsi" w:hAnsiTheme="minorHAnsi"/>
          <w:i/>
          <w:sz w:val="22"/>
          <w:szCs w:val="22"/>
        </w:rPr>
        <w:t>IA</w:t>
      </w:r>
      <w:r w:rsidR="00372860" w:rsidRPr="00AE15DA">
        <w:rPr>
          <w:rFonts w:asciiTheme="minorHAnsi" w:hAnsiTheme="minorHAnsi"/>
          <w:i/>
          <w:sz w:val="22"/>
          <w:szCs w:val="22"/>
        </w:rPr>
        <w:t xml:space="preserve">  </w:t>
      </w:r>
    </w:p>
    <w:p w:rsidR="00C477FF" w:rsidRPr="00AE15DA" w:rsidRDefault="00C477FF" w:rsidP="0043334F">
      <w:pPr>
        <w:ind w:firstLine="709"/>
        <w:contextualSpacing/>
        <w:jc w:val="both"/>
        <w:rPr>
          <w:rFonts w:asciiTheme="minorHAnsi" w:hAnsiTheme="minorHAnsi"/>
          <w:i/>
          <w:sz w:val="22"/>
          <w:szCs w:val="22"/>
        </w:rPr>
      </w:pPr>
    </w:p>
    <w:p w:rsidR="00701618" w:rsidRPr="00AE15DA" w:rsidRDefault="00701618" w:rsidP="0043334F">
      <w:pPr>
        <w:pStyle w:val="HTMLncedenBiimlendirilmi"/>
        <w:contextualSpacing/>
        <w:jc w:val="both"/>
        <w:rPr>
          <w:rFonts w:asciiTheme="minorHAnsi" w:hAnsiTheme="minorHAnsi" w:cs="Times New Roman"/>
          <w:b/>
          <w:sz w:val="22"/>
          <w:szCs w:val="22"/>
        </w:rPr>
      </w:pPr>
    </w:p>
    <w:p w:rsidR="006C24B0" w:rsidRPr="00AE15DA" w:rsidRDefault="006C24B0" w:rsidP="0043334F">
      <w:pPr>
        <w:pStyle w:val="HTMLncedenBiimlendirilmi"/>
        <w:contextualSpacing/>
        <w:jc w:val="both"/>
        <w:rPr>
          <w:rFonts w:asciiTheme="minorHAnsi" w:hAnsiTheme="minorHAnsi" w:cs="Times New Roman"/>
          <w:b/>
          <w:sz w:val="22"/>
          <w:szCs w:val="22"/>
        </w:rPr>
      </w:pPr>
      <w:r w:rsidRPr="00AE15DA">
        <w:rPr>
          <w:rFonts w:asciiTheme="minorHAnsi" w:hAnsiTheme="minorHAnsi" w:cs="Times New Roman"/>
          <w:b/>
          <w:sz w:val="22"/>
          <w:szCs w:val="22"/>
        </w:rPr>
        <w:t>A2</w:t>
      </w:r>
      <w:r w:rsidR="00965815" w:rsidRPr="00AE15DA">
        <w:rPr>
          <w:rFonts w:asciiTheme="minorHAnsi" w:hAnsiTheme="minorHAnsi" w:cs="Times New Roman"/>
          <w:b/>
          <w:sz w:val="22"/>
          <w:szCs w:val="22"/>
        </w:rPr>
        <w:t>4</w:t>
      </w:r>
      <w:r w:rsidR="00B84A0C" w:rsidRPr="00AE15DA">
        <w:rPr>
          <w:rFonts w:asciiTheme="minorHAnsi" w:hAnsiTheme="minorHAnsi" w:cs="Times New Roman"/>
          <w:b/>
          <w:sz w:val="22"/>
          <w:szCs w:val="22"/>
        </w:rPr>
        <w:t>.</w:t>
      </w:r>
      <w:r w:rsidRPr="00AE15DA">
        <w:rPr>
          <w:rFonts w:asciiTheme="minorHAnsi" w:hAnsiTheme="minorHAnsi" w:cs="Times New Roman"/>
          <w:b/>
          <w:sz w:val="22"/>
          <w:szCs w:val="22"/>
        </w:rPr>
        <w:t xml:space="preserve"> </w:t>
      </w:r>
      <w:r w:rsidR="00EF6CE4" w:rsidRPr="00EF6CE4">
        <w:rPr>
          <w:rFonts w:asciiTheme="minorHAnsi" w:hAnsiTheme="minorHAnsi" w:cs="Times New Roman"/>
          <w:b/>
          <w:sz w:val="22"/>
          <w:szCs w:val="22"/>
        </w:rPr>
        <w:t>Jeśli nie ma dodatkowych wskazań do stosowania aspiryny/klopidog</w:t>
      </w:r>
      <w:r w:rsidR="00EF6CE4">
        <w:rPr>
          <w:rFonts w:asciiTheme="minorHAnsi" w:hAnsiTheme="minorHAnsi" w:cs="Times New Roman"/>
          <w:b/>
          <w:sz w:val="22"/>
          <w:szCs w:val="22"/>
        </w:rPr>
        <w:t>relu u pacjentów stosujących OAK</w:t>
      </w:r>
      <w:r w:rsidR="00EF6CE4" w:rsidRPr="00EF6CE4">
        <w:rPr>
          <w:rFonts w:asciiTheme="minorHAnsi" w:hAnsiTheme="minorHAnsi" w:cs="Times New Roman"/>
          <w:b/>
          <w:sz w:val="22"/>
          <w:szCs w:val="22"/>
        </w:rPr>
        <w:t xml:space="preserve"> w przewlekłym AF lub z jakiegokolwiek innego powodu, nie należy dodawać do leczenia aspiryny/klopidogrelu (brak dodatkowych </w:t>
      </w:r>
      <w:r w:rsidR="00EF6CE4">
        <w:rPr>
          <w:rFonts w:asciiTheme="minorHAnsi" w:hAnsiTheme="minorHAnsi" w:cs="Times New Roman"/>
          <w:b/>
          <w:sz w:val="22"/>
          <w:szCs w:val="22"/>
        </w:rPr>
        <w:t>korzyści związanych z aspiryną)</w:t>
      </w:r>
    </w:p>
    <w:p w:rsidR="00EF6CE4" w:rsidRPr="00EF6CE4" w:rsidRDefault="006C24B0" w:rsidP="00EF6CE4">
      <w:pPr>
        <w:pStyle w:val="HTMLncedenBiimlendirilmi"/>
        <w:contextualSpacing/>
        <w:jc w:val="both"/>
        <w:rPr>
          <w:rFonts w:asciiTheme="minorHAnsi" w:hAnsiTheme="minorHAnsi" w:cs="Times New Roman"/>
          <w:i/>
          <w:sz w:val="22"/>
          <w:szCs w:val="22"/>
        </w:rPr>
      </w:pPr>
      <w:r w:rsidRPr="00AE15DA">
        <w:rPr>
          <w:rFonts w:asciiTheme="minorHAnsi" w:hAnsiTheme="minorHAnsi" w:cs="Times New Roman"/>
          <w:i/>
          <w:sz w:val="22"/>
          <w:szCs w:val="22"/>
        </w:rPr>
        <w:t>*</w:t>
      </w:r>
      <w:r w:rsidR="00EF6CE4" w:rsidRPr="00EF6CE4">
        <w:rPr>
          <w:rFonts w:asciiTheme="minorHAnsi" w:hAnsiTheme="minorHAnsi" w:cs="Times New Roman"/>
          <w:i/>
          <w:sz w:val="22"/>
          <w:szCs w:val="22"/>
        </w:rPr>
        <w:t>Odpowiednie dodanie aspiryny/klopidogrelu do leczenia u pacjentów stosujących OAC są następujące:</w:t>
      </w:r>
    </w:p>
    <w:p w:rsidR="00EF6CE4" w:rsidRPr="00EF6CE4" w:rsidRDefault="00EF6CE4" w:rsidP="00EF6CE4">
      <w:pPr>
        <w:pStyle w:val="HTMLncedenBiimlendirilmi"/>
        <w:contextualSpacing/>
        <w:jc w:val="both"/>
        <w:rPr>
          <w:rFonts w:asciiTheme="minorHAnsi" w:hAnsiTheme="minorHAnsi" w:cs="Times New Roman"/>
          <w:i/>
          <w:sz w:val="22"/>
          <w:szCs w:val="22"/>
        </w:rPr>
      </w:pPr>
      <w:r w:rsidRPr="00EF6CE4">
        <w:rPr>
          <w:rFonts w:asciiTheme="minorHAnsi" w:hAnsiTheme="minorHAnsi" w:cs="Times New Roman"/>
          <w:i/>
          <w:sz w:val="22"/>
          <w:szCs w:val="22"/>
        </w:rPr>
        <w:t>1. Pacjent miał ostry zespół wieńcowy lub interwencję wieńcową w ciągu ostatnich 12 miesięcy (balon i/lub stent)</w:t>
      </w:r>
    </w:p>
    <w:p w:rsidR="00733DA9" w:rsidRPr="00AE15DA" w:rsidRDefault="00EF6CE4" w:rsidP="00EF6CE4">
      <w:pPr>
        <w:pStyle w:val="HTMLncedenBiimlendirilmi"/>
        <w:contextualSpacing/>
        <w:jc w:val="both"/>
        <w:rPr>
          <w:rFonts w:asciiTheme="minorHAnsi" w:hAnsiTheme="minorHAnsi" w:cs="Times New Roman"/>
          <w:i/>
          <w:sz w:val="22"/>
          <w:szCs w:val="22"/>
        </w:rPr>
      </w:pPr>
      <w:r w:rsidRPr="00EF6CE4">
        <w:rPr>
          <w:rFonts w:asciiTheme="minorHAnsi" w:hAnsiTheme="minorHAnsi" w:cs="Times New Roman"/>
          <w:i/>
          <w:sz w:val="22"/>
          <w:szCs w:val="22"/>
        </w:rPr>
        <w:t>2. Pacjent przeszedł interwencję w ciągu ostatniego miesiąca z powodu choroby tętnic obwodowych</w:t>
      </w:r>
      <w:r w:rsidR="00733DA9" w:rsidRPr="00AE15DA">
        <w:rPr>
          <w:rFonts w:asciiTheme="minorHAnsi" w:hAnsiTheme="minorHAnsi" w:cs="Times New Roman"/>
          <w:i/>
          <w:sz w:val="22"/>
          <w:szCs w:val="22"/>
        </w:rPr>
        <w:t xml:space="preserve"> </w:t>
      </w:r>
    </w:p>
    <w:p w:rsidR="00EF6CE4" w:rsidRPr="00EF6CE4" w:rsidRDefault="00EF6CE4" w:rsidP="00EF6CE4">
      <w:pPr>
        <w:pStyle w:val="HTMLncedenBiimlendirilmi"/>
        <w:contextualSpacing/>
        <w:jc w:val="both"/>
        <w:rPr>
          <w:rFonts w:asciiTheme="minorHAnsi" w:hAnsiTheme="minorHAnsi" w:cs="Times New Roman"/>
          <w:i/>
          <w:sz w:val="22"/>
          <w:szCs w:val="22"/>
        </w:rPr>
      </w:pPr>
      <w:r w:rsidRPr="00EF6CE4">
        <w:rPr>
          <w:rFonts w:asciiTheme="minorHAnsi" w:hAnsiTheme="minorHAnsi" w:cs="Times New Roman"/>
          <w:i/>
          <w:sz w:val="22"/>
          <w:szCs w:val="22"/>
        </w:rPr>
        <w:t>Umieszczenie stentu (z powodu zwężenia tętnicy szyjnej/choroby tętnic kończyn dolnych) w ostatnim miesiącu</w:t>
      </w:r>
    </w:p>
    <w:p w:rsidR="004A3626" w:rsidRPr="00AE15DA" w:rsidRDefault="00EF6CE4" w:rsidP="00EF6CE4">
      <w:pPr>
        <w:pStyle w:val="HTMLncedenBiimlendirilmi"/>
        <w:contextualSpacing/>
        <w:jc w:val="both"/>
        <w:rPr>
          <w:rFonts w:asciiTheme="minorHAnsi" w:hAnsiTheme="minorHAnsi" w:cs="Times New Roman"/>
          <w:i/>
          <w:sz w:val="22"/>
          <w:szCs w:val="22"/>
        </w:rPr>
      </w:pPr>
      <w:r w:rsidRPr="00EF6CE4">
        <w:rPr>
          <w:rFonts w:asciiTheme="minorHAnsi" w:hAnsiTheme="minorHAnsi" w:cs="Times New Roman"/>
          <w:i/>
          <w:sz w:val="22"/>
          <w:szCs w:val="22"/>
        </w:rPr>
        <w:t>Aplikacja balonu na kończynę dolną w ostatnim miesiącu</w:t>
      </w:r>
    </w:p>
    <w:p w:rsidR="00EF6CE4" w:rsidRPr="00EF6CE4" w:rsidRDefault="006C24B0" w:rsidP="00EF6CE4">
      <w:pPr>
        <w:pStyle w:val="HTMLncedenBiimlendirilmi"/>
        <w:contextualSpacing/>
        <w:jc w:val="both"/>
        <w:rPr>
          <w:rFonts w:asciiTheme="minorHAnsi" w:hAnsiTheme="minorHAnsi" w:cs="Times New Roman"/>
          <w:i/>
          <w:sz w:val="22"/>
          <w:szCs w:val="22"/>
        </w:rPr>
      </w:pPr>
      <w:r w:rsidRPr="00AE15DA">
        <w:rPr>
          <w:rFonts w:asciiTheme="minorHAnsi" w:hAnsiTheme="minorHAnsi" w:cs="Times New Roman"/>
          <w:i/>
          <w:sz w:val="22"/>
          <w:szCs w:val="22"/>
        </w:rPr>
        <w:t>*</w:t>
      </w:r>
      <w:r w:rsidR="00EF6CE4" w:rsidRPr="00EF6CE4">
        <w:t xml:space="preserve"> </w:t>
      </w:r>
      <w:r w:rsidR="00EF6CE4" w:rsidRPr="00EF6CE4">
        <w:rPr>
          <w:rFonts w:asciiTheme="minorHAnsi" w:hAnsiTheme="minorHAnsi" w:cs="Times New Roman"/>
          <w:i/>
          <w:sz w:val="22"/>
          <w:szCs w:val="22"/>
        </w:rPr>
        <w:t>Dodanie aspiryny/klopidogrelu do leczenia nie jest właś</w:t>
      </w:r>
      <w:r w:rsidR="00EF6CE4">
        <w:rPr>
          <w:rFonts w:asciiTheme="minorHAnsi" w:hAnsiTheme="minorHAnsi" w:cs="Times New Roman"/>
          <w:i/>
          <w:sz w:val="22"/>
          <w:szCs w:val="22"/>
        </w:rPr>
        <w:t>ciwe u pacjentów stosujących OAK</w:t>
      </w:r>
      <w:r w:rsidR="00EF6CE4" w:rsidRPr="00EF6CE4">
        <w:rPr>
          <w:rFonts w:asciiTheme="minorHAnsi" w:hAnsiTheme="minorHAnsi" w:cs="Times New Roman"/>
          <w:i/>
          <w:sz w:val="22"/>
          <w:szCs w:val="22"/>
        </w:rPr>
        <w:t xml:space="preserve"> w następujących sytuacjach:</w:t>
      </w:r>
    </w:p>
    <w:p w:rsidR="00EF6CE4" w:rsidRPr="00EF6CE4" w:rsidRDefault="00EF6CE4" w:rsidP="00EF6CE4">
      <w:pPr>
        <w:pStyle w:val="HTMLncedenBiimlendirilmi"/>
        <w:contextualSpacing/>
        <w:jc w:val="both"/>
        <w:rPr>
          <w:rFonts w:asciiTheme="minorHAnsi" w:hAnsiTheme="minorHAnsi" w:cs="Times New Roman"/>
          <w:i/>
          <w:sz w:val="22"/>
          <w:szCs w:val="22"/>
        </w:rPr>
      </w:pPr>
      <w:r w:rsidRPr="00EF6CE4">
        <w:rPr>
          <w:rFonts w:asciiTheme="minorHAnsi" w:hAnsiTheme="minorHAnsi" w:cs="Times New Roman"/>
          <w:i/>
          <w:sz w:val="22"/>
          <w:szCs w:val="22"/>
        </w:rPr>
        <w:t>1. Choroba tętnic obwodowych (zwężenie tętnic szyjnych, choroba tętnic kończyn dolnych, miażdżyca śródmózgowa) z wyjątkiem powyższych stanów</w:t>
      </w:r>
    </w:p>
    <w:p w:rsidR="00C75B3A" w:rsidRPr="00AE15DA" w:rsidRDefault="00EF6CE4" w:rsidP="00EF6CE4">
      <w:pPr>
        <w:pStyle w:val="HTMLncedenBiimlendirilmi"/>
        <w:contextualSpacing/>
        <w:jc w:val="both"/>
        <w:rPr>
          <w:rFonts w:asciiTheme="minorHAnsi" w:hAnsiTheme="minorHAnsi" w:cs="Times New Roman"/>
          <w:i/>
          <w:sz w:val="22"/>
          <w:szCs w:val="22"/>
        </w:rPr>
      </w:pPr>
      <w:r w:rsidRPr="00EF6CE4">
        <w:rPr>
          <w:rFonts w:asciiTheme="minorHAnsi" w:hAnsiTheme="minorHAnsi" w:cs="Times New Roman"/>
          <w:i/>
          <w:sz w:val="22"/>
          <w:szCs w:val="22"/>
        </w:rPr>
        <w:t xml:space="preserve">2. stabilna choroba wieńcowa </w:t>
      </w:r>
      <w:proofErr w:type="gramStart"/>
      <w:r w:rsidRPr="00EF6CE4">
        <w:rPr>
          <w:rFonts w:asciiTheme="minorHAnsi" w:hAnsiTheme="minorHAnsi" w:cs="Times New Roman"/>
          <w:i/>
          <w:sz w:val="22"/>
          <w:szCs w:val="22"/>
        </w:rPr>
        <w:t>(</w:t>
      </w:r>
      <w:proofErr w:type="gramEnd"/>
      <w:r w:rsidRPr="00EF6CE4">
        <w:rPr>
          <w:rFonts w:asciiTheme="minorHAnsi" w:hAnsiTheme="minorHAnsi" w:cs="Times New Roman"/>
          <w:i/>
          <w:sz w:val="22"/>
          <w:szCs w:val="22"/>
        </w:rPr>
        <w:t>np. ostry zespół wieńcowy ponad 12 miesięcy temu lub interwencja wieńcowa</w:t>
      </w:r>
      <w:proofErr w:type="gramStart"/>
      <w:r w:rsidRPr="00EF6CE4">
        <w:rPr>
          <w:rFonts w:asciiTheme="minorHAnsi" w:hAnsiTheme="minorHAnsi" w:cs="Times New Roman"/>
          <w:i/>
          <w:sz w:val="22"/>
          <w:szCs w:val="22"/>
        </w:rPr>
        <w:t>)</w:t>
      </w:r>
      <w:proofErr w:type="gramEnd"/>
    </w:p>
    <w:p w:rsidR="00873A44" w:rsidRPr="00AE15DA" w:rsidRDefault="00873A44" w:rsidP="0043334F">
      <w:pPr>
        <w:spacing w:before="100" w:beforeAutospacing="1" w:after="100" w:afterAutospacing="1"/>
        <w:contextualSpacing/>
        <w:jc w:val="both"/>
        <w:rPr>
          <w:rFonts w:asciiTheme="minorHAnsi" w:hAnsiTheme="minorHAnsi"/>
          <w:b/>
          <w:sz w:val="22"/>
          <w:szCs w:val="22"/>
        </w:rPr>
      </w:pPr>
    </w:p>
    <w:p w:rsidR="0096214E" w:rsidRPr="00AE15DA" w:rsidRDefault="0011269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lastRenderedPageBreak/>
        <w:t>A2</w:t>
      </w:r>
      <w:r w:rsidR="00965815" w:rsidRPr="00AE15DA">
        <w:rPr>
          <w:rFonts w:asciiTheme="minorHAnsi" w:hAnsiTheme="minorHAnsi"/>
          <w:b/>
          <w:sz w:val="22"/>
          <w:szCs w:val="22"/>
        </w:rPr>
        <w:t>5</w:t>
      </w:r>
      <w:r w:rsidRPr="00AE15DA">
        <w:rPr>
          <w:rFonts w:asciiTheme="minorHAnsi" w:hAnsiTheme="minorHAnsi"/>
          <w:b/>
          <w:sz w:val="22"/>
          <w:szCs w:val="22"/>
        </w:rPr>
        <w:t xml:space="preserve">. </w:t>
      </w:r>
      <w:r w:rsidR="00D32DB8">
        <w:rPr>
          <w:rFonts w:asciiTheme="minorHAnsi" w:hAnsiTheme="minorHAnsi"/>
          <w:b/>
          <w:sz w:val="22"/>
          <w:szCs w:val="22"/>
        </w:rPr>
        <w:t>OAK</w:t>
      </w:r>
      <w:r w:rsidR="00D32DB8" w:rsidRPr="00D32DB8">
        <w:rPr>
          <w:rFonts w:asciiTheme="minorHAnsi" w:hAnsiTheme="minorHAnsi"/>
          <w:b/>
          <w:sz w:val="22"/>
          <w:szCs w:val="22"/>
        </w:rPr>
        <w:t xml:space="preserve"> (antagoniści witaminy K, bezpośrednie inhibitory trombiny lub inhibitory czynnika Xa) nie nadają się do stosowania przez ponad 6 miesięcy w przypadku zakrzepicy żył głębokich po raz pierwszy bez trwających czynników ryzyka (brak udowodnionej dodatkowej korzyści)</w:t>
      </w:r>
    </w:p>
    <w:p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C75B3A" w:rsidRPr="00AE15DA" w:rsidRDefault="00C75B3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112690" w:rsidRPr="00AE15DA" w:rsidRDefault="00E66E29"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Pr>
          <w:rFonts w:ascii="Calibri" w:hAnsi="Calibri" w:cs="Calibri"/>
          <w:b/>
          <w:sz w:val="22"/>
          <w:szCs w:val="22"/>
        </w:rPr>
        <w:t>#</w:t>
      </w:r>
      <w:r w:rsidR="00112690" w:rsidRPr="00AE15DA">
        <w:rPr>
          <w:rFonts w:asciiTheme="minorHAnsi" w:hAnsiTheme="minorHAnsi"/>
          <w:b/>
          <w:sz w:val="22"/>
          <w:szCs w:val="22"/>
        </w:rPr>
        <w:t>A2</w:t>
      </w:r>
      <w:r w:rsidR="00965815" w:rsidRPr="00AE15DA">
        <w:rPr>
          <w:rFonts w:asciiTheme="minorHAnsi" w:hAnsiTheme="minorHAnsi"/>
          <w:b/>
          <w:sz w:val="22"/>
          <w:szCs w:val="22"/>
        </w:rPr>
        <w:t>6</w:t>
      </w:r>
      <w:r w:rsidR="00112690" w:rsidRPr="00AE15DA">
        <w:rPr>
          <w:rFonts w:asciiTheme="minorHAnsi" w:hAnsiTheme="minorHAnsi"/>
          <w:b/>
          <w:sz w:val="22"/>
          <w:szCs w:val="22"/>
        </w:rPr>
        <w:t xml:space="preserve">. </w:t>
      </w:r>
      <w:r w:rsidR="00D32DB8">
        <w:rPr>
          <w:rFonts w:asciiTheme="minorHAnsi" w:hAnsiTheme="minorHAnsi"/>
          <w:b/>
          <w:sz w:val="22"/>
          <w:szCs w:val="22"/>
        </w:rPr>
        <w:t>OAK</w:t>
      </w:r>
      <w:r w:rsidR="00D32DB8" w:rsidRPr="00D32DB8">
        <w:rPr>
          <w:rFonts w:asciiTheme="minorHAnsi" w:hAnsiTheme="minorHAnsi"/>
          <w:b/>
          <w:sz w:val="22"/>
          <w:szCs w:val="22"/>
        </w:rPr>
        <w:t xml:space="preserve"> (antagoniści witaminy K, bezpośrednie inhibitory trombiny lub inhibitory czynnika Xa) nie nadają się do stosowania przez ponad 12 miesięcy w przypadku pierwszej zatorowości płucnej bez trwających czynników ryzyka (brak udowodnionych dodatkowych korzyści)</w:t>
      </w:r>
      <w:r w:rsidR="00112690" w:rsidRPr="00AE15DA">
        <w:rPr>
          <w:rFonts w:asciiTheme="minorHAnsi" w:hAnsiTheme="minorHAnsi"/>
          <w:b/>
          <w:sz w:val="22"/>
          <w:szCs w:val="22"/>
        </w:rPr>
        <w:t xml:space="preserve"> </w:t>
      </w:r>
    </w:p>
    <w:p w:rsidR="00873A44" w:rsidRPr="00AE15DA"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873A44" w:rsidRPr="00AE15DA" w:rsidRDefault="00873A44" w:rsidP="0043334F">
      <w:pPr>
        <w:pStyle w:val="HTMLncedenBiimlendirilmi"/>
        <w:contextualSpacing/>
        <w:jc w:val="both"/>
        <w:rPr>
          <w:rFonts w:asciiTheme="minorHAnsi" w:hAnsiTheme="minorHAnsi" w:cs="Times New Roman"/>
          <w:b/>
          <w:sz w:val="22"/>
          <w:szCs w:val="22"/>
        </w:rPr>
      </w:pPr>
    </w:p>
    <w:p w:rsidR="00706F21" w:rsidRPr="00AE15DA" w:rsidRDefault="00E66E29" w:rsidP="0043334F">
      <w:pPr>
        <w:pStyle w:val="HTMLncedenBiimlendirilmi"/>
        <w:contextualSpacing/>
        <w:jc w:val="both"/>
        <w:rPr>
          <w:rFonts w:asciiTheme="minorHAnsi" w:hAnsiTheme="minorHAnsi" w:cs="Times New Roman"/>
          <w:b/>
          <w:sz w:val="22"/>
          <w:szCs w:val="22"/>
        </w:rPr>
      </w:pPr>
      <w:r>
        <w:rPr>
          <w:rFonts w:ascii="Calibri" w:hAnsi="Calibri" w:cs="Calibri"/>
          <w:b/>
          <w:sz w:val="22"/>
          <w:szCs w:val="22"/>
        </w:rPr>
        <w:t>#</w:t>
      </w:r>
      <w:r w:rsidR="006C24B0" w:rsidRPr="00AE15DA">
        <w:rPr>
          <w:rFonts w:asciiTheme="minorHAnsi" w:hAnsiTheme="minorHAnsi" w:cs="Times New Roman"/>
          <w:b/>
          <w:sz w:val="22"/>
          <w:szCs w:val="22"/>
        </w:rPr>
        <w:t>A2</w:t>
      </w:r>
      <w:r w:rsidR="00965815" w:rsidRPr="00AE15DA">
        <w:rPr>
          <w:rFonts w:asciiTheme="minorHAnsi" w:hAnsiTheme="minorHAnsi" w:cs="Times New Roman"/>
          <w:b/>
          <w:sz w:val="22"/>
          <w:szCs w:val="22"/>
        </w:rPr>
        <w:t>7</w:t>
      </w:r>
      <w:r w:rsidR="006C24B0" w:rsidRPr="00AE15DA">
        <w:rPr>
          <w:rFonts w:asciiTheme="minorHAnsi" w:hAnsiTheme="minorHAnsi" w:cs="Times New Roman"/>
          <w:b/>
          <w:sz w:val="22"/>
          <w:szCs w:val="22"/>
        </w:rPr>
        <w:t xml:space="preserve">. </w:t>
      </w:r>
      <w:r w:rsidR="00D32DB8" w:rsidRPr="00D32DB8">
        <w:rPr>
          <w:rFonts w:asciiTheme="minorHAnsi" w:hAnsiTheme="minorHAnsi" w:cs="Times New Roman"/>
          <w:b/>
          <w:sz w:val="22"/>
          <w:szCs w:val="22"/>
        </w:rPr>
        <w:t>Monoterapia aspiryną lub klopidogrelem nie jest odpowiednia u pacjentów z przewlekłym AF, u których przeciwwskazan</w:t>
      </w:r>
      <w:r w:rsidR="00D32DB8">
        <w:rPr>
          <w:rFonts w:asciiTheme="minorHAnsi" w:hAnsiTheme="minorHAnsi" w:cs="Times New Roman"/>
          <w:b/>
          <w:sz w:val="22"/>
          <w:szCs w:val="22"/>
        </w:rPr>
        <w:t>e są OAK</w:t>
      </w:r>
      <w:r w:rsidR="00D32DB8" w:rsidRPr="00D32DB8">
        <w:rPr>
          <w:rFonts w:asciiTheme="minorHAnsi" w:hAnsiTheme="minorHAnsi" w:cs="Times New Roman"/>
          <w:b/>
          <w:sz w:val="22"/>
          <w:szCs w:val="22"/>
        </w:rPr>
        <w:t xml:space="preserve"> (antagoniści witaminy K, bezpośrednie inhibitory tromb</w:t>
      </w:r>
      <w:r w:rsidR="00D32DB8">
        <w:rPr>
          <w:rFonts w:asciiTheme="minorHAnsi" w:hAnsiTheme="minorHAnsi" w:cs="Times New Roman"/>
          <w:b/>
          <w:sz w:val="22"/>
          <w:szCs w:val="22"/>
        </w:rPr>
        <w:t>iny lub inhibitory czynnika Xa)</w:t>
      </w:r>
      <w:r w:rsidR="006C24B0" w:rsidRPr="00AE15DA">
        <w:rPr>
          <w:rFonts w:asciiTheme="minorHAnsi" w:hAnsiTheme="minorHAnsi" w:cs="Times New Roman"/>
          <w:b/>
          <w:sz w:val="22"/>
          <w:szCs w:val="22"/>
        </w:rPr>
        <w:t xml:space="preserve"> </w:t>
      </w:r>
    </w:p>
    <w:p w:rsidR="005A554D" w:rsidRPr="00AE15DA" w:rsidRDefault="00706F21" w:rsidP="0043334F">
      <w:pPr>
        <w:pStyle w:val="HTMLncedenBiimlendirilmi"/>
        <w:contextualSpacing/>
        <w:jc w:val="both"/>
        <w:rPr>
          <w:rFonts w:asciiTheme="minorHAnsi" w:hAnsiTheme="minorHAnsi" w:cs="Times New Roman"/>
          <w:i/>
          <w:sz w:val="22"/>
          <w:szCs w:val="22"/>
        </w:rPr>
      </w:pPr>
      <w:r w:rsidRPr="00AE15DA">
        <w:rPr>
          <w:rFonts w:asciiTheme="minorHAnsi" w:hAnsiTheme="minorHAnsi" w:cs="Times New Roman"/>
          <w:sz w:val="22"/>
          <w:szCs w:val="22"/>
        </w:rPr>
        <w:t>*</w:t>
      </w:r>
      <w:r w:rsidR="00D32DB8" w:rsidRPr="00D32DB8">
        <w:t xml:space="preserve"> </w:t>
      </w:r>
      <w:r w:rsidR="00D32DB8" w:rsidRPr="00D32DB8">
        <w:rPr>
          <w:rFonts w:asciiTheme="minorHAnsi" w:hAnsiTheme="minorHAnsi" w:cs="Times New Roman"/>
          <w:i/>
          <w:sz w:val="22"/>
          <w:szCs w:val="22"/>
        </w:rPr>
        <w:t>Monoterapia aspiryną lub klopidogrelem nie jest zalecana w profilaktyce udaru mózgu u</w:t>
      </w:r>
      <w:r w:rsidR="00D32DB8">
        <w:rPr>
          <w:rFonts w:asciiTheme="minorHAnsi" w:hAnsiTheme="minorHAnsi" w:cs="Times New Roman"/>
          <w:i/>
          <w:sz w:val="22"/>
          <w:szCs w:val="22"/>
        </w:rPr>
        <w:t xml:space="preserve"> pacjentów z AF, jest szkodliwa</w:t>
      </w:r>
      <w:r w:rsidRPr="00AE15DA">
        <w:rPr>
          <w:rFonts w:asciiTheme="minorHAnsi" w:hAnsiTheme="minorHAnsi" w:cs="Times New Roman"/>
          <w:i/>
          <w:sz w:val="22"/>
          <w:szCs w:val="22"/>
        </w:rPr>
        <w:t>.</w:t>
      </w:r>
    </w:p>
    <w:p w:rsidR="005A554D" w:rsidRPr="00AE15DA" w:rsidRDefault="005A554D" w:rsidP="0043334F">
      <w:pPr>
        <w:contextualSpacing/>
        <w:jc w:val="both"/>
        <w:rPr>
          <w:rFonts w:asciiTheme="minorHAnsi" w:hAnsiTheme="minorHAnsi"/>
          <w:i/>
          <w:color w:val="5B9BD5" w:themeColor="accent1"/>
          <w:sz w:val="22"/>
          <w:szCs w:val="22"/>
          <w:shd w:val="clear" w:color="auto" w:fill="FFFFFF"/>
        </w:rPr>
      </w:pPr>
      <w:r w:rsidRPr="00AE15DA">
        <w:rPr>
          <w:rFonts w:asciiTheme="minorHAnsi" w:hAnsiTheme="minorHAnsi"/>
          <w:i/>
          <w:color w:val="000000" w:themeColor="text1"/>
          <w:sz w:val="22"/>
          <w:szCs w:val="22"/>
          <w:shd w:val="clear" w:color="auto" w:fill="FFFFFF"/>
        </w:rPr>
        <w:t>*</w:t>
      </w:r>
      <w:r w:rsidR="00D32DB8" w:rsidRPr="00D32DB8">
        <w:t xml:space="preserve"> </w:t>
      </w:r>
      <w:r w:rsidR="00D32DB8" w:rsidRPr="00D32DB8">
        <w:rPr>
          <w:rFonts w:asciiTheme="minorHAnsi" w:hAnsiTheme="minorHAnsi"/>
          <w:i/>
          <w:color w:val="000000" w:themeColor="text1"/>
          <w:sz w:val="22"/>
          <w:szCs w:val="22"/>
          <w:shd w:val="clear" w:color="auto" w:fill="FFFFFF"/>
        </w:rPr>
        <w:t xml:space="preserve">Podwójna terapia przeciwpłytkowa nie jest również zalecana u </w:t>
      </w:r>
      <w:r w:rsidR="00D32DB8">
        <w:rPr>
          <w:rFonts w:asciiTheme="minorHAnsi" w:hAnsiTheme="minorHAnsi"/>
          <w:i/>
          <w:color w:val="000000" w:themeColor="text1"/>
          <w:sz w:val="22"/>
          <w:szCs w:val="22"/>
          <w:shd w:val="clear" w:color="auto" w:fill="FFFFFF"/>
        </w:rPr>
        <w:t>pacjentów z przeciwwskazanym OAK</w:t>
      </w:r>
      <w:r w:rsidR="00D32DB8" w:rsidRPr="00D32DB8">
        <w:rPr>
          <w:rFonts w:asciiTheme="minorHAnsi" w:hAnsiTheme="minorHAnsi"/>
          <w:i/>
          <w:color w:val="000000" w:themeColor="text1"/>
          <w:sz w:val="22"/>
          <w:szCs w:val="22"/>
          <w:shd w:val="clear" w:color="auto" w:fill="FFFFFF"/>
        </w:rPr>
        <w:t xml:space="preserve"> </w:t>
      </w:r>
      <w:r w:rsidR="00D32DB8">
        <w:rPr>
          <w:rFonts w:asciiTheme="minorHAnsi" w:hAnsiTheme="minorHAnsi"/>
          <w:i/>
          <w:color w:val="000000" w:themeColor="text1"/>
          <w:sz w:val="22"/>
          <w:szCs w:val="22"/>
          <w:shd w:val="clear" w:color="auto" w:fill="FFFFFF"/>
        </w:rPr>
        <w:t>ze względu na ryzyko krwawienia</w:t>
      </w:r>
      <w:r w:rsidRPr="00AE15DA">
        <w:rPr>
          <w:rFonts w:asciiTheme="minorHAnsi" w:hAnsiTheme="minorHAnsi"/>
          <w:i/>
          <w:color w:val="000000" w:themeColor="text1"/>
          <w:sz w:val="22"/>
          <w:szCs w:val="22"/>
          <w:shd w:val="clear" w:color="auto" w:fill="FFFFFF"/>
        </w:rPr>
        <w:t>.</w:t>
      </w:r>
    </w:p>
    <w:p w:rsidR="006C24B0" w:rsidRPr="00AE15DA" w:rsidRDefault="00D32DB8" w:rsidP="0043334F">
      <w:pPr>
        <w:contextualSpacing/>
        <w:jc w:val="both"/>
        <w:rPr>
          <w:rFonts w:asciiTheme="minorHAnsi" w:hAnsiTheme="minorHAnsi"/>
          <w:i/>
          <w:color w:val="000000" w:themeColor="text1"/>
          <w:sz w:val="22"/>
          <w:szCs w:val="22"/>
          <w:shd w:val="clear" w:color="auto" w:fill="FFFFFF"/>
        </w:rPr>
      </w:pPr>
      <w:r>
        <w:rPr>
          <w:rFonts w:asciiTheme="minorHAnsi" w:hAnsiTheme="minorHAnsi"/>
          <w:i/>
          <w:color w:val="000000" w:themeColor="text1"/>
          <w:sz w:val="22"/>
          <w:szCs w:val="22"/>
          <w:shd w:val="clear" w:color="auto" w:fill="FFFFFF"/>
        </w:rPr>
        <w:t>*</w:t>
      </w:r>
      <w:r w:rsidRPr="00D32DB8">
        <w:t xml:space="preserve"> </w:t>
      </w:r>
      <w:r w:rsidRPr="00D32DB8">
        <w:rPr>
          <w:rFonts w:asciiTheme="minorHAnsi" w:hAnsiTheme="minorHAnsi"/>
          <w:i/>
          <w:color w:val="000000" w:themeColor="text1"/>
          <w:sz w:val="22"/>
          <w:szCs w:val="22"/>
          <w:shd w:val="clear" w:color="auto" w:fill="FFFFFF"/>
        </w:rPr>
        <w:t>U tych pacjentów, w przypadkach, gdy ryzyko udaru jest wysokie, może być zalecane zamknię</w:t>
      </w:r>
      <w:r>
        <w:rPr>
          <w:rFonts w:asciiTheme="minorHAnsi" w:hAnsiTheme="minorHAnsi"/>
          <w:i/>
          <w:color w:val="000000" w:themeColor="text1"/>
          <w:sz w:val="22"/>
          <w:szCs w:val="22"/>
          <w:shd w:val="clear" w:color="auto" w:fill="FFFFFF"/>
        </w:rPr>
        <w:t>cie wyrostka lewego przedsionka</w:t>
      </w:r>
      <w:r w:rsidR="005A554D" w:rsidRPr="00AE15DA">
        <w:rPr>
          <w:rFonts w:asciiTheme="minorHAnsi" w:hAnsiTheme="minorHAnsi"/>
          <w:i/>
          <w:color w:val="000000" w:themeColor="text1"/>
          <w:sz w:val="22"/>
          <w:szCs w:val="22"/>
          <w:shd w:val="clear" w:color="auto" w:fill="FFFFFF"/>
        </w:rPr>
        <w:t xml:space="preserve">. </w:t>
      </w:r>
    </w:p>
    <w:p w:rsidR="00A67B6A" w:rsidRPr="00AE15DA" w:rsidRDefault="00A67B6A" w:rsidP="0043334F">
      <w:pPr>
        <w:pStyle w:val="HTMLncedenBiimlendirilmi"/>
        <w:contextualSpacing/>
        <w:jc w:val="both"/>
        <w:rPr>
          <w:rFonts w:asciiTheme="minorHAnsi" w:hAnsiTheme="minorHAnsi" w:cstheme="minorHAnsi"/>
          <w:sz w:val="22"/>
          <w:szCs w:val="22"/>
        </w:rPr>
      </w:pPr>
    </w:p>
    <w:p w:rsidR="006C24B0" w:rsidRPr="00AE15DA" w:rsidRDefault="006C24B0" w:rsidP="0043334F">
      <w:pPr>
        <w:pStyle w:val="HTMLncedenBiimlendirilmi"/>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Pr>
        <w:t>A2</w:t>
      </w:r>
      <w:r w:rsidR="00965815" w:rsidRPr="00AE15DA">
        <w:rPr>
          <w:rFonts w:asciiTheme="minorHAnsi" w:hAnsiTheme="minorHAnsi"/>
          <w:b/>
          <w:sz w:val="22"/>
          <w:szCs w:val="22"/>
        </w:rPr>
        <w:t>8</w:t>
      </w:r>
      <w:r w:rsidRPr="00AE15DA">
        <w:rPr>
          <w:rFonts w:asciiTheme="minorHAnsi" w:hAnsiTheme="minorHAnsi"/>
          <w:b/>
          <w:sz w:val="22"/>
          <w:szCs w:val="22"/>
        </w:rPr>
        <w:t xml:space="preserve">. </w:t>
      </w:r>
      <w:r w:rsidR="00D32DB8" w:rsidRPr="00D32DB8">
        <w:rPr>
          <w:rFonts w:asciiTheme="minorHAnsi" w:hAnsiTheme="minorHAnsi"/>
          <w:b/>
          <w:sz w:val="22"/>
          <w:szCs w:val="22"/>
        </w:rPr>
        <w:t>Dabigatran nie jest odpowiedni do stosowania u pacjentów z GFR &lt;30 ml/min/1,73 m2</w:t>
      </w:r>
    </w:p>
    <w:p w:rsidR="006C24B0" w:rsidRPr="00AE15DA" w:rsidRDefault="006C24B0" w:rsidP="0043334F">
      <w:pPr>
        <w:contextualSpacing/>
        <w:jc w:val="both"/>
        <w:rPr>
          <w:rFonts w:asciiTheme="minorHAnsi" w:hAnsiTheme="minorHAnsi"/>
          <w:i/>
          <w:sz w:val="22"/>
          <w:szCs w:val="22"/>
        </w:rPr>
      </w:pPr>
      <w:r w:rsidRPr="00AE15DA">
        <w:rPr>
          <w:rFonts w:asciiTheme="minorHAnsi" w:hAnsiTheme="minorHAnsi"/>
          <w:i/>
          <w:sz w:val="22"/>
          <w:szCs w:val="22"/>
        </w:rPr>
        <w:t>*</w:t>
      </w:r>
      <w:r w:rsidR="00D32DB8" w:rsidRPr="00D32DB8">
        <w:t xml:space="preserve"> </w:t>
      </w:r>
      <w:r w:rsidR="00D32DB8" w:rsidRPr="00D32DB8">
        <w:rPr>
          <w:rFonts w:asciiTheme="minorHAnsi" w:hAnsiTheme="minorHAnsi"/>
          <w:i/>
          <w:sz w:val="22"/>
          <w:szCs w:val="22"/>
        </w:rPr>
        <w:t xml:space="preserve">Nie należy stosować </w:t>
      </w:r>
      <w:r w:rsidR="00D32DB8">
        <w:rPr>
          <w:rFonts w:asciiTheme="minorHAnsi" w:hAnsiTheme="minorHAnsi"/>
          <w:i/>
          <w:sz w:val="22"/>
          <w:szCs w:val="22"/>
        </w:rPr>
        <w:t>YOAK</w:t>
      </w:r>
      <w:r w:rsidR="00D32DB8" w:rsidRPr="00D32DB8">
        <w:rPr>
          <w:rFonts w:asciiTheme="minorHAnsi" w:hAnsiTheme="minorHAnsi"/>
          <w:i/>
          <w:sz w:val="22"/>
          <w:szCs w:val="22"/>
        </w:rPr>
        <w:t>, jeśli GFR wynosi &lt;15 ml/min/1,73 m2</w:t>
      </w:r>
      <w:r w:rsidRPr="00AE15DA">
        <w:rPr>
          <w:rFonts w:asciiTheme="minorHAnsi" w:hAnsiTheme="minorHAnsi"/>
          <w:i/>
          <w:sz w:val="22"/>
          <w:szCs w:val="22"/>
        </w:rPr>
        <w:t>.</w:t>
      </w:r>
    </w:p>
    <w:p w:rsidR="006C24B0" w:rsidRPr="00AE15DA" w:rsidRDefault="006C24B0" w:rsidP="0043334F">
      <w:pPr>
        <w:contextualSpacing/>
        <w:jc w:val="both"/>
        <w:rPr>
          <w:rFonts w:asciiTheme="minorHAnsi" w:hAnsiTheme="minorHAnsi"/>
          <w:i/>
          <w:sz w:val="22"/>
          <w:szCs w:val="22"/>
        </w:rPr>
      </w:pPr>
      <w:r w:rsidRPr="00AE15DA">
        <w:rPr>
          <w:rFonts w:asciiTheme="minorHAnsi" w:hAnsiTheme="minorHAnsi"/>
          <w:i/>
          <w:sz w:val="22"/>
          <w:szCs w:val="22"/>
        </w:rPr>
        <w:t>*</w:t>
      </w:r>
      <w:r w:rsidR="00D32DB8" w:rsidRPr="00D32DB8">
        <w:t xml:space="preserve"> </w:t>
      </w:r>
      <w:r w:rsidR="00D32DB8" w:rsidRPr="00D32DB8">
        <w:rPr>
          <w:rFonts w:asciiTheme="minorHAnsi" w:hAnsiTheme="minorHAnsi"/>
          <w:i/>
          <w:sz w:val="22"/>
          <w:szCs w:val="22"/>
        </w:rPr>
        <w:t>Chociaż istnieją ograniczone dowody dotyczące apiksabanu, rywaroksabanu i edoksabanu u pacjentów z GFR wynoszącym 15-30 ml/min/1,73 m2, ich stosowanie nie jest ogólnie</w:t>
      </w:r>
      <w:r w:rsidR="00D32DB8">
        <w:rPr>
          <w:rFonts w:asciiTheme="minorHAnsi" w:hAnsiTheme="minorHAnsi"/>
          <w:i/>
          <w:sz w:val="22"/>
          <w:szCs w:val="22"/>
        </w:rPr>
        <w:t xml:space="preserve"> zalecane</w:t>
      </w:r>
      <w:r w:rsidRPr="00AE15DA">
        <w:rPr>
          <w:rFonts w:asciiTheme="minorHAnsi" w:hAnsiTheme="minorHAnsi"/>
          <w:i/>
          <w:sz w:val="22"/>
          <w:szCs w:val="22"/>
        </w:rPr>
        <w:t xml:space="preserve">. </w:t>
      </w:r>
    </w:p>
    <w:p w:rsidR="00227CEA" w:rsidRPr="00AE15DA" w:rsidRDefault="00227CEA" w:rsidP="0043334F">
      <w:pPr>
        <w:contextualSpacing/>
        <w:jc w:val="both"/>
        <w:rPr>
          <w:rFonts w:asciiTheme="minorHAnsi" w:hAnsiTheme="minorHAnsi"/>
          <w:i/>
          <w:sz w:val="22"/>
          <w:szCs w:val="22"/>
        </w:rPr>
      </w:pPr>
      <w:proofErr w:type="gramStart"/>
      <w:r w:rsidRPr="00AE15DA">
        <w:rPr>
          <w:rFonts w:asciiTheme="minorHAnsi" w:hAnsiTheme="minorHAnsi"/>
          <w:i/>
          <w:sz w:val="22"/>
          <w:szCs w:val="22"/>
        </w:rPr>
        <w:t>*</w:t>
      </w:r>
      <w:r w:rsidR="00D32DB8" w:rsidRPr="00D32DB8">
        <w:rPr>
          <w:rFonts w:asciiTheme="minorHAnsi" w:hAnsiTheme="minorHAnsi"/>
          <w:i/>
          <w:sz w:val="22"/>
          <w:szCs w:val="22"/>
        </w:rPr>
        <w:t>Leki przeciwzakrzepowe nie mogą być podawane w przypadkach AF z GFR &lt;30 ml/min/1,73 m2, u pacjentów z wysokim ryzykiem upadków lub z krwawieniem zagrażającym życiu, u pacjentów, którzy nie chcą ryzykować krwawienia, u pacjentów, którzy będą mają trudności w kontrolowaniu INR u p</w:t>
      </w:r>
      <w:r w:rsidR="00D32DB8">
        <w:rPr>
          <w:rFonts w:asciiTheme="minorHAnsi" w:hAnsiTheme="minorHAnsi"/>
          <w:i/>
          <w:sz w:val="22"/>
          <w:szCs w:val="22"/>
        </w:rPr>
        <w:t>acjentów ze źle kontrolowaną HT</w:t>
      </w:r>
      <w:r w:rsidR="006C24B0" w:rsidRPr="00AE15DA">
        <w:rPr>
          <w:rFonts w:asciiTheme="minorHAnsi" w:hAnsiTheme="minorHAnsi"/>
          <w:i/>
          <w:sz w:val="22"/>
          <w:szCs w:val="22"/>
        </w:rPr>
        <w:t xml:space="preserve">. </w:t>
      </w:r>
      <w:proofErr w:type="gramEnd"/>
    </w:p>
    <w:p w:rsidR="00227CEA" w:rsidRPr="00AE15DA" w:rsidRDefault="00227CEA" w:rsidP="0043334F">
      <w:pPr>
        <w:contextualSpacing/>
        <w:jc w:val="both"/>
        <w:rPr>
          <w:rFonts w:asciiTheme="minorHAnsi" w:hAnsiTheme="minorHAnsi"/>
          <w:i/>
          <w:sz w:val="22"/>
          <w:szCs w:val="22"/>
        </w:rPr>
      </w:pPr>
      <w:r w:rsidRPr="00AE15DA">
        <w:rPr>
          <w:rFonts w:asciiTheme="minorHAnsi" w:hAnsiTheme="minorHAnsi"/>
          <w:i/>
          <w:sz w:val="22"/>
          <w:szCs w:val="22"/>
        </w:rPr>
        <w:t>*</w:t>
      </w:r>
      <w:r w:rsidR="00D32DB8" w:rsidRPr="00D32DB8">
        <w:rPr>
          <w:rFonts w:asciiTheme="minorHAnsi" w:hAnsiTheme="minorHAnsi"/>
          <w:i/>
          <w:sz w:val="22"/>
          <w:szCs w:val="22"/>
        </w:rPr>
        <w:t>Leki przeciwzakrzepowe nie są zalecane u pacjentów z AF poddawanych dializie [chyba że istnieje bardzo duże ryzyko udaru mózgu: zakrzepic</w:t>
      </w:r>
      <w:r w:rsidR="00D32DB8">
        <w:rPr>
          <w:rFonts w:asciiTheme="minorHAnsi" w:hAnsiTheme="minorHAnsi"/>
          <w:i/>
          <w:sz w:val="22"/>
          <w:szCs w:val="22"/>
        </w:rPr>
        <w:t>a w przedsionku, przebyty udar G</w:t>
      </w:r>
      <w:r w:rsidR="00D32DB8" w:rsidRPr="00D32DB8">
        <w:rPr>
          <w:rFonts w:asciiTheme="minorHAnsi" w:hAnsiTheme="minorHAnsi"/>
          <w:i/>
          <w:sz w:val="22"/>
          <w:szCs w:val="22"/>
        </w:rPr>
        <w:t>IA, choroba zastawkowa: (umiarkowane ciężkie MS, proteza zastawkowa)]. Jeśli wskazane jest leczenie przeciwzakrzepowe, zaleca się stosowanie warfaryny.</w:t>
      </w:r>
      <w:r w:rsidR="006C24B0" w:rsidRPr="00AE15DA">
        <w:rPr>
          <w:rFonts w:asciiTheme="minorHAnsi" w:hAnsiTheme="minorHAnsi"/>
          <w:i/>
          <w:sz w:val="22"/>
          <w:szCs w:val="22"/>
        </w:rPr>
        <w:t xml:space="preserve"> </w:t>
      </w:r>
    </w:p>
    <w:p w:rsidR="00AC740A" w:rsidRPr="00AE15DA" w:rsidRDefault="00AC740A" w:rsidP="0043334F">
      <w:pPr>
        <w:contextualSpacing/>
        <w:jc w:val="both"/>
        <w:rPr>
          <w:rFonts w:asciiTheme="minorHAnsi" w:hAnsiTheme="minorHAnsi"/>
          <w:i/>
          <w:color w:val="000000" w:themeColor="text1"/>
          <w:sz w:val="22"/>
          <w:szCs w:val="22"/>
          <w:shd w:val="clear" w:color="auto" w:fill="FFFFFF"/>
        </w:rPr>
      </w:pPr>
      <w:r w:rsidRPr="00AE15DA">
        <w:rPr>
          <w:rFonts w:asciiTheme="minorHAnsi" w:hAnsiTheme="minorHAnsi"/>
          <w:i/>
          <w:color w:val="000000" w:themeColor="text1"/>
          <w:sz w:val="22"/>
          <w:szCs w:val="22"/>
          <w:shd w:val="clear" w:color="auto" w:fill="FFFFFF"/>
        </w:rPr>
        <w:t>*</w:t>
      </w:r>
      <w:r w:rsidR="00D32DB8" w:rsidRPr="00D32DB8">
        <w:t xml:space="preserve"> </w:t>
      </w:r>
      <w:r w:rsidR="00D32DB8" w:rsidRPr="00D32DB8">
        <w:rPr>
          <w:rFonts w:asciiTheme="minorHAnsi" w:hAnsiTheme="minorHAnsi"/>
          <w:i/>
          <w:color w:val="000000" w:themeColor="text1"/>
          <w:sz w:val="22"/>
          <w:szCs w:val="22"/>
          <w:shd w:val="clear" w:color="auto" w:fill="FFFFFF"/>
        </w:rPr>
        <w:t>U pacjentów z migotaniem przedsionków z wysokim ryzykiem udaru mózgu może być zalecane zamknięcie uszka lewego przedsionka, jeś</w:t>
      </w:r>
      <w:r w:rsidR="00D32DB8">
        <w:rPr>
          <w:rFonts w:asciiTheme="minorHAnsi" w:hAnsiTheme="minorHAnsi"/>
          <w:i/>
          <w:color w:val="000000" w:themeColor="text1"/>
          <w:sz w:val="22"/>
          <w:szCs w:val="22"/>
          <w:shd w:val="clear" w:color="auto" w:fill="FFFFFF"/>
        </w:rPr>
        <w:t>li nie można zastosować OAK</w:t>
      </w:r>
      <w:r w:rsidRPr="00AE15DA">
        <w:rPr>
          <w:rFonts w:asciiTheme="minorHAnsi" w:hAnsiTheme="minorHAnsi"/>
          <w:i/>
          <w:color w:val="000000" w:themeColor="text1"/>
          <w:sz w:val="22"/>
          <w:szCs w:val="22"/>
          <w:shd w:val="clear" w:color="auto" w:fill="FFFFFF"/>
        </w:rPr>
        <w:t xml:space="preserve">. </w:t>
      </w:r>
    </w:p>
    <w:p w:rsidR="00A67B6A" w:rsidRPr="00AE15DA" w:rsidRDefault="00227CEA" w:rsidP="0043334F">
      <w:pPr>
        <w:contextualSpacing/>
        <w:jc w:val="both"/>
        <w:rPr>
          <w:rFonts w:asciiTheme="minorHAnsi" w:hAnsiTheme="minorHAnsi"/>
          <w:i/>
          <w:sz w:val="22"/>
          <w:szCs w:val="22"/>
        </w:rPr>
      </w:pPr>
      <w:r w:rsidRPr="00AE15DA">
        <w:rPr>
          <w:rFonts w:asciiTheme="minorHAnsi" w:hAnsiTheme="minorHAnsi"/>
          <w:i/>
          <w:sz w:val="22"/>
          <w:szCs w:val="22"/>
        </w:rPr>
        <w:t>*</w:t>
      </w:r>
      <w:r w:rsidR="00D32DB8" w:rsidRPr="00D32DB8">
        <w:t xml:space="preserve"> </w:t>
      </w:r>
      <w:r w:rsidR="00D32DB8" w:rsidRPr="00D32DB8">
        <w:rPr>
          <w:rFonts w:asciiTheme="minorHAnsi" w:hAnsiTheme="minorHAnsi"/>
          <w:i/>
          <w:sz w:val="22"/>
          <w:szCs w:val="22"/>
        </w:rPr>
        <w:t>Nie należy stosować edoksabanu w przypadku GFR&gt;95 ml/min/1,73 m2</w:t>
      </w:r>
      <w:r w:rsidR="00FB3103" w:rsidRPr="00AE15DA">
        <w:rPr>
          <w:rFonts w:asciiTheme="minorHAnsi" w:hAnsiTheme="minorHAnsi"/>
          <w:i/>
          <w:sz w:val="22"/>
          <w:szCs w:val="22"/>
        </w:rPr>
        <w:t xml:space="preserve">. </w:t>
      </w:r>
    </w:p>
    <w:p w:rsidR="00A67B6A" w:rsidRPr="00AE15DA" w:rsidRDefault="00A67B6A" w:rsidP="0043334F">
      <w:pPr>
        <w:contextualSpacing/>
        <w:jc w:val="both"/>
        <w:rPr>
          <w:rFonts w:asciiTheme="minorHAnsi" w:hAnsiTheme="minorHAnsi"/>
          <w:i/>
          <w:sz w:val="22"/>
          <w:szCs w:val="22"/>
        </w:rPr>
      </w:pPr>
    </w:p>
    <w:p w:rsidR="00873A44" w:rsidRPr="00AE15DA" w:rsidRDefault="00873A44" w:rsidP="0043334F">
      <w:pPr>
        <w:spacing w:before="100" w:beforeAutospacing="1" w:after="100" w:afterAutospacing="1"/>
        <w:contextualSpacing/>
        <w:jc w:val="both"/>
        <w:rPr>
          <w:rFonts w:asciiTheme="minorHAnsi" w:hAnsiTheme="minorHAnsi"/>
          <w:b/>
          <w:sz w:val="22"/>
          <w:szCs w:val="22"/>
        </w:rPr>
      </w:pPr>
    </w:p>
    <w:p w:rsidR="00873A44" w:rsidRPr="00AE15DA" w:rsidRDefault="00E66E29" w:rsidP="0043334F">
      <w:pPr>
        <w:spacing w:before="100" w:beforeAutospacing="1" w:after="100" w:afterAutospacing="1"/>
        <w:contextualSpacing/>
        <w:jc w:val="both"/>
        <w:rPr>
          <w:rFonts w:asciiTheme="minorHAnsi" w:hAnsiTheme="minorHAnsi"/>
          <w:b/>
          <w:sz w:val="22"/>
          <w:szCs w:val="22"/>
        </w:rPr>
      </w:pPr>
      <w:r>
        <w:rPr>
          <w:rFonts w:ascii="Calibri" w:hAnsi="Calibri" w:cs="Calibri"/>
          <w:b/>
          <w:sz w:val="22"/>
          <w:szCs w:val="22"/>
        </w:rPr>
        <w:t>#</w:t>
      </w:r>
      <w:r w:rsidR="006C24B0" w:rsidRPr="00AE15DA">
        <w:rPr>
          <w:rFonts w:asciiTheme="minorHAnsi" w:hAnsiTheme="minorHAnsi"/>
          <w:b/>
          <w:sz w:val="22"/>
          <w:szCs w:val="22"/>
        </w:rPr>
        <w:t>A</w:t>
      </w:r>
      <w:r w:rsidR="00965815" w:rsidRPr="00AE15DA">
        <w:rPr>
          <w:rFonts w:asciiTheme="minorHAnsi" w:hAnsiTheme="minorHAnsi"/>
          <w:b/>
          <w:sz w:val="22"/>
          <w:szCs w:val="22"/>
        </w:rPr>
        <w:t>29</w:t>
      </w:r>
      <w:r w:rsidR="006C24B0" w:rsidRPr="00AE15DA">
        <w:rPr>
          <w:rFonts w:asciiTheme="minorHAnsi" w:hAnsiTheme="minorHAnsi"/>
          <w:b/>
          <w:sz w:val="22"/>
          <w:szCs w:val="22"/>
        </w:rPr>
        <w:t xml:space="preserve">. </w:t>
      </w:r>
      <w:r w:rsidR="00D32DB8" w:rsidRPr="00D32DB8">
        <w:rPr>
          <w:rFonts w:asciiTheme="minorHAnsi" w:hAnsiTheme="minorHAnsi"/>
          <w:b/>
          <w:sz w:val="22"/>
          <w:szCs w:val="22"/>
        </w:rPr>
        <w:t>Warfaryna nie jest odpowiednia dla pacjentów z niezastawkowym AF, niedożywionych lub nier</w:t>
      </w:r>
      <w:r w:rsidR="00D32DB8">
        <w:rPr>
          <w:rFonts w:asciiTheme="minorHAnsi" w:hAnsiTheme="minorHAnsi"/>
          <w:b/>
          <w:sz w:val="22"/>
          <w:szCs w:val="22"/>
        </w:rPr>
        <w:t>egularnie spożywających posiłki</w:t>
      </w:r>
    </w:p>
    <w:p w:rsidR="00A67B6A" w:rsidRPr="00AE15DA" w:rsidRDefault="00A67B6A" w:rsidP="0043334F">
      <w:pPr>
        <w:spacing w:before="100" w:beforeAutospacing="1" w:after="100" w:afterAutospacing="1"/>
        <w:contextualSpacing/>
        <w:jc w:val="both"/>
        <w:rPr>
          <w:rFonts w:asciiTheme="minorHAnsi" w:hAnsiTheme="minorHAnsi"/>
          <w:b/>
          <w:sz w:val="22"/>
          <w:szCs w:val="22"/>
        </w:rPr>
      </w:pPr>
    </w:p>
    <w:p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000000"/>
          <w:sz w:val="22"/>
          <w:szCs w:val="22"/>
          <w:lang w:eastAsia="en-GB"/>
        </w:rPr>
      </w:pPr>
    </w:p>
    <w:p w:rsidR="00873A44"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0</w:t>
      </w:r>
      <w:r w:rsidRPr="00AE15DA">
        <w:rPr>
          <w:rFonts w:asciiTheme="minorHAnsi" w:hAnsiTheme="minorHAnsi"/>
          <w:b/>
          <w:sz w:val="22"/>
          <w:szCs w:val="22"/>
        </w:rPr>
        <w:t xml:space="preserve">. </w:t>
      </w:r>
      <w:r w:rsidR="00D32DB8" w:rsidRPr="00D32DB8">
        <w:rPr>
          <w:rFonts w:asciiTheme="minorHAnsi" w:hAnsiTheme="minorHAnsi"/>
          <w:b/>
          <w:sz w:val="22"/>
          <w:szCs w:val="22"/>
        </w:rPr>
        <w:t xml:space="preserve">Stosowanie leków o wąskim indeksie terapeutycznym, takich jak warfaryna i digoksyna, nie jest właściwe u pacjentów, którzy mają trudności w stosowaniu i zarządzaniu przyjmowanymi lekami </w:t>
      </w:r>
      <w:proofErr w:type="gramStart"/>
      <w:r w:rsidR="00D32DB8" w:rsidRPr="00D32DB8">
        <w:rPr>
          <w:rFonts w:asciiTheme="minorHAnsi" w:hAnsiTheme="minorHAnsi"/>
          <w:b/>
          <w:sz w:val="22"/>
          <w:szCs w:val="22"/>
        </w:rPr>
        <w:t>(</w:t>
      </w:r>
      <w:proofErr w:type="gramEnd"/>
      <w:r w:rsidR="00D32DB8" w:rsidRPr="00D32DB8">
        <w:rPr>
          <w:rFonts w:asciiTheme="minorHAnsi" w:hAnsiTheme="minorHAnsi"/>
          <w:b/>
          <w:sz w:val="22"/>
          <w:szCs w:val="22"/>
        </w:rPr>
        <w:t>np. pacjenci z zaburzeniami poznawczymi</w:t>
      </w:r>
      <w:proofErr w:type="gramStart"/>
      <w:r w:rsidR="00D32DB8" w:rsidRPr="00D32DB8">
        <w:rPr>
          <w:rFonts w:asciiTheme="minorHAnsi" w:hAnsiTheme="minorHAnsi"/>
          <w:b/>
          <w:sz w:val="22"/>
          <w:szCs w:val="22"/>
        </w:rPr>
        <w:t>)</w:t>
      </w:r>
      <w:proofErr w:type="gramEnd"/>
      <w:r w:rsidR="00D32DB8" w:rsidRPr="00D32DB8">
        <w:rPr>
          <w:rFonts w:asciiTheme="minorHAnsi" w:hAnsiTheme="minorHAnsi"/>
          <w:b/>
          <w:sz w:val="22"/>
          <w:szCs w:val="22"/>
        </w:rPr>
        <w:t xml:space="preserve"> oraz w przypadku braku </w:t>
      </w:r>
      <w:r w:rsidR="00D32DB8">
        <w:rPr>
          <w:rFonts w:asciiTheme="minorHAnsi" w:hAnsiTheme="minorHAnsi"/>
          <w:b/>
          <w:sz w:val="22"/>
          <w:szCs w:val="22"/>
        </w:rPr>
        <w:t>opiekuna</w:t>
      </w:r>
      <w:r w:rsidR="00D32DB8" w:rsidRPr="00D32DB8">
        <w:rPr>
          <w:rFonts w:asciiTheme="minorHAnsi" w:hAnsiTheme="minorHAnsi"/>
          <w:b/>
          <w:sz w:val="22"/>
          <w:szCs w:val="22"/>
        </w:rPr>
        <w:t xml:space="preserve"> (np. opiekunów</w:t>
      </w:r>
      <w:proofErr w:type="gramStart"/>
      <w:r w:rsidR="00D32DB8" w:rsidRPr="00D32DB8">
        <w:rPr>
          <w:rFonts w:asciiTheme="minorHAnsi" w:hAnsiTheme="minorHAnsi"/>
          <w:b/>
          <w:sz w:val="22"/>
          <w:szCs w:val="22"/>
        </w:rPr>
        <w:t>)</w:t>
      </w:r>
      <w:proofErr w:type="gramEnd"/>
      <w:r w:rsidR="00D32DB8" w:rsidRPr="00D32DB8">
        <w:rPr>
          <w:rFonts w:asciiTheme="minorHAnsi" w:hAnsiTheme="minorHAnsi"/>
          <w:b/>
          <w:sz w:val="22"/>
          <w:szCs w:val="22"/>
        </w:rPr>
        <w:t xml:space="preserve"> (ryzyko toksyczności z</w:t>
      </w:r>
      <w:r w:rsidR="00D32DB8">
        <w:rPr>
          <w:rFonts w:asciiTheme="minorHAnsi" w:hAnsiTheme="minorHAnsi"/>
          <w:b/>
          <w:sz w:val="22"/>
          <w:szCs w:val="22"/>
        </w:rPr>
        <w:t>agrażającej życiu)</w:t>
      </w:r>
      <w:r w:rsidRPr="00AE15DA">
        <w:rPr>
          <w:rFonts w:asciiTheme="minorHAnsi" w:hAnsiTheme="minorHAnsi"/>
          <w:b/>
          <w:sz w:val="22"/>
          <w:szCs w:val="22"/>
        </w:rPr>
        <w:t xml:space="preserve"> </w:t>
      </w:r>
    </w:p>
    <w:p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rsidR="00A67B6A" w:rsidRPr="00AE15DA" w:rsidRDefault="00A67B6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sz w:val="22"/>
          <w:szCs w:val="22"/>
          <w:shd w:val="clear" w:color="auto" w:fill="FFFFFF"/>
        </w:rPr>
      </w:pPr>
    </w:p>
    <w:p w:rsidR="006C24B0" w:rsidRPr="00AE15DA" w:rsidRDefault="00E66E29" w:rsidP="0043334F">
      <w:pPr>
        <w:spacing w:before="100" w:beforeAutospacing="1" w:after="100" w:afterAutospacing="1"/>
        <w:contextualSpacing/>
        <w:jc w:val="both"/>
        <w:rPr>
          <w:rFonts w:asciiTheme="minorHAnsi" w:hAnsiTheme="minorHAnsi"/>
          <w:b/>
          <w:i/>
          <w:sz w:val="22"/>
          <w:szCs w:val="22"/>
        </w:rPr>
      </w:pPr>
      <w:r>
        <w:rPr>
          <w:rFonts w:ascii="Calibri" w:hAnsi="Calibri" w:cs="Calibri"/>
          <w:b/>
          <w:sz w:val="22"/>
          <w:szCs w:val="22"/>
        </w:rPr>
        <w:t>#</w:t>
      </w:r>
      <w:r w:rsidR="006C24B0" w:rsidRPr="00AE15DA">
        <w:rPr>
          <w:rFonts w:asciiTheme="minorHAnsi" w:hAnsiTheme="minorHAnsi"/>
          <w:b/>
          <w:sz w:val="22"/>
          <w:szCs w:val="22"/>
        </w:rPr>
        <w:t>A3</w:t>
      </w:r>
      <w:r w:rsidR="00965815" w:rsidRPr="00AE15DA">
        <w:rPr>
          <w:rFonts w:asciiTheme="minorHAnsi" w:hAnsiTheme="minorHAnsi"/>
          <w:b/>
          <w:sz w:val="22"/>
          <w:szCs w:val="22"/>
        </w:rPr>
        <w:t>1</w:t>
      </w:r>
      <w:r w:rsidR="006C24B0" w:rsidRPr="00AE15DA">
        <w:rPr>
          <w:rFonts w:asciiTheme="minorHAnsi" w:hAnsiTheme="minorHAnsi"/>
          <w:b/>
          <w:sz w:val="22"/>
          <w:szCs w:val="22"/>
        </w:rPr>
        <w:t>.</w:t>
      </w:r>
      <w:r w:rsidR="00181929" w:rsidRPr="00AE15DA">
        <w:rPr>
          <w:rFonts w:asciiTheme="minorHAnsi" w:hAnsiTheme="minorHAnsi"/>
          <w:b/>
          <w:sz w:val="22"/>
          <w:szCs w:val="22"/>
        </w:rPr>
        <w:t xml:space="preserve"> </w:t>
      </w:r>
      <w:r w:rsidR="00D32DB8" w:rsidRPr="00D32DB8">
        <w:rPr>
          <w:rFonts w:asciiTheme="minorHAnsi" w:hAnsiTheme="minorHAnsi"/>
          <w:b/>
          <w:sz w:val="22"/>
          <w:szCs w:val="22"/>
        </w:rPr>
        <w:t>Prasugrel nie jest odpowiedni do stosowania u pacjentów w wieku 75 lat lu</w:t>
      </w:r>
      <w:r w:rsidR="005D56ED">
        <w:rPr>
          <w:rFonts w:asciiTheme="minorHAnsi" w:hAnsiTheme="minorHAnsi"/>
          <w:b/>
          <w:sz w:val="22"/>
          <w:szCs w:val="22"/>
        </w:rPr>
        <w:t>b starszych ani u pacjentów po G</w:t>
      </w:r>
      <w:r w:rsidR="00D32DB8" w:rsidRPr="00D32DB8">
        <w:rPr>
          <w:rFonts w:asciiTheme="minorHAnsi" w:hAnsiTheme="minorHAnsi"/>
          <w:b/>
          <w:sz w:val="22"/>
          <w:szCs w:val="22"/>
        </w:rPr>
        <w:t>IA/udar</w:t>
      </w:r>
    </w:p>
    <w:p w:rsidR="00873A44" w:rsidRPr="00AE15DA" w:rsidRDefault="00873A44" w:rsidP="0043334F">
      <w:pPr>
        <w:spacing w:before="100" w:beforeAutospacing="1" w:after="100" w:afterAutospacing="1"/>
        <w:contextualSpacing/>
        <w:jc w:val="both"/>
        <w:rPr>
          <w:rFonts w:asciiTheme="minorHAnsi" w:hAnsiTheme="minorHAnsi" w:cstheme="minorHAnsi"/>
          <w:sz w:val="22"/>
          <w:szCs w:val="22"/>
        </w:rPr>
      </w:pPr>
    </w:p>
    <w:p w:rsidR="0077695B" w:rsidRPr="00AE15DA" w:rsidRDefault="0077695B" w:rsidP="0043334F">
      <w:pPr>
        <w:spacing w:before="100" w:beforeAutospacing="1" w:after="100" w:afterAutospacing="1"/>
        <w:contextualSpacing/>
        <w:jc w:val="both"/>
        <w:rPr>
          <w:rFonts w:asciiTheme="minorHAnsi" w:hAnsiTheme="minorHAnsi" w:cstheme="minorHAnsi"/>
          <w:sz w:val="22"/>
          <w:szCs w:val="22"/>
        </w:rPr>
      </w:pPr>
    </w:p>
    <w:p w:rsidR="006C24B0" w:rsidRPr="00AE15DA" w:rsidRDefault="006C24B0" w:rsidP="0043334F">
      <w:pPr>
        <w:spacing w:before="100" w:beforeAutospacing="1" w:after="100" w:afterAutospacing="1"/>
        <w:contextualSpacing/>
        <w:jc w:val="both"/>
        <w:rPr>
          <w:rFonts w:asciiTheme="minorHAnsi" w:hAnsiTheme="minorHAnsi" w:cstheme="minorHAnsi"/>
          <w:sz w:val="22"/>
          <w:szCs w:val="22"/>
        </w:rPr>
      </w:pPr>
      <w:r w:rsidRPr="00AE15DA">
        <w:rPr>
          <w:rFonts w:asciiTheme="minorHAnsi" w:hAnsiTheme="minorHAnsi"/>
          <w:b/>
          <w:sz w:val="22"/>
          <w:szCs w:val="22"/>
        </w:rPr>
        <w:lastRenderedPageBreak/>
        <w:t>A3</w:t>
      </w:r>
      <w:r w:rsidR="00965815" w:rsidRPr="00AE15DA">
        <w:rPr>
          <w:rFonts w:asciiTheme="minorHAnsi" w:hAnsiTheme="minorHAnsi"/>
          <w:b/>
          <w:sz w:val="22"/>
          <w:szCs w:val="22"/>
        </w:rPr>
        <w:t>2</w:t>
      </w:r>
      <w:r w:rsidRPr="00AE15DA">
        <w:rPr>
          <w:rFonts w:asciiTheme="minorHAnsi" w:hAnsiTheme="minorHAnsi"/>
          <w:b/>
          <w:sz w:val="22"/>
          <w:szCs w:val="22"/>
        </w:rPr>
        <w:t xml:space="preserve">. </w:t>
      </w:r>
      <w:r w:rsidR="005D56ED" w:rsidRPr="005D56ED">
        <w:rPr>
          <w:rFonts w:asciiTheme="minorHAnsi" w:hAnsiTheme="minorHAnsi"/>
          <w:b/>
          <w:sz w:val="22"/>
          <w:szCs w:val="22"/>
        </w:rPr>
        <w:t>Tiklopidyna nie jest odpowiednia do stosowania jako lek przeciwpłytkowy (klopidogrel, tikagrelor lub prasugrel mają wyższą skuteczność, więcej dowodów i mniej skutków ubocznych)</w:t>
      </w:r>
      <w:r w:rsidRPr="00AE15DA">
        <w:rPr>
          <w:rFonts w:asciiTheme="minorHAnsi" w:hAnsiTheme="minorHAnsi"/>
          <w:b/>
          <w:sz w:val="22"/>
          <w:szCs w:val="22"/>
        </w:rPr>
        <w:t xml:space="preserve"> </w:t>
      </w:r>
    </w:p>
    <w:p w:rsidR="00873A44" w:rsidRPr="00AE15DA" w:rsidRDefault="00873A4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977134" w:rsidRPr="00AE15DA" w:rsidRDefault="0097713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03030"/>
          <w:sz w:val="22"/>
          <w:szCs w:val="22"/>
          <w:shd w:val="clear" w:color="auto" w:fill="FFFFFF"/>
        </w:rPr>
      </w:pPr>
    </w:p>
    <w:p w:rsidR="0077695B" w:rsidRPr="00AE15DA" w:rsidRDefault="006C24B0"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A3</w:t>
      </w:r>
      <w:r w:rsidR="00965815" w:rsidRPr="00AE15DA">
        <w:rPr>
          <w:rFonts w:asciiTheme="minorHAnsi" w:hAnsiTheme="minorHAnsi"/>
          <w:b/>
          <w:color w:val="000000"/>
          <w:sz w:val="22"/>
          <w:szCs w:val="22"/>
        </w:rPr>
        <w:t>3</w:t>
      </w:r>
      <w:r w:rsidRPr="00AE15DA">
        <w:rPr>
          <w:rFonts w:asciiTheme="minorHAnsi" w:hAnsiTheme="minorHAnsi"/>
          <w:b/>
          <w:color w:val="000000"/>
          <w:sz w:val="22"/>
          <w:szCs w:val="22"/>
        </w:rPr>
        <w:t xml:space="preserve">. </w:t>
      </w:r>
      <w:r w:rsidR="005D56ED" w:rsidRPr="005D56ED">
        <w:rPr>
          <w:rFonts w:asciiTheme="minorHAnsi" w:hAnsiTheme="minorHAnsi"/>
          <w:b/>
          <w:color w:val="000000"/>
          <w:sz w:val="22"/>
          <w:szCs w:val="22"/>
        </w:rPr>
        <w:t>Krótko działający dipirydamol nie jest odpowiedni do działania przeciwpłytkowego i przeciwagregacyjnego (</w:t>
      </w:r>
      <w:proofErr w:type="gramStart"/>
      <w:r w:rsidR="005D56ED" w:rsidRPr="005D56ED">
        <w:rPr>
          <w:rFonts w:asciiTheme="minorHAnsi" w:hAnsiTheme="minorHAnsi"/>
          <w:b/>
          <w:color w:val="000000"/>
          <w:sz w:val="22"/>
          <w:szCs w:val="22"/>
        </w:rPr>
        <w:t>efekt</w:t>
      </w:r>
      <w:proofErr w:type="gramEnd"/>
      <w:r w:rsidR="005D56ED" w:rsidRPr="005D56ED">
        <w:rPr>
          <w:rFonts w:asciiTheme="minorHAnsi" w:hAnsiTheme="minorHAnsi"/>
          <w:b/>
          <w:color w:val="000000"/>
          <w:sz w:val="22"/>
          <w:szCs w:val="22"/>
        </w:rPr>
        <w:t xml:space="preserve"> uboczny hipotonii ortostatycznej i dostępności bardziej skutecznych środków)</w:t>
      </w:r>
      <w:r w:rsidRPr="00AE15DA">
        <w:rPr>
          <w:rFonts w:asciiTheme="minorHAnsi" w:hAnsiTheme="minorHAnsi"/>
          <w:b/>
          <w:color w:val="000000"/>
          <w:sz w:val="22"/>
          <w:szCs w:val="22"/>
        </w:rPr>
        <w:t xml:space="preserve"> </w:t>
      </w:r>
    </w:p>
    <w:p w:rsidR="0077695B" w:rsidRPr="00AE15DA" w:rsidRDefault="0077695B" w:rsidP="0043334F">
      <w:pPr>
        <w:spacing w:before="100" w:beforeAutospacing="1" w:after="100" w:afterAutospacing="1"/>
        <w:contextualSpacing/>
        <w:jc w:val="both"/>
        <w:rPr>
          <w:rFonts w:asciiTheme="minorHAnsi" w:hAnsiTheme="minorHAnsi"/>
          <w:b/>
          <w:color w:val="000000"/>
          <w:sz w:val="22"/>
          <w:szCs w:val="22"/>
        </w:rPr>
      </w:pPr>
    </w:p>
    <w:p w:rsidR="0077695B" w:rsidRPr="00AE15DA" w:rsidRDefault="0077695B" w:rsidP="0043334F">
      <w:pPr>
        <w:spacing w:before="100" w:beforeAutospacing="1" w:after="100" w:afterAutospacing="1"/>
        <w:contextualSpacing/>
        <w:jc w:val="both"/>
        <w:rPr>
          <w:rFonts w:asciiTheme="minorHAnsi" w:hAnsiTheme="minorHAnsi" w:cstheme="minorHAnsi"/>
          <w:sz w:val="22"/>
          <w:szCs w:val="22"/>
        </w:rPr>
      </w:pPr>
    </w:p>
    <w:p w:rsidR="0077695B"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4</w:t>
      </w:r>
      <w:r w:rsidRPr="00AE15DA">
        <w:rPr>
          <w:rFonts w:asciiTheme="minorHAnsi" w:hAnsiTheme="minorHAnsi"/>
          <w:b/>
          <w:sz w:val="22"/>
          <w:szCs w:val="22"/>
        </w:rPr>
        <w:t xml:space="preserve">. </w:t>
      </w:r>
      <w:r w:rsidR="005D56ED" w:rsidRPr="005D56ED">
        <w:rPr>
          <w:rFonts w:asciiTheme="minorHAnsi" w:hAnsiTheme="minorHAnsi"/>
          <w:b/>
          <w:sz w:val="22"/>
          <w:szCs w:val="22"/>
        </w:rPr>
        <w:t>Stosowanie statyn w profilaktyce pierwotnej nie jest właściwe u osób w podeszłym wieku z niską przewidywaną długością życia (&lt;2 la</w:t>
      </w:r>
      <w:r w:rsidR="005D56ED">
        <w:rPr>
          <w:rFonts w:asciiTheme="minorHAnsi" w:hAnsiTheme="minorHAnsi"/>
          <w:b/>
          <w:sz w:val="22"/>
          <w:szCs w:val="22"/>
        </w:rPr>
        <w:t>ta) lub z zaawansowaną demencją</w:t>
      </w:r>
      <w:r w:rsidRPr="00AE15DA">
        <w:rPr>
          <w:rFonts w:asciiTheme="minorHAnsi" w:hAnsiTheme="minorHAnsi"/>
          <w:b/>
          <w:sz w:val="22"/>
          <w:szCs w:val="22"/>
        </w:rPr>
        <w:t xml:space="preserve"> </w:t>
      </w:r>
    </w:p>
    <w:p w:rsidR="0077695B" w:rsidRPr="00AE15DA" w:rsidRDefault="0077695B" w:rsidP="0043334F">
      <w:pPr>
        <w:spacing w:before="100" w:beforeAutospacing="1" w:after="100" w:afterAutospacing="1"/>
        <w:contextualSpacing/>
        <w:jc w:val="both"/>
        <w:rPr>
          <w:rFonts w:asciiTheme="minorHAnsi" w:hAnsiTheme="minorHAnsi" w:cstheme="minorHAnsi"/>
          <w:color w:val="000000"/>
          <w:sz w:val="22"/>
          <w:szCs w:val="22"/>
        </w:rPr>
      </w:pPr>
    </w:p>
    <w:p w:rsidR="0077695B" w:rsidRPr="00AE15DA" w:rsidRDefault="0077695B" w:rsidP="0043334F">
      <w:pPr>
        <w:spacing w:before="100" w:beforeAutospacing="1" w:after="100" w:afterAutospacing="1"/>
        <w:contextualSpacing/>
        <w:jc w:val="both"/>
        <w:rPr>
          <w:rFonts w:asciiTheme="minorHAnsi" w:hAnsiTheme="minorHAnsi" w:cstheme="minorHAnsi"/>
          <w:color w:val="000000"/>
          <w:sz w:val="22"/>
          <w:szCs w:val="22"/>
        </w:rPr>
      </w:pPr>
    </w:p>
    <w:p w:rsidR="006C24B0" w:rsidRPr="00AE15DA" w:rsidRDefault="006C24B0" w:rsidP="0043334F">
      <w:pPr>
        <w:spacing w:before="100" w:beforeAutospacing="1" w:after="100" w:afterAutospacing="1"/>
        <w:contextualSpacing/>
        <w:jc w:val="both"/>
        <w:rPr>
          <w:rFonts w:asciiTheme="minorHAnsi" w:hAnsiTheme="minorHAnsi"/>
          <w:sz w:val="22"/>
          <w:szCs w:val="22"/>
        </w:rPr>
      </w:pPr>
      <w:r w:rsidRPr="00AE15DA">
        <w:rPr>
          <w:rFonts w:asciiTheme="minorHAnsi" w:hAnsiTheme="minorHAnsi"/>
          <w:b/>
          <w:sz w:val="22"/>
          <w:szCs w:val="22"/>
        </w:rPr>
        <w:t>A3</w:t>
      </w:r>
      <w:r w:rsidR="00965815" w:rsidRPr="00AE15DA">
        <w:rPr>
          <w:rFonts w:asciiTheme="minorHAnsi" w:hAnsiTheme="minorHAnsi"/>
          <w:b/>
          <w:sz w:val="22"/>
          <w:szCs w:val="22"/>
        </w:rPr>
        <w:t>5</w:t>
      </w:r>
      <w:r w:rsidRPr="00AE15DA">
        <w:rPr>
          <w:rFonts w:asciiTheme="minorHAnsi" w:hAnsiTheme="minorHAnsi"/>
          <w:b/>
          <w:sz w:val="22"/>
          <w:szCs w:val="22"/>
        </w:rPr>
        <w:t xml:space="preserve">. </w:t>
      </w:r>
      <w:r w:rsidR="005D56ED" w:rsidRPr="005D56ED">
        <w:rPr>
          <w:rFonts w:asciiTheme="minorHAnsi" w:hAnsiTheme="minorHAnsi"/>
          <w:b/>
          <w:sz w:val="22"/>
          <w:szCs w:val="22"/>
        </w:rPr>
        <w:t>Rozpoczęcie leczenia allopurynolem jest nieodpowiednie w przypadku bezobjawowej hiperurykemii (przypadki bez dny moczanowej lub kamicy nerkowej) (brak dowodów na korzyści, ryzyko działań niepożądanych przy stosowaniu inhibitorów oksydazy ksantynowej) (brak dowodów na to, że leczenie zmniejsza ryzyko sercowo-naczyniowe lub dnę moczanową)</w:t>
      </w:r>
    </w:p>
    <w:p w:rsidR="009D2A23" w:rsidRPr="00AE15DA" w:rsidRDefault="00BE60AB" w:rsidP="0043334F">
      <w:pPr>
        <w:contextualSpacing/>
        <w:jc w:val="both"/>
        <w:rPr>
          <w:rFonts w:asciiTheme="minorHAnsi" w:hAnsiTheme="minorHAnsi"/>
          <w:i/>
          <w:color w:val="212121"/>
          <w:sz w:val="22"/>
          <w:szCs w:val="22"/>
          <w:shd w:val="clear" w:color="auto" w:fill="FFFFFF"/>
        </w:rPr>
      </w:pPr>
      <w:r w:rsidRPr="00AE15DA">
        <w:rPr>
          <w:rFonts w:asciiTheme="minorHAnsi" w:hAnsiTheme="minorHAnsi"/>
          <w:i/>
          <w:color w:val="000000"/>
          <w:sz w:val="22"/>
          <w:szCs w:val="22"/>
          <w:shd w:val="clear" w:color="auto" w:fill="FFFFFF"/>
        </w:rPr>
        <w:t>*</w:t>
      </w:r>
      <w:r w:rsidR="005D56ED" w:rsidRPr="005D56ED">
        <w:t xml:space="preserve"> </w:t>
      </w:r>
      <w:r w:rsidR="005D56ED" w:rsidRPr="005D56ED">
        <w:rPr>
          <w:rFonts w:asciiTheme="minorHAnsi" w:hAnsiTheme="minorHAnsi"/>
          <w:i/>
          <w:color w:val="000000"/>
          <w:sz w:val="22"/>
          <w:szCs w:val="22"/>
          <w:shd w:val="clear" w:color="auto" w:fill="FFFFFF"/>
        </w:rPr>
        <w:t>Jeżeli stężenie kwasu moczowego w surowicy wynosi &gt;10 mg/dl u kobiet i &gt;13 mg/dl u mężczyzn, ze względu na ryzyko przewlekłej choroby nerek, można zalecić leczenie zmniejszające stężenie kwasu moczowego</w:t>
      </w:r>
      <w:r w:rsidRPr="00AE15DA">
        <w:rPr>
          <w:rFonts w:asciiTheme="minorHAnsi" w:hAnsiTheme="minorHAnsi"/>
          <w:i/>
          <w:color w:val="212121"/>
          <w:sz w:val="22"/>
          <w:szCs w:val="22"/>
          <w:shd w:val="clear" w:color="auto" w:fill="FFFFFF"/>
        </w:rPr>
        <w:t>.</w:t>
      </w:r>
    </w:p>
    <w:p w:rsidR="009D2A23" w:rsidRPr="00AE15DA" w:rsidRDefault="009D2A23" w:rsidP="0043334F">
      <w:pPr>
        <w:contextualSpacing/>
        <w:jc w:val="both"/>
        <w:rPr>
          <w:rFonts w:asciiTheme="minorHAnsi" w:hAnsiTheme="minorHAnsi"/>
          <w:b/>
          <w:i/>
          <w:sz w:val="22"/>
          <w:szCs w:val="22"/>
          <w:u w:val="single"/>
        </w:rPr>
      </w:pPr>
    </w:p>
    <w:p w:rsidR="00AF251E" w:rsidRPr="00AE15DA" w:rsidRDefault="00873A44" w:rsidP="0043334F">
      <w:pPr>
        <w:contextualSpacing/>
        <w:jc w:val="both"/>
        <w:rPr>
          <w:rFonts w:asciiTheme="minorHAnsi" w:hAnsiTheme="minorHAnsi"/>
          <w:b/>
          <w:sz w:val="28"/>
          <w:szCs w:val="28"/>
        </w:rPr>
      </w:pPr>
      <w:r w:rsidRPr="00AE15DA">
        <w:rPr>
          <w:rFonts w:asciiTheme="minorHAnsi" w:hAnsiTheme="minorHAnsi"/>
          <w:b/>
          <w:sz w:val="28"/>
          <w:szCs w:val="28"/>
        </w:rPr>
        <w:t>B</w:t>
      </w:r>
      <w:r w:rsidR="00556579" w:rsidRPr="00AE15DA">
        <w:rPr>
          <w:rFonts w:asciiTheme="minorHAnsi" w:hAnsiTheme="minorHAnsi"/>
          <w:b/>
          <w:sz w:val="28"/>
          <w:szCs w:val="28"/>
        </w:rPr>
        <w:t>:</w:t>
      </w:r>
      <w:r w:rsidRPr="00AE15DA">
        <w:rPr>
          <w:rFonts w:asciiTheme="minorHAnsi" w:hAnsiTheme="minorHAnsi"/>
          <w:b/>
          <w:sz w:val="28"/>
          <w:szCs w:val="28"/>
        </w:rPr>
        <w:t xml:space="preserve"> </w:t>
      </w:r>
      <w:r w:rsidR="005D56ED" w:rsidRPr="005D56ED">
        <w:rPr>
          <w:rFonts w:asciiTheme="minorHAnsi" w:hAnsiTheme="minorHAnsi"/>
          <w:b/>
          <w:sz w:val="28"/>
          <w:szCs w:val="28"/>
        </w:rPr>
        <w:t>Kryteria ośrodkowego układu nerwowego</w:t>
      </w:r>
      <w:r w:rsidRPr="00AE15DA">
        <w:rPr>
          <w:rFonts w:asciiTheme="minorHAnsi" w:hAnsiTheme="minorHAnsi"/>
          <w:b/>
          <w:sz w:val="28"/>
          <w:szCs w:val="28"/>
        </w:rPr>
        <w:t xml:space="preserve">. </w:t>
      </w:r>
    </w:p>
    <w:p w:rsidR="0043334F" w:rsidRPr="00AE15DA" w:rsidRDefault="0043334F" w:rsidP="0043334F">
      <w:pPr>
        <w:contextualSpacing/>
        <w:jc w:val="both"/>
        <w:rPr>
          <w:rFonts w:asciiTheme="minorHAnsi" w:hAnsiTheme="minorHAnsi"/>
          <w:b/>
          <w:sz w:val="28"/>
          <w:szCs w:val="28"/>
        </w:rPr>
      </w:pPr>
    </w:p>
    <w:p w:rsidR="001B712D"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B1.</w:t>
      </w:r>
      <w:r w:rsidR="00181929" w:rsidRPr="00AE15DA">
        <w:rPr>
          <w:rFonts w:asciiTheme="minorHAnsi" w:hAnsiTheme="minorHAnsi"/>
          <w:b/>
          <w:sz w:val="22"/>
          <w:szCs w:val="22"/>
        </w:rPr>
        <w:t xml:space="preserve"> </w:t>
      </w:r>
      <w:r w:rsidR="005D56ED" w:rsidRPr="005D56ED">
        <w:rPr>
          <w:rFonts w:asciiTheme="minorHAnsi" w:hAnsiTheme="minorHAnsi"/>
          <w:b/>
          <w:sz w:val="22"/>
          <w:szCs w:val="22"/>
        </w:rPr>
        <w:t xml:space="preserve">Stosowanie trójpierścieniowych leków przeciwdepresyjnych nie jest właściwe (silne działanie antycholinergiczne, pogorszenie funkcji poznawczych, zaburzenia przewodzenia w sercu, </w:t>
      </w:r>
      <w:r w:rsidR="00A86662" w:rsidRPr="00A86662">
        <w:rPr>
          <w:rFonts w:asciiTheme="minorHAnsi" w:hAnsiTheme="minorHAnsi"/>
          <w:b/>
          <w:sz w:val="22"/>
          <w:szCs w:val="22"/>
        </w:rPr>
        <w:t>hipotonia ortostatyczna</w:t>
      </w:r>
      <w:r w:rsidR="005D56ED" w:rsidRPr="005D56ED">
        <w:rPr>
          <w:rFonts w:asciiTheme="minorHAnsi" w:hAnsiTheme="minorHAnsi"/>
          <w:b/>
          <w:sz w:val="22"/>
          <w:szCs w:val="22"/>
        </w:rPr>
        <w:t>, zatrzymanie moczu, pogorszenie prostaty, pogorszenie jaskry z wąskim kątem)</w:t>
      </w:r>
      <w:r w:rsidRPr="00AE15DA">
        <w:rPr>
          <w:rFonts w:asciiTheme="minorHAnsi" w:hAnsiTheme="minorHAnsi"/>
          <w:b/>
          <w:sz w:val="22"/>
          <w:szCs w:val="22"/>
        </w:rPr>
        <w:t xml:space="preserve"> </w:t>
      </w:r>
    </w:p>
    <w:p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rsidR="001B712D" w:rsidRPr="00AE15DA" w:rsidRDefault="006C24B0"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B2. </w:t>
      </w:r>
      <w:r w:rsidR="00A86662" w:rsidRPr="00A86662">
        <w:rPr>
          <w:rFonts w:asciiTheme="minorHAnsi" w:hAnsiTheme="minorHAnsi"/>
          <w:b/>
          <w:color w:val="000000"/>
          <w:sz w:val="22"/>
          <w:szCs w:val="22"/>
        </w:rPr>
        <w:t>Nie jest właściwe preferowanie paroksetyny, fluoksetyny i fluwaksaminy w pierwszym etapie w przypadkach, gdy rozpocznie się leczenie SSRI (ze względu na silne działanie antycholinergiczne paroksetyny, długi okres półtrwania fluoksetyny, częste interak</w:t>
      </w:r>
      <w:r w:rsidR="00A86662">
        <w:rPr>
          <w:rFonts w:asciiTheme="minorHAnsi" w:hAnsiTheme="minorHAnsi"/>
          <w:b/>
          <w:color w:val="000000"/>
          <w:sz w:val="22"/>
          <w:szCs w:val="22"/>
        </w:rPr>
        <w:t>cje fluoksetyny i fluwakaminy)</w:t>
      </w:r>
    </w:p>
    <w:p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rsidR="001B712D" w:rsidRPr="00AE15DA" w:rsidRDefault="001B712D" w:rsidP="0043334F">
      <w:pPr>
        <w:spacing w:before="100" w:beforeAutospacing="1" w:after="100" w:afterAutospacing="1"/>
        <w:contextualSpacing/>
        <w:jc w:val="both"/>
        <w:rPr>
          <w:rFonts w:asciiTheme="minorHAnsi" w:hAnsiTheme="minorHAnsi" w:cstheme="minorHAnsi"/>
          <w:sz w:val="22"/>
          <w:szCs w:val="22"/>
        </w:rPr>
      </w:pPr>
    </w:p>
    <w:p w:rsidR="001B712D" w:rsidRPr="00AE15DA" w:rsidRDefault="006C24B0"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B3. </w:t>
      </w:r>
      <w:r w:rsidR="00A86662" w:rsidRPr="00A86662">
        <w:rPr>
          <w:rFonts w:asciiTheme="minorHAnsi" w:hAnsiTheme="minorHAnsi"/>
          <w:b/>
          <w:sz w:val="22"/>
          <w:szCs w:val="22"/>
        </w:rPr>
        <w:t>Stosowanie SSRI nie jest właściwe u pacjentów z niedawną lub ist</w:t>
      </w:r>
      <w:r w:rsidR="00A86662">
        <w:rPr>
          <w:rFonts w:asciiTheme="minorHAnsi" w:hAnsiTheme="minorHAnsi"/>
          <w:b/>
          <w:sz w:val="22"/>
          <w:szCs w:val="22"/>
        </w:rPr>
        <w:t>niejącą istotną hiponatremią (Na</w:t>
      </w:r>
      <w:r w:rsidR="00A86662" w:rsidRPr="00A86662">
        <w:rPr>
          <w:rFonts w:asciiTheme="minorHAnsi" w:hAnsiTheme="minorHAnsi"/>
          <w:b/>
          <w:sz w:val="22"/>
          <w:szCs w:val="22"/>
        </w:rPr>
        <w:t xml:space="preserve"> w surowicy &lt; 130 mEq/l) (zwiększone ryzyko hiponatremii podczas stosowania SSRI)</w:t>
      </w:r>
      <w:r w:rsidRPr="00AE15DA">
        <w:rPr>
          <w:rFonts w:asciiTheme="minorHAnsi" w:hAnsiTheme="minorHAnsi"/>
          <w:b/>
          <w:sz w:val="22"/>
          <w:szCs w:val="22"/>
        </w:rPr>
        <w:t xml:space="preserve"> </w:t>
      </w:r>
    </w:p>
    <w:p w:rsidR="0043334F" w:rsidRPr="00AE15DA" w:rsidRDefault="005A554D" w:rsidP="0043334F">
      <w:pPr>
        <w:spacing w:before="100" w:beforeAutospacing="1" w:after="100" w:afterAutospacing="1"/>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Pr>
        <w:t>*</w:t>
      </w:r>
      <w:r w:rsidR="00A86662" w:rsidRPr="00A86662">
        <w:t xml:space="preserve"> </w:t>
      </w:r>
      <w:r w:rsidR="00A86662" w:rsidRPr="00A86662">
        <w:rPr>
          <w:rFonts w:asciiTheme="minorHAnsi" w:hAnsiTheme="minorHAnsi"/>
          <w:i/>
          <w:sz w:val="22"/>
          <w:szCs w:val="22"/>
          <w:shd w:val="clear" w:color="auto" w:fill="FFFFFF"/>
        </w:rPr>
        <w:t>Czynnikami ryzyka rozwoju hiponatremii po podaniu SSRI są zaawansowany wiek, płeć żeńska, jednoczesne stosowanie leków moczopędnych, mała masa ci</w:t>
      </w:r>
      <w:r w:rsidR="00A86662">
        <w:rPr>
          <w:rFonts w:asciiTheme="minorHAnsi" w:hAnsiTheme="minorHAnsi"/>
          <w:i/>
          <w:sz w:val="22"/>
          <w:szCs w:val="22"/>
          <w:shd w:val="clear" w:color="auto" w:fill="FFFFFF"/>
        </w:rPr>
        <w:t>ała i niski wyjściowy poziom Na</w:t>
      </w:r>
      <w:r w:rsidRPr="00AE15DA">
        <w:rPr>
          <w:rFonts w:asciiTheme="minorHAnsi" w:hAnsiTheme="minorHAnsi"/>
          <w:i/>
          <w:sz w:val="22"/>
          <w:szCs w:val="22"/>
          <w:shd w:val="clear" w:color="auto" w:fill="FFFFFF"/>
        </w:rPr>
        <w:t xml:space="preserve">. </w:t>
      </w:r>
    </w:p>
    <w:p w:rsidR="0043334F" w:rsidRPr="00AE15DA" w:rsidRDefault="005A554D" w:rsidP="0043334F">
      <w:pPr>
        <w:spacing w:before="100" w:beforeAutospacing="1" w:after="100" w:afterAutospacing="1"/>
        <w:contextualSpacing/>
        <w:jc w:val="both"/>
        <w:rPr>
          <w:rFonts w:asciiTheme="minorHAnsi" w:hAnsiTheme="minorHAnsi"/>
          <w:i/>
          <w:sz w:val="22"/>
          <w:szCs w:val="22"/>
        </w:rPr>
      </w:pPr>
      <w:r w:rsidRPr="00AE15DA">
        <w:rPr>
          <w:rFonts w:asciiTheme="minorHAnsi" w:hAnsiTheme="minorHAnsi"/>
          <w:i/>
          <w:sz w:val="22"/>
          <w:szCs w:val="22"/>
        </w:rPr>
        <w:t>*</w:t>
      </w:r>
      <w:r w:rsidR="00A86662" w:rsidRPr="00A86662">
        <w:t xml:space="preserve"> </w:t>
      </w:r>
      <w:r w:rsidR="00A86662" w:rsidRPr="00A86662">
        <w:rPr>
          <w:rFonts w:asciiTheme="minorHAnsi" w:hAnsiTheme="minorHAnsi"/>
          <w:i/>
          <w:sz w:val="22"/>
          <w:szCs w:val="22"/>
        </w:rPr>
        <w:t>Pacjenci, którzy rozpoczęli leczenie SSRI lub których dawka została zwiększona, powinni zostać poinformowani o klinicznych objawach hiponatremii. Pierwsze 4 tygodni</w:t>
      </w:r>
      <w:r w:rsidR="00A86662">
        <w:rPr>
          <w:rFonts w:asciiTheme="minorHAnsi" w:hAnsiTheme="minorHAnsi"/>
          <w:i/>
          <w:sz w:val="22"/>
          <w:szCs w:val="22"/>
        </w:rPr>
        <w:t>e to najbardziej ryzykowny czas</w:t>
      </w:r>
      <w:r w:rsidRPr="00AE15DA">
        <w:rPr>
          <w:rFonts w:asciiTheme="minorHAnsi" w:hAnsiTheme="minorHAnsi"/>
          <w:i/>
          <w:sz w:val="22"/>
          <w:szCs w:val="22"/>
        </w:rPr>
        <w:t>.</w:t>
      </w:r>
    </w:p>
    <w:p w:rsidR="006C24B0" w:rsidRPr="00A86662" w:rsidRDefault="005A554D" w:rsidP="00A86662">
      <w:pPr>
        <w:spacing w:before="100" w:beforeAutospacing="1" w:after="100" w:afterAutospacing="1"/>
        <w:contextualSpacing/>
        <w:jc w:val="both"/>
        <w:rPr>
          <w:rFonts w:asciiTheme="minorHAnsi" w:hAnsiTheme="minorHAnsi"/>
          <w:i/>
          <w:sz w:val="22"/>
          <w:szCs w:val="22"/>
        </w:rPr>
      </w:pPr>
      <w:r w:rsidRPr="00AE15DA">
        <w:rPr>
          <w:rFonts w:asciiTheme="minorHAnsi" w:hAnsiTheme="minorHAnsi"/>
          <w:i/>
          <w:sz w:val="22"/>
          <w:szCs w:val="22"/>
        </w:rPr>
        <w:t>*</w:t>
      </w:r>
      <w:r w:rsidR="00A86662" w:rsidRPr="00A86662">
        <w:t xml:space="preserve"> </w:t>
      </w:r>
      <w:r w:rsidR="00A86662" w:rsidRPr="00A86662">
        <w:rPr>
          <w:rFonts w:asciiTheme="minorHAnsi" w:hAnsiTheme="minorHAnsi"/>
          <w:i/>
          <w:sz w:val="22"/>
          <w:szCs w:val="22"/>
        </w:rPr>
        <w:t>U pacjentów z ryzykiem hiponatremii może być właściwe preferowanie mirtazap</w:t>
      </w:r>
      <w:r w:rsidR="00A86662">
        <w:rPr>
          <w:rFonts w:asciiTheme="minorHAnsi" w:hAnsiTheme="minorHAnsi"/>
          <w:i/>
          <w:sz w:val="22"/>
          <w:szCs w:val="22"/>
        </w:rPr>
        <w:t>iny lub bupropionu zamiast SSRI</w:t>
      </w:r>
      <w:r w:rsidRPr="00AE15DA">
        <w:rPr>
          <w:rFonts w:asciiTheme="minorHAnsi" w:hAnsiTheme="minorHAnsi"/>
          <w:i/>
          <w:sz w:val="22"/>
          <w:szCs w:val="22"/>
        </w:rPr>
        <w:t xml:space="preserve">. </w:t>
      </w:r>
    </w:p>
    <w:p w:rsidR="00DB20DE" w:rsidRPr="00AE15DA" w:rsidRDefault="00DB20DE" w:rsidP="0043334F">
      <w:pPr>
        <w:autoSpaceDE w:val="0"/>
        <w:autoSpaceDN w:val="0"/>
        <w:adjustRightInd w:val="0"/>
        <w:contextualSpacing/>
        <w:jc w:val="both"/>
        <w:rPr>
          <w:rFonts w:asciiTheme="minorHAnsi" w:hAnsiTheme="minorHAnsi"/>
          <w:b/>
          <w:sz w:val="22"/>
          <w:szCs w:val="22"/>
        </w:rPr>
      </w:pPr>
    </w:p>
    <w:p w:rsidR="00962639" w:rsidRPr="00AE15DA" w:rsidRDefault="00E66E29" w:rsidP="0043334F">
      <w:pPr>
        <w:autoSpaceDE w:val="0"/>
        <w:autoSpaceDN w:val="0"/>
        <w:adjustRightInd w:val="0"/>
        <w:contextualSpacing/>
        <w:jc w:val="both"/>
        <w:rPr>
          <w:rFonts w:asciiTheme="minorHAnsi" w:hAnsiTheme="minorHAnsi"/>
          <w:b/>
          <w:color w:val="000000"/>
          <w:sz w:val="22"/>
          <w:szCs w:val="22"/>
        </w:rPr>
      </w:pPr>
      <w:r>
        <w:rPr>
          <w:rFonts w:ascii="Calibri" w:hAnsi="Calibri" w:cs="Calibri"/>
          <w:b/>
          <w:sz w:val="22"/>
          <w:szCs w:val="22"/>
        </w:rPr>
        <w:t>#</w:t>
      </w:r>
      <w:r w:rsidR="006C24B0" w:rsidRPr="00AE15DA">
        <w:rPr>
          <w:rFonts w:asciiTheme="minorHAnsi" w:hAnsiTheme="minorHAnsi"/>
          <w:b/>
          <w:sz w:val="22"/>
          <w:szCs w:val="22"/>
        </w:rPr>
        <w:t xml:space="preserve">B4. </w:t>
      </w:r>
      <w:r w:rsidR="00A86662" w:rsidRPr="00A86662">
        <w:rPr>
          <w:rFonts w:asciiTheme="minorHAnsi" w:hAnsiTheme="minorHAnsi"/>
          <w:b/>
          <w:color w:val="000000"/>
          <w:sz w:val="22"/>
          <w:szCs w:val="22"/>
        </w:rPr>
        <w:t xml:space="preserve">Stosowanie SNRI nie jest właściwe w przypadku niekontrolowanego </w:t>
      </w:r>
      <w:r w:rsidR="00A86662">
        <w:rPr>
          <w:rFonts w:asciiTheme="minorHAnsi" w:hAnsiTheme="minorHAnsi"/>
          <w:b/>
          <w:color w:val="000000"/>
          <w:sz w:val="22"/>
          <w:szCs w:val="22"/>
        </w:rPr>
        <w:t>HT</w:t>
      </w:r>
    </w:p>
    <w:p w:rsidR="0081726F" w:rsidRPr="00AE15DA" w:rsidRDefault="00962639" w:rsidP="0043334F">
      <w:pPr>
        <w:autoSpaceDE w:val="0"/>
        <w:autoSpaceDN w:val="0"/>
        <w:adjustRightInd w:val="0"/>
        <w:contextualSpacing/>
        <w:jc w:val="both"/>
        <w:rPr>
          <w:rFonts w:asciiTheme="minorHAnsi" w:hAnsiTheme="minorHAnsi"/>
          <w:i/>
          <w:color w:val="000000"/>
          <w:sz w:val="22"/>
          <w:szCs w:val="22"/>
        </w:rPr>
      </w:pPr>
      <w:r w:rsidRPr="00AE15DA">
        <w:rPr>
          <w:rFonts w:asciiTheme="minorHAnsi" w:hAnsiTheme="minorHAnsi"/>
          <w:i/>
          <w:color w:val="000000"/>
          <w:sz w:val="22"/>
          <w:szCs w:val="22"/>
        </w:rPr>
        <w:t>*</w:t>
      </w:r>
      <w:r w:rsidR="00A86662" w:rsidRPr="00A86662">
        <w:t xml:space="preserve"> </w:t>
      </w:r>
      <w:r w:rsidR="00A86662" w:rsidRPr="00A86662">
        <w:rPr>
          <w:rFonts w:asciiTheme="minorHAnsi" w:hAnsiTheme="minorHAnsi"/>
          <w:i/>
          <w:color w:val="000000"/>
          <w:sz w:val="22"/>
          <w:szCs w:val="22"/>
        </w:rPr>
        <w:t>Skutek uboczny HT wenlafaksyny jest b</w:t>
      </w:r>
      <w:r w:rsidR="00A86662">
        <w:rPr>
          <w:rFonts w:asciiTheme="minorHAnsi" w:hAnsiTheme="minorHAnsi"/>
          <w:i/>
          <w:color w:val="000000"/>
          <w:sz w:val="22"/>
          <w:szCs w:val="22"/>
        </w:rPr>
        <w:t>ardziej wyraźny niż duloksetyny</w:t>
      </w:r>
      <w:r w:rsidR="00EA77B5" w:rsidRPr="00AE15DA">
        <w:rPr>
          <w:rFonts w:asciiTheme="minorHAnsi" w:hAnsiTheme="minorHAnsi"/>
          <w:i/>
          <w:color w:val="000000"/>
          <w:sz w:val="22"/>
          <w:szCs w:val="22"/>
        </w:rPr>
        <w:t>.</w:t>
      </w:r>
    </w:p>
    <w:p w:rsidR="001B712D" w:rsidRDefault="005A554D" w:rsidP="0043334F">
      <w:pPr>
        <w:pStyle w:val="HTMLncedenBiimlendirilmi"/>
        <w:contextualSpacing/>
        <w:jc w:val="both"/>
        <w:rPr>
          <w:rFonts w:asciiTheme="minorHAnsi" w:hAnsiTheme="minorHAnsi" w:cs="Times New Roman"/>
          <w:i/>
          <w:color w:val="000000"/>
          <w:sz w:val="22"/>
          <w:szCs w:val="22"/>
        </w:rPr>
      </w:pPr>
      <w:r w:rsidRPr="00AE15DA">
        <w:rPr>
          <w:rFonts w:asciiTheme="minorHAnsi" w:hAnsiTheme="minorHAnsi" w:cs="Times New Roman"/>
          <w:i/>
          <w:color w:val="000000"/>
          <w:sz w:val="22"/>
          <w:szCs w:val="22"/>
        </w:rPr>
        <w:t>*</w:t>
      </w:r>
      <w:r w:rsidR="00A86662" w:rsidRPr="00A86662">
        <w:t xml:space="preserve"> </w:t>
      </w:r>
      <w:r w:rsidR="00A86662" w:rsidRPr="00A86662">
        <w:rPr>
          <w:rFonts w:asciiTheme="minorHAnsi" w:hAnsiTheme="minorHAnsi" w:cs="Times New Roman"/>
          <w:i/>
          <w:color w:val="000000"/>
          <w:sz w:val="22"/>
          <w:szCs w:val="22"/>
        </w:rPr>
        <w:t>Efekt uboczny HT wenlafaksyny jest bardziej wyraźny przy dawkach &gt; 300 mg/dzień</w:t>
      </w:r>
      <w:r w:rsidRPr="00AE15DA">
        <w:rPr>
          <w:rFonts w:asciiTheme="minorHAnsi" w:hAnsiTheme="minorHAnsi" w:cs="Times New Roman"/>
          <w:i/>
          <w:color w:val="000000"/>
          <w:sz w:val="22"/>
          <w:szCs w:val="22"/>
        </w:rPr>
        <w:t>.</w:t>
      </w:r>
    </w:p>
    <w:p w:rsidR="00A86662" w:rsidRPr="00AE15DA" w:rsidRDefault="00A86662" w:rsidP="0043334F">
      <w:pPr>
        <w:pStyle w:val="HTMLncedenBiimlendirilmi"/>
        <w:contextualSpacing/>
        <w:jc w:val="both"/>
        <w:rPr>
          <w:rFonts w:asciiTheme="minorHAnsi" w:hAnsiTheme="minorHAnsi" w:cstheme="minorHAnsi"/>
          <w:color w:val="000000"/>
          <w:sz w:val="22"/>
          <w:szCs w:val="22"/>
        </w:rPr>
      </w:pPr>
    </w:p>
    <w:p w:rsidR="00A86662" w:rsidRDefault="00AD4496" w:rsidP="0043334F">
      <w:pPr>
        <w:pStyle w:val="HTMLncedenBiimlendirilmi"/>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B5. </w:t>
      </w:r>
      <w:r w:rsidR="00A86662" w:rsidRPr="00A86662">
        <w:rPr>
          <w:rFonts w:asciiTheme="minorHAnsi" w:hAnsiTheme="minorHAnsi"/>
          <w:b/>
          <w:color w:val="000000"/>
          <w:sz w:val="22"/>
          <w:szCs w:val="22"/>
        </w:rPr>
        <w:t>Stosowanie duloksetyny nie jest właściwe u pacjentów z GFR &lt; 30 ml/min/1,73 m2 (zwiększone działania niepożądane ze strony przewodu pokarmowego)</w:t>
      </w:r>
    </w:p>
    <w:p w:rsidR="00F63F30" w:rsidRPr="00AE15DA" w:rsidRDefault="006C24B0" w:rsidP="0043334F">
      <w:pPr>
        <w:pStyle w:val="HTMLncedenBiimlendirilmi"/>
        <w:contextualSpacing/>
        <w:jc w:val="both"/>
        <w:rPr>
          <w:rFonts w:asciiTheme="minorHAnsi" w:hAnsiTheme="minorHAnsi" w:cs="Times New Roman"/>
          <w:i/>
          <w:color w:val="000000"/>
          <w:sz w:val="22"/>
          <w:szCs w:val="22"/>
        </w:rPr>
      </w:pPr>
      <w:r w:rsidRPr="00AE15DA">
        <w:rPr>
          <w:rFonts w:asciiTheme="minorHAnsi" w:hAnsiTheme="minorHAnsi"/>
          <w:b/>
          <w:color w:val="000000"/>
          <w:sz w:val="22"/>
          <w:szCs w:val="22"/>
        </w:rPr>
        <w:t xml:space="preserve"> </w:t>
      </w:r>
      <w:r w:rsidR="00F63F30" w:rsidRPr="00AE15DA">
        <w:rPr>
          <w:rFonts w:asciiTheme="minorHAnsi" w:hAnsiTheme="minorHAnsi"/>
          <w:color w:val="222222"/>
          <w:sz w:val="22"/>
          <w:szCs w:val="22"/>
        </w:rPr>
        <w:t>*</w:t>
      </w:r>
      <w:r w:rsidR="00A86662" w:rsidRPr="00A86662">
        <w:t xml:space="preserve"> </w:t>
      </w:r>
      <w:r w:rsidR="00A86662" w:rsidRPr="00A86662">
        <w:rPr>
          <w:rFonts w:asciiTheme="minorHAnsi" w:hAnsiTheme="minorHAnsi"/>
          <w:i/>
          <w:color w:val="222222"/>
          <w:sz w:val="22"/>
          <w:szCs w:val="22"/>
        </w:rPr>
        <w:t xml:space="preserve">Stosowanie innych powszechnie stosowanych leków przeciwdepresyjnych </w:t>
      </w:r>
      <w:r w:rsidR="00A86662">
        <w:rPr>
          <w:rFonts w:asciiTheme="minorHAnsi" w:hAnsiTheme="minorHAnsi"/>
          <w:i/>
          <w:color w:val="222222"/>
          <w:sz w:val="22"/>
          <w:szCs w:val="22"/>
        </w:rPr>
        <w:t>w przypadku niewydolności nerek</w:t>
      </w:r>
      <w:r w:rsidR="00F63F30" w:rsidRPr="00AE15DA">
        <w:rPr>
          <w:rFonts w:asciiTheme="minorHAnsi" w:hAnsiTheme="minorHAnsi"/>
          <w:i/>
          <w:color w:val="222222"/>
          <w:sz w:val="22"/>
          <w:szCs w:val="22"/>
        </w:rPr>
        <w:t>:</w:t>
      </w:r>
    </w:p>
    <w:p w:rsidR="005B2907" w:rsidRPr="00AE15DA" w:rsidRDefault="00A86662" w:rsidP="0043334F">
      <w:pPr>
        <w:pStyle w:val="NormalWeb"/>
        <w:spacing w:before="0" w:beforeAutospacing="0" w:after="0" w:afterAutospacing="0"/>
        <w:ind w:firstLine="708"/>
        <w:contextualSpacing/>
        <w:jc w:val="both"/>
        <w:rPr>
          <w:rFonts w:asciiTheme="minorHAnsi" w:hAnsiTheme="minorHAnsi"/>
          <w:i/>
          <w:color w:val="000000"/>
          <w:sz w:val="22"/>
          <w:szCs w:val="22"/>
        </w:rPr>
      </w:pPr>
      <w:r w:rsidRPr="00A86662">
        <w:rPr>
          <w:rFonts w:asciiTheme="minorHAnsi" w:hAnsiTheme="minorHAnsi"/>
          <w:i/>
          <w:color w:val="000000"/>
          <w:sz w:val="22"/>
          <w:szCs w:val="22"/>
        </w:rPr>
        <w:lastRenderedPageBreak/>
        <w:t>Citalopram i escitalopram: Nie ma konieczności dostosowania dawki w łagodnych do umiarkowanych zaburzeniach czynności nerek. Dostosowanie dawki nie jest konieczne w przypadku ciężkiej (GFR&lt;20 ml/min/1,73m2) niewydolności nerek, a</w:t>
      </w:r>
      <w:r>
        <w:rPr>
          <w:rFonts w:asciiTheme="minorHAnsi" w:hAnsiTheme="minorHAnsi"/>
          <w:i/>
          <w:color w:val="000000"/>
          <w:sz w:val="22"/>
          <w:szCs w:val="22"/>
        </w:rPr>
        <w:t>le należy ją stosować ostrożnie</w:t>
      </w:r>
      <w:r w:rsidR="005B2907" w:rsidRPr="00AE15DA">
        <w:rPr>
          <w:rFonts w:asciiTheme="minorHAnsi" w:hAnsiTheme="minorHAnsi"/>
          <w:i/>
          <w:color w:val="000000"/>
          <w:sz w:val="22"/>
          <w:szCs w:val="22"/>
        </w:rPr>
        <w:t>.</w:t>
      </w:r>
    </w:p>
    <w:p w:rsidR="00A86662" w:rsidRPr="00A86662" w:rsidRDefault="00A86662" w:rsidP="00A86662">
      <w:pPr>
        <w:pStyle w:val="NormalWeb"/>
        <w:ind w:firstLine="708"/>
        <w:contextualSpacing/>
        <w:jc w:val="both"/>
        <w:rPr>
          <w:rFonts w:asciiTheme="minorHAnsi" w:hAnsiTheme="minorHAnsi"/>
          <w:i/>
          <w:color w:val="000000"/>
          <w:sz w:val="22"/>
          <w:szCs w:val="22"/>
        </w:rPr>
      </w:pPr>
      <w:r w:rsidRPr="00A86662">
        <w:rPr>
          <w:rFonts w:asciiTheme="minorHAnsi" w:hAnsiTheme="minorHAnsi"/>
          <w:i/>
          <w:color w:val="000000"/>
          <w:sz w:val="22"/>
          <w:szCs w:val="22"/>
        </w:rPr>
        <w:t>Sertralina: W niewydolności nerek nie jest konieczne dostosowanie dawki.</w:t>
      </w:r>
    </w:p>
    <w:p w:rsidR="0081726F" w:rsidRPr="00AE15DA" w:rsidRDefault="00A86662" w:rsidP="00A86662">
      <w:pPr>
        <w:pStyle w:val="NormalWeb"/>
        <w:spacing w:before="0" w:beforeAutospacing="0" w:after="0" w:afterAutospacing="0"/>
        <w:ind w:firstLine="708"/>
        <w:contextualSpacing/>
        <w:jc w:val="both"/>
        <w:rPr>
          <w:rFonts w:asciiTheme="minorHAnsi" w:hAnsiTheme="minorHAnsi"/>
          <w:i/>
          <w:color w:val="000000"/>
          <w:sz w:val="22"/>
          <w:szCs w:val="22"/>
        </w:rPr>
      </w:pPr>
      <w:r w:rsidRPr="00A86662">
        <w:rPr>
          <w:rFonts w:asciiTheme="minorHAnsi" w:hAnsiTheme="minorHAnsi"/>
          <w:i/>
          <w:color w:val="000000"/>
          <w:sz w:val="22"/>
          <w:szCs w:val="22"/>
        </w:rPr>
        <w:t>Paroksetyna: Jeśli GFR &lt; 30 ml/min/1,73 m2, maksymalna dawka wynosi 40 mg w tabletkach o natychmiastowym uwalnianiu, maksymalna dawka w preparatach o przedłużonym uwalnianiu: 50 mg/dobę</w:t>
      </w:r>
      <w:r w:rsidR="00166F4D" w:rsidRPr="00AE15DA">
        <w:rPr>
          <w:rFonts w:asciiTheme="minorHAnsi" w:hAnsiTheme="minorHAnsi"/>
          <w:i/>
          <w:color w:val="000000"/>
          <w:sz w:val="22"/>
          <w:szCs w:val="22"/>
        </w:rPr>
        <w:t>.</w:t>
      </w:r>
    </w:p>
    <w:p w:rsidR="00A86662" w:rsidRPr="00A86662" w:rsidRDefault="00A86662" w:rsidP="00A86662">
      <w:pPr>
        <w:pStyle w:val="NormalWeb"/>
        <w:ind w:firstLine="708"/>
        <w:contextualSpacing/>
        <w:jc w:val="both"/>
        <w:rPr>
          <w:rFonts w:asciiTheme="minorHAnsi" w:hAnsiTheme="minorHAnsi"/>
          <w:i/>
          <w:color w:val="000000"/>
          <w:sz w:val="22"/>
          <w:szCs w:val="22"/>
        </w:rPr>
      </w:pPr>
      <w:r w:rsidRPr="00A86662">
        <w:rPr>
          <w:rFonts w:asciiTheme="minorHAnsi" w:hAnsiTheme="minorHAnsi"/>
          <w:i/>
          <w:color w:val="000000"/>
          <w:sz w:val="22"/>
          <w:szCs w:val="22"/>
        </w:rPr>
        <w:t>Wenlafaksyna: Jeśli GFR &lt; 30 ml/min/1,73 m2, dawkę należy zmniejszyć o 50% w preparatach o przedłużonym uwalnianiu; W preparatach o natychmiastowym uwalnianiu, jeśli GFR wynosi 10-75 ml/min/1,73 m2, dawkę należy zmniejszyć o 25%.</w:t>
      </w:r>
    </w:p>
    <w:p w:rsidR="0081726F" w:rsidRPr="00AE15DA" w:rsidRDefault="00A86662" w:rsidP="00A86662">
      <w:pPr>
        <w:pStyle w:val="NormalWeb"/>
        <w:spacing w:before="0" w:beforeAutospacing="0" w:after="0" w:afterAutospacing="0"/>
        <w:ind w:firstLine="708"/>
        <w:contextualSpacing/>
        <w:jc w:val="both"/>
        <w:rPr>
          <w:rFonts w:asciiTheme="minorHAnsi" w:hAnsiTheme="minorHAnsi"/>
          <w:i/>
          <w:color w:val="000000"/>
          <w:sz w:val="22"/>
          <w:szCs w:val="22"/>
        </w:rPr>
      </w:pPr>
      <w:r w:rsidRPr="00A86662">
        <w:rPr>
          <w:rFonts w:asciiTheme="minorHAnsi" w:hAnsiTheme="minorHAnsi"/>
          <w:i/>
          <w:color w:val="000000"/>
          <w:sz w:val="22"/>
          <w:szCs w:val="22"/>
        </w:rPr>
        <w:t>Mirtazapina: Nie ma konieczności dostosowania dawki w przypadku niewydolności nerek, ale należy ją stosować ostrożnie w umiarkowanych lub ciężki</w:t>
      </w:r>
      <w:r>
        <w:rPr>
          <w:rFonts w:asciiTheme="minorHAnsi" w:hAnsiTheme="minorHAnsi"/>
          <w:i/>
          <w:color w:val="000000"/>
          <w:sz w:val="22"/>
          <w:szCs w:val="22"/>
        </w:rPr>
        <w:t>ch zaburzeniach czynności nerek</w:t>
      </w:r>
      <w:r w:rsidR="00166F4D" w:rsidRPr="00AE15DA">
        <w:rPr>
          <w:rFonts w:asciiTheme="minorHAnsi" w:hAnsiTheme="minorHAnsi"/>
          <w:i/>
          <w:color w:val="000000"/>
          <w:sz w:val="22"/>
          <w:szCs w:val="22"/>
        </w:rPr>
        <w:t>.</w:t>
      </w:r>
    </w:p>
    <w:p w:rsidR="0081726F" w:rsidRPr="00AE15DA" w:rsidRDefault="00A86662" w:rsidP="0043334F">
      <w:pPr>
        <w:pStyle w:val="NormalWeb"/>
        <w:spacing w:before="0" w:beforeAutospacing="0" w:after="0" w:afterAutospacing="0"/>
        <w:ind w:firstLine="708"/>
        <w:contextualSpacing/>
        <w:jc w:val="both"/>
        <w:rPr>
          <w:rFonts w:asciiTheme="minorHAnsi" w:hAnsiTheme="minorHAnsi"/>
          <w:i/>
          <w:color w:val="000000"/>
          <w:sz w:val="22"/>
          <w:szCs w:val="22"/>
        </w:rPr>
      </w:pPr>
      <w:r>
        <w:rPr>
          <w:rFonts w:asciiTheme="minorHAnsi" w:hAnsiTheme="minorHAnsi"/>
          <w:i/>
          <w:color w:val="000000"/>
          <w:sz w:val="22"/>
          <w:szCs w:val="22"/>
        </w:rPr>
        <w:t>Agomelatyna</w:t>
      </w:r>
      <w:r w:rsidRPr="00A86662">
        <w:rPr>
          <w:rFonts w:asciiTheme="minorHAnsi" w:hAnsiTheme="minorHAnsi"/>
          <w:i/>
          <w:color w:val="000000"/>
          <w:sz w:val="22"/>
          <w:szCs w:val="22"/>
        </w:rPr>
        <w:t xml:space="preserve">: Nie ma konieczności dostosowania dawki </w:t>
      </w:r>
      <w:r>
        <w:rPr>
          <w:rFonts w:asciiTheme="minorHAnsi" w:hAnsiTheme="minorHAnsi"/>
          <w:i/>
          <w:color w:val="000000"/>
          <w:sz w:val="22"/>
          <w:szCs w:val="22"/>
        </w:rPr>
        <w:t>w przypadku niewydolności nerek</w:t>
      </w:r>
      <w:r w:rsidR="00F461E8" w:rsidRPr="00AE15DA">
        <w:rPr>
          <w:rFonts w:asciiTheme="minorHAnsi" w:hAnsiTheme="minorHAnsi"/>
          <w:i/>
          <w:color w:val="000000"/>
          <w:sz w:val="22"/>
          <w:szCs w:val="22"/>
        </w:rPr>
        <w:t>.</w:t>
      </w:r>
    </w:p>
    <w:p w:rsidR="005B2907" w:rsidRPr="00AE15DA" w:rsidRDefault="00A86662" w:rsidP="0043334F">
      <w:pPr>
        <w:pStyle w:val="NormalWeb"/>
        <w:spacing w:before="0" w:beforeAutospacing="0" w:after="0" w:afterAutospacing="0"/>
        <w:ind w:firstLine="708"/>
        <w:contextualSpacing/>
        <w:jc w:val="both"/>
        <w:rPr>
          <w:rFonts w:asciiTheme="minorHAnsi" w:hAnsiTheme="minorHAnsi"/>
          <w:i/>
          <w:color w:val="000000"/>
          <w:sz w:val="22"/>
          <w:szCs w:val="22"/>
        </w:rPr>
      </w:pPr>
      <w:r w:rsidRPr="00A86662">
        <w:rPr>
          <w:rFonts w:asciiTheme="minorHAnsi" w:hAnsiTheme="minorHAnsi"/>
          <w:i/>
          <w:color w:val="000000"/>
          <w:sz w:val="22"/>
          <w:szCs w:val="22"/>
        </w:rPr>
        <w:t xml:space="preserve">Wortioksetyna: Nie ma konieczności dostosowania dawki </w:t>
      </w:r>
      <w:r>
        <w:rPr>
          <w:rFonts w:asciiTheme="minorHAnsi" w:hAnsiTheme="minorHAnsi"/>
          <w:i/>
          <w:color w:val="000000"/>
          <w:sz w:val="22"/>
          <w:szCs w:val="22"/>
        </w:rPr>
        <w:t>w przypadku niewydolności nerek</w:t>
      </w:r>
      <w:r w:rsidR="005B2907" w:rsidRPr="00AE15DA">
        <w:rPr>
          <w:rFonts w:asciiTheme="minorHAnsi" w:hAnsiTheme="minorHAnsi"/>
          <w:i/>
          <w:color w:val="000000"/>
          <w:sz w:val="22"/>
          <w:szCs w:val="22"/>
        </w:rPr>
        <w:t>.</w:t>
      </w:r>
    </w:p>
    <w:p w:rsidR="005B2907" w:rsidRPr="00AE15DA" w:rsidRDefault="005B2907" w:rsidP="0043334F">
      <w:pPr>
        <w:pStyle w:val="NormalWeb"/>
        <w:spacing w:before="0" w:beforeAutospacing="0" w:after="0" w:afterAutospacing="0"/>
        <w:contextualSpacing/>
        <w:jc w:val="both"/>
        <w:rPr>
          <w:rFonts w:asciiTheme="minorHAnsi" w:hAnsiTheme="minorHAnsi"/>
          <w:b/>
          <w:i/>
          <w:color w:val="000000"/>
          <w:sz w:val="22"/>
          <w:szCs w:val="22"/>
        </w:rPr>
      </w:pPr>
    </w:p>
    <w:p w:rsidR="00744A29" w:rsidRPr="00AE15DA" w:rsidRDefault="00744A29" w:rsidP="0043334F">
      <w:pPr>
        <w:pStyle w:val="HTMLncedenBiimlendirilmi"/>
        <w:contextualSpacing/>
        <w:jc w:val="both"/>
        <w:rPr>
          <w:rFonts w:asciiTheme="minorHAnsi" w:hAnsiTheme="minorHAnsi" w:cstheme="minorHAnsi"/>
          <w:sz w:val="22"/>
          <w:szCs w:val="22"/>
        </w:rPr>
      </w:pPr>
    </w:p>
    <w:p w:rsidR="00744A29" w:rsidRPr="00AE15DA" w:rsidRDefault="006C24B0" w:rsidP="0043334F">
      <w:pPr>
        <w:pStyle w:val="HTMLncedenBiimlendirilmi"/>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B6. </w:t>
      </w:r>
      <w:r w:rsidR="00A86662" w:rsidRPr="00A86662">
        <w:rPr>
          <w:rFonts w:asciiTheme="minorHAnsi" w:hAnsiTheme="minorHAnsi"/>
          <w:b/>
          <w:color w:val="000000"/>
          <w:sz w:val="22"/>
          <w:szCs w:val="22"/>
        </w:rPr>
        <w:t>W przypadku GFR &lt; 60 ml/min/1,73 m2 stosowanie pregabaliny i gabapentyny bez zmnie</w:t>
      </w:r>
      <w:r w:rsidR="00A86662">
        <w:rPr>
          <w:rFonts w:asciiTheme="minorHAnsi" w:hAnsiTheme="minorHAnsi"/>
          <w:b/>
          <w:color w:val="000000"/>
          <w:sz w:val="22"/>
          <w:szCs w:val="22"/>
        </w:rPr>
        <w:t>jszenia dawki nie jest właściwe</w:t>
      </w:r>
    </w:p>
    <w:p w:rsidR="00744A29" w:rsidRPr="00AE15DA" w:rsidRDefault="00744A29" w:rsidP="0043334F">
      <w:pPr>
        <w:pStyle w:val="HTMLncedenBiimlendirilmi"/>
        <w:contextualSpacing/>
        <w:jc w:val="both"/>
        <w:rPr>
          <w:rFonts w:asciiTheme="minorHAnsi" w:hAnsiTheme="minorHAnsi"/>
          <w:b/>
          <w:color w:val="000000"/>
          <w:sz w:val="22"/>
          <w:szCs w:val="22"/>
        </w:rPr>
      </w:pPr>
    </w:p>
    <w:p w:rsidR="006C24B0" w:rsidRPr="00AE15DA" w:rsidRDefault="006C24B0"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B7. </w:t>
      </w:r>
      <w:proofErr w:type="gramStart"/>
      <w:r w:rsidR="00612420" w:rsidRPr="00612420">
        <w:rPr>
          <w:rFonts w:asciiTheme="minorHAnsi" w:hAnsiTheme="minorHAnsi"/>
          <w:b/>
          <w:sz w:val="22"/>
          <w:szCs w:val="22"/>
        </w:rPr>
        <w:t>U pacjentów z majaczeniem lub otępieniem leki o silnym działaniu antycholinergicznym (amitryptylina, paroksetyna, dicyklomina, L-hioscyjamina, tiorydazyna, chlorpromazyna, klozapina, olanzapina, leki przeciwmuskarynowe w moczu, blokery receptora H1, zwłaszcza blokery receptora H1 pierwszej generacji, blokery receptora H1, Blokery H2-refeneframina) nie są odpowiednie do stosowania (ryzyko pogorszenia funkcji poznawczych)</w:t>
      </w:r>
      <w:proofErr w:type="gramEnd"/>
    </w:p>
    <w:p w:rsidR="00B3469F" w:rsidRPr="00AE15DA" w:rsidRDefault="00B3469F" w:rsidP="0043334F">
      <w:pPr>
        <w:pStyle w:val="NormalWeb"/>
        <w:spacing w:before="0" w:beforeAutospacing="0" w:after="0" w:afterAutospacing="0"/>
        <w:contextualSpacing/>
        <w:jc w:val="both"/>
        <w:rPr>
          <w:rFonts w:asciiTheme="minorHAnsi" w:hAnsiTheme="minorHAnsi"/>
          <w:i/>
          <w:sz w:val="22"/>
          <w:szCs w:val="22"/>
        </w:rPr>
      </w:pPr>
      <w:r w:rsidRPr="00AE15DA">
        <w:rPr>
          <w:rFonts w:asciiTheme="minorHAnsi" w:hAnsiTheme="minorHAnsi"/>
          <w:i/>
          <w:sz w:val="22"/>
          <w:szCs w:val="22"/>
        </w:rPr>
        <w:t>*</w:t>
      </w:r>
      <w:r w:rsidR="00403C5C" w:rsidRPr="00403C5C">
        <w:rPr>
          <w:rFonts w:asciiTheme="minorHAnsi" w:hAnsiTheme="minorHAnsi"/>
          <w:i/>
          <w:sz w:val="22"/>
          <w:szCs w:val="22"/>
        </w:rPr>
        <w:t>Stosowanie klozapiny może być wymagane w praktyce klinicznej w leczeniu ciężkich behawioralnych objawów otępienia/majaczenia u pacjentów z objawami układu pozapiramidowego (objawy parkinsonizmu), takich jak otępienie Parkinsona i otępienie z ciałami Lewy'ego. W takim przypadku należy go stosować jak najkrócej, w najniższej dawce i przy ścisłym mo</w:t>
      </w:r>
      <w:r w:rsidR="00403C5C">
        <w:rPr>
          <w:rFonts w:asciiTheme="minorHAnsi" w:hAnsiTheme="minorHAnsi"/>
          <w:i/>
          <w:sz w:val="22"/>
          <w:szCs w:val="22"/>
        </w:rPr>
        <w:t>nitorowaniu funkcji poznawczych</w:t>
      </w:r>
      <w:r w:rsidRPr="00AE15DA">
        <w:rPr>
          <w:rFonts w:asciiTheme="minorHAnsi" w:hAnsiTheme="minorHAnsi"/>
          <w:i/>
          <w:sz w:val="22"/>
          <w:szCs w:val="22"/>
        </w:rPr>
        <w:t xml:space="preserve">. </w:t>
      </w:r>
    </w:p>
    <w:p w:rsidR="001105EC" w:rsidRPr="00AE15DA" w:rsidRDefault="00B3469F" w:rsidP="0043334F">
      <w:pPr>
        <w:pStyle w:val="NormalWeb"/>
        <w:spacing w:before="0" w:beforeAutospacing="0" w:after="0" w:afterAutospacing="0"/>
        <w:contextualSpacing/>
        <w:jc w:val="both"/>
        <w:rPr>
          <w:rFonts w:asciiTheme="minorHAnsi" w:hAnsiTheme="minorHAnsi"/>
          <w:i/>
          <w:sz w:val="22"/>
          <w:szCs w:val="22"/>
        </w:rPr>
      </w:pPr>
      <w:r w:rsidRPr="00AE15DA">
        <w:rPr>
          <w:rFonts w:asciiTheme="minorHAnsi" w:hAnsiTheme="minorHAnsi"/>
          <w:i/>
          <w:sz w:val="22"/>
          <w:szCs w:val="22"/>
        </w:rPr>
        <w:t>*</w:t>
      </w:r>
      <w:r w:rsidR="00403C5C" w:rsidRPr="00403C5C">
        <w:rPr>
          <w:rFonts w:asciiTheme="minorHAnsi" w:hAnsiTheme="minorHAnsi"/>
          <w:i/>
          <w:sz w:val="22"/>
          <w:szCs w:val="22"/>
        </w:rPr>
        <w:t>U pacjentów z objawami układu pozapiramidowego (objawami parkinsonizmu), takimi jak otępienie Parkinsona i otępienie z ciałami Lewy'ego, leczenie kwetiapiną jest odpowiednie na pierwszym etapie przed rozpoczęciem leczenia klozapiną, jeśli zastosowanie neuroleptyków jest wymagane z powodu p</w:t>
      </w:r>
      <w:r w:rsidR="00403C5C">
        <w:rPr>
          <w:rFonts w:asciiTheme="minorHAnsi" w:hAnsiTheme="minorHAnsi"/>
          <w:i/>
          <w:sz w:val="22"/>
          <w:szCs w:val="22"/>
        </w:rPr>
        <w:t>oważnych objawów behawioralnych</w:t>
      </w:r>
      <w:r w:rsidRPr="00AE15DA">
        <w:rPr>
          <w:rFonts w:asciiTheme="minorHAnsi" w:hAnsiTheme="minorHAnsi"/>
          <w:i/>
          <w:sz w:val="22"/>
          <w:szCs w:val="22"/>
        </w:rPr>
        <w:t xml:space="preserve">.  </w:t>
      </w:r>
    </w:p>
    <w:p w:rsidR="00B3469F" w:rsidRPr="00AE15DA" w:rsidRDefault="001105EC" w:rsidP="0043334F">
      <w:pPr>
        <w:pStyle w:val="NormalWeb"/>
        <w:spacing w:before="0" w:beforeAutospacing="0" w:after="0" w:afterAutospacing="0"/>
        <w:contextualSpacing/>
        <w:jc w:val="both"/>
        <w:rPr>
          <w:rFonts w:asciiTheme="minorHAnsi" w:hAnsiTheme="minorHAnsi"/>
          <w:i/>
          <w:sz w:val="22"/>
          <w:szCs w:val="22"/>
        </w:rPr>
      </w:pPr>
      <w:proofErr w:type="gramStart"/>
      <w:r w:rsidRPr="00AE15DA">
        <w:rPr>
          <w:rFonts w:asciiTheme="minorHAnsi" w:hAnsiTheme="minorHAnsi"/>
          <w:i/>
          <w:sz w:val="22"/>
          <w:szCs w:val="22"/>
        </w:rPr>
        <w:t>*</w:t>
      </w:r>
      <w:r w:rsidR="00403C5C" w:rsidRPr="00403C5C">
        <w:rPr>
          <w:rFonts w:asciiTheme="minorHAnsi" w:hAnsiTheme="minorHAnsi"/>
          <w:i/>
          <w:sz w:val="22"/>
          <w:szCs w:val="22"/>
        </w:rPr>
        <w:t>Gdy rozważane jest leczenie, leczenie klozapiną/kwetiapiną należy rozpocząć od dawki 12,5 mg, działania niepożądane należy ściśle monitorować iw razie potrzeby zwiększyć do dawek 12,5-25 mg. Po uzyskaniu kontroli objawów należy spróbować zmniejszyć i</w:t>
      </w:r>
      <w:r w:rsidR="00403C5C">
        <w:rPr>
          <w:rFonts w:asciiTheme="minorHAnsi" w:hAnsiTheme="minorHAnsi"/>
          <w:i/>
          <w:sz w:val="22"/>
          <w:szCs w:val="22"/>
        </w:rPr>
        <w:t xml:space="preserve"> przerwać w ciągu kilku tygodni</w:t>
      </w:r>
      <w:r w:rsidR="00B3469F" w:rsidRPr="00AE15DA">
        <w:rPr>
          <w:rFonts w:asciiTheme="minorHAnsi" w:hAnsiTheme="minorHAnsi"/>
          <w:i/>
          <w:sz w:val="22"/>
          <w:szCs w:val="22"/>
        </w:rPr>
        <w:t xml:space="preserve">. </w:t>
      </w:r>
      <w:proofErr w:type="gramEnd"/>
    </w:p>
    <w:p w:rsidR="002247CF" w:rsidRPr="00AE15DA" w:rsidRDefault="002247CF" w:rsidP="0043334F">
      <w:pPr>
        <w:pStyle w:val="HTMLncedenBiimlendirilmi"/>
        <w:contextualSpacing/>
        <w:jc w:val="both"/>
        <w:rPr>
          <w:rFonts w:asciiTheme="minorHAnsi" w:hAnsiTheme="minorHAnsi" w:cs="Times New Roman"/>
          <w:b/>
          <w:i/>
          <w:color w:val="000000" w:themeColor="text1"/>
          <w:sz w:val="22"/>
          <w:szCs w:val="22"/>
          <w:shd w:val="clear" w:color="auto" w:fill="FFFFFF"/>
        </w:rPr>
      </w:pPr>
    </w:p>
    <w:p w:rsidR="00F33DB8" w:rsidRPr="00AE15DA" w:rsidRDefault="00F33DB8" w:rsidP="0043334F">
      <w:pPr>
        <w:contextualSpacing/>
        <w:rPr>
          <w:rFonts w:asciiTheme="minorHAnsi" w:hAnsiTheme="minorHAnsi" w:cstheme="minorHAnsi"/>
          <w:color w:val="000000"/>
          <w:sz w:val="22"/>
          <w:szCs w:val="22"/>
        </w:rPr>
      </w:pPr>
    </w:p>
    <w:p w:rsidR="00E1265B" w:rsidRPr="00AE15DA" w:rsidRDefault="006C24B0" w:rsidP="0043334F">
      <w:pPr>
        <w:spacing w:before="100" w:beforeAutospacing="1" w:after="100" w:afterAutospacing="1"/>
        <w:contextualSpacing/>
        <w:jc w:val="both"/>
        <w:rPr>
          <w:rFonts w:asciiTheme="minorHAnsi" w:hAnsiTheme="minorHAnsi"/>
          <w:b/>
          <w:color w:val="000000" w:themeColor="text1"/>
          <w:sz w:val="22"/>
          <w:szCs w:val="22"/>
        </w:rPr>
      </w:pPr>
      <w:r w:rsidRPr="00AE15DA">
        <w:rPr>
          <w:rFonts w:asciiTheme="minorHAnsi" w:hAnsiTheme="minorHAnsi"/>
          <w:b/>
          <w:color w:val="000000" w:themeColor="text1"/>
          <w:sz w:val="22"/>
          <w:szCs w:val="22"/>
        </w:rPr>
        <w:t xml:space="preserve">B8. </w:t>
      </w:r>
      <w:r w:rsidR="00403C5C" w:rsidRPr="00403C5C">
        <w:rPr>
          <w:rFonts w:asciiTheme="minorHAnsi" w:hAnsiTheme="minorHAnsi"/>
          <w:b/>
          <w:color w:val="000000" w:themeColor="text1"/>
          <w:sz w:val="22"/>
          <w:szCs w:val="22"/>
        </w:rPr>
        <w:t>Stosowanie leków antycholinergicznych nie jest właściwe w leczeniu choroby Parkinsona (zwiększone ryzyko działań niepożądanych; istnieją opcje leków, które są bardziej skuteczne i mają mniej skutków ubocznych)</w:t>
      </w:r>
    </w:p>
    <w:p w:rsidR="009D2A23" w:rsidRPr="00AE15DA" w:rsidRDefault="009D2A23" w:rsidP="0043334F">
      <w:pPr>
        <w:spacing w:before="100" w:beforeAutospacing="1" w:after="100" w:afterAutospacing="1"/>
        <w:contextualSpacing/>
        <w:jc w:val="both"/>
        <w:rPr>
          <w:rStyle w:val="Kpr"/>
          <w:rFonts w:asciiTheme="minorHAnsi" w:eastAsiaTheme="majorEastAsia" w:hAnsiTheme="minorHAnsi" w:cstheme="minorHAnsi"/>
          <w:color w:val="000000" w:themeColor="text1"/>
          <w:sz w:val="22"/>
          <w:szCs w:val="22"/>
          <w:u w:val="none"/>
        </w:rPr>
      </w:pPr>
    </w:p>
    <w:p w:rsidR="006C24B0" w:rsidRPr="00AE15DA" w:rsidRDefault="006C24B0" w:rsidP="0043334F">
      <w:pPr>
        <w:spacing w:before="100" w:beforeAutospacing="1" w:after="100" w:afterAutospacing="1"/>
        <w:contextualSpacing/>
        <w:jc w:val="both"/>
        <w:rPr>
          <w:rFonts w:asciiTheme="minorHAnsi" w:eastAsiaTheme="majorEastAsia" w:hAnsiTheme="minorHAnsi" w:cstheme="minorHAnsi"/>
          <w:color w:val="000000" w:themeColor="text1"/>
          <w:sz w:val="22"/>
          <w:szCs w:val="22"/>
        </w:rPr>
      </w:pPr>
      <w:r w:rsidRPr="00AE15DA">
        <w:rPr>
          <w:rFonts w:asciiTheme="minorHAnsi" w:hAnsiTheme="minorHAnsi"/>
          <w:b/>
          <w:sz w:val="22"/>
          <w:szCs w:val="22"/>
        </w:rPr>
        <w:t xml:space="preserve">B9. </w:t>
      </w:r>
      <w:r w:rsidR="00403C5C" w:rsidRPr="00403C5C">
        <w:rPr>
          <w:rFonts w:asciiTheme="minorHAnsi" w:hAnsiTheme="minorHAnsi"/>
          <w:b/>
          <w:sz w:val="22"/>
          <w:szCs w:val="22"/>
        </w:rPr>
        <w:t>Leki antycholinergiczne nie nadają się do leczenia pozapiramidowych skutków ubocznych neuroleptyków (ryzyko toksyczności antycholinergicznej)</w:t>
      </w:r>
    </w:p>
    <w:p w:rsidR="00524390" w:rsidRPr="00AE15DA" w:rsidRDefault="00524390" w:rsidP="0043334F">
      <w:pPr>
        <w:spacing w:before="100" w:beforeAutospacing="1" w:after="100" w:afterAutospacing="1"/>
        <w:contextualSpacing/>
        <w:jc w:val="both"/>
        <w:rPr>
          <w:rFonts w:asciiTheme="minorHAnsi" w:hAnsiTheme="minorHAnsi" w:cstheme="minorHAnsi"/>
          <w:color w:val="000000"/>
          <w:sz w:val="22"/>
          <w:szCs w:val="22"/>
        </w:rPr>
      </w:pPr>
    </w:p>
    <w:p w:rsidR="000B0558" w:rsidRPr="00AE15DA" w:rsidRDefault="006C24B0"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B10.</w:t>
      </w:r>
      <w:r w:rsidR="00181929" w:rsidRPr="00AE15DA">
        <w:rPr>
          <w:rFonts w:asciiTheme="minorHAnsi" w:hAnsiTheme="minorHAnsi"/>
          <w:b/>
          <w:sz w:val="22"/>
          <w:szCs w:val="22"/>
        </w:rPr>
        <w:t xml:space="preserve"> </w:t>
      </w:r>
      <w:r w:rsidR="00403C5C" w:rsidRPr="00403C5C">
        <w:rPr>
          <w:rFonts w:asciiTheme="minorHAnsi" w:hAnsiTheme="minorHAnsi"/>
          <w:b/>
          <w:sz w:val="22"/>
          <w:szCs w:val="22"/>
        </w:rPr>
        <w:t>Stosowanie neuroleptyków/leków przeciwpsychotycznych nie jest właściwe u pacjentów z demencją, z wyjątkiem przypadków, gdy leczenie niefarmakologiczne jest nieskuteczne w łagodzeniu objawów behawioralnych i psychologicznych, a objawy są ciężkie (zwiększone ryzyko udaru mózgu, niewydolnośc</w:t>
      </w:r>
      <w:r w:rsidR="00403C5C">
        <w:rPr>
          <w:rFonts w:asciiTheme="minorHAnsi" w:hAnsiTheme="minorHAnsi"/>
          <w:b/>
          <w:sz w:val="22"/>
          <w:szCs w:val="22"/>
        </w:rPr>
        <w:t>i serca, zapalenia płuc, zgonu)</w:t>
      </w:r>
      <w:r w:rsidRPr="00AE15DA">
        <w:rPr>
          <w:rFonts w:asciiTheme="minorHAnsi" w:hAnsiTheme="minorHAnsi"/>
          <w:b/>
          <w:sz w:val="22"/>
          <w:szCs w:val="22"/>
        </w:rPr>
        <w:t xml:space="preserve"> </w:t>
      </w:r>
    </w:p>
    <w:p w:rsidR="007D439E" w:rsidRPr="00AE15DA" w:rsidRDefault="007B4A79" w:rsidP="0043334F">
      <w:pPr>
        <w:contextualSpacing/>
        <w:jc w:val="both"/>
        <w:rPr>
          <w:rFonts w:asciiTheme="minorHAnsi" w:hAnsiTheme="minorHAnsi"/>
          <w:sz w:val="22"/>
          <w:szCs w:val="22"/>
        </w:rPr>
      </w:pPr>
      <w:r w:rsidRPr="00AE15DA">
        <w:rPr>
          <w:rFonts w:asciiTheme="minorHAnsi" w:hAnsiTheme="minorHAnsi"/>
          <w:i/>
          <w:sz w:val="22"/>
          <w:szCs w:val="22"/>
        </w:rPr>
        <w:t>*</w:t>
      </w:r>
      <w:r w:rsidR="00403C5C" w:rsidRPr="00403C5C">
        <w:rPr>
          <w:rFonts w:asciiTheme="minorHAnsi" w:hAnsiTheme="minorHAnsi"/>
          <w:i/>
          <w:sz w:val="22"/>
          <w:szCs w:val="22"/>
        </w:rPr>
        <w:t xml:space="preserve">Neuroleptyki/leki przeciwpsychotyczne mogą być stosowane w przypadkach, gdy leczenie niefarmakologiczne jest nieskuteczne w łagodzeniu objawów behawioralnych i psychologicznych u </w:t>
      </w:r>
      <w:r w:rsidR="00403C5C" w:rsidRPr="00403C5C">
        <w:rPr>
          <w:rFonts w:asciiTheme="minorHAnsi" w:hAnsiTheme="minorHAnsi"/>
          <w:i/>
          <w:sz w:val="22"/>
          <w:szCs w:val="22"/>
        </w:rPr>
        <w:lastRenderedPageBreak/>
        <w:t xml:space="preserve">pacjentów z otępieniem, a objawy są ciężkie, ale w takim przypadku należy je stosować w najniższej dawce i przez najkrótszy czas, </w:t>
      </w:r>
      <w:r w:rsidR="00403C5C">
        <w:rPr>
          <w:rFonts w:asciiTheme="minorHAnsi" w:hAnsiTheme="minorHAnsi"/>
          <w:i/>
          <w:sz w:val="22"/>
          <w:szCs w:val="22"/>
        </w:rPr>
        <w:t>który zapewnia kontrola objawów</w:t>
      </w:r>
      <w:r w:rsidR="007D439E" w:rsidRPr="00AE15DA">
        <w:rPr>
          <w:rFonts w:asciiTheme="minorHAnsi" w:hAnsiTheme="minorHAnsi"/>
          <w:i/>
          <w:sz w:val="22"/>
          <w:szCs w:val="22"/>
        </w:rPr>
        <w:t>.</w:t>
      </w:r>
    </w:p>
    <w:p w:rsidR="007D439E" w:rsidRPr="00AE15DA" w:rsidRDefault="007D439E" w:rsidP="0043334F">
      <w:pPr>
        <w:contextualSpacing/>
        <w:jc w:val="both"/>
        <w:rPr>
          <w:rFonts w:asciiTheme="minorHAnsi" w:hAnsiTheme="minorHAnsi"/>
          <w:i/>
          <w:sz w:val="22"/>
          <w:szCs w:val="22"/>
        </w:rPr>
      </w:pPr>
      <w:r w:rsidRPr="00AE15DA">
        <w:rPr>
          <w:rFonts w:asciiTheme="minorHAnsi" w:hAnsiTheme="minorHAnsi"/>
          <w:i/>
          <w:sz w:val="22"/>
          <w:szCs w:val="22"/>
        </w:rPr>
        <w:t>*</w:t>
      </w:r>
      <w:r w:rsidR="00403C5C" w:rsidRPr="00403C5C">
        <w:rPr>
          <w:rFonts w:asciiTheme="minorHAnsi" w:hAnsiTheme="minorHAnsi"/>
          <w:i/>
          <w:sz w:val="22"/>
          <w:szCs w:val="22"/>
        </w:rPr>
        <w:t>Podstawowym podejściem do łagodzenia objawów behawioralnych i psychologicznych u pacjentów z demencją jest zastosowanie optymalnego leczenia demencji (ChEi/memantyna). Można wtedy wypróbować wybr</w:t>
      </w:r>
      <w:r w:rsidR="00403C5C">
        <w:rPr>
          <w:rFonts w:asciiTheme="minorHAnsi" w:hAnsiTheme="minorHAnsi"/>
          <w:i/>
          <w:sz w:val="22"/>
          <w:szCs w:val="22"/>
        </w:rPr>
        <w:t>ane SSRI (zwłaszcza citalopram)</w:t>
      </w:r>
      <w:r w:rsidR="00B3469F" w:rsidRPr="00AE15DA">
        <w:rPr>
          <w:rFonts w:asciiTheme="minorHAnsi" w:hAnsiTheme="minorHAnsi"/>
          <w:i/>
          <w:sz w:val="22"/>
          <w:szCs w:val="22"/>
        </w:rPr>
        <w:t>.</w:t>
      </w:r>
    </w:p>
    <w:p w:rsidR="00B3469F" w:rsidRPr="00AE15DA" w:rsidRDefault="00B3469F" w:rsidP="0043334F">
      <w:pPr>
        <w:pStyle w:val="AklamaMetni"/>
        <w:spacing w:after="0"/>
        <w:contextualSpacing/>
        <w:jc w:val="both"/>
        <w:rPr>
          <w:rFonts w:cs="Times New Roman"/>
          <w:i/>
          <w:sz w:val="22"/>
          <w:szCs w:val="22"/>
        </w:rPr>
      </w:pPr>
      <w:r w:rsidRPr="00AE15DA">
        <w:rPr>
          <w:rFonts w:cs="Times New Roman"/>
          <w:i/>
          <w:sz w:val="22"/>
          <w:szCs w:val="22"/>
        </w:rPr>
        <w:t>*</w:t>
      </w:r>
      <w:r w:rsidR="00403C5C" w:rsidRPr="00403C5C">
        <w:t xml:space="preserve"> </w:t>
      </w:r>
      <w:r w:rsidR="00403C5C" w:rsidRPr="00403C5C">
        <w:rPr>
          <w:rFonts w:cs="Times New Roman"/>
          <w:i/>
          <w:sz w:val="22"/>
          <w:szCs w:val="22"/>
        </w:rPr>
        <w:t>Istnieją sprzeczne informacje na temat skuteczności sertraliny, trazadonu i melatoniny w łagodzeniu objawów behawioralnych i psycholo</w:t>
      </w:r>
      <w:r w:rsidR="00403C5C">
        <w:rPr>
          <w:rFonts w:cs="Times New Roman"/>
          <w:i/>
          <w:sz w:val="22"/>
          <w:szCs w:val="22"/>
        </w:rPr>
        <w:t>gicznych u pacjentów z demencją</w:t>
      </w:r>
      <w:r w:rsidRPr="00AE15DA">
        <w:rPr>
          <w:rFonts w:cs="Times New Roman"/>
          <w:i/>
          <w:sz w:val="22"/>
          <w:szCs w:val="22"/>
        </w:rPr>
        <w:t xml:space="preserve">. </w:t>
      </w:r>
    </w:p>
    <w:p w:rsidR="009E4B52" w:rsidRPr="00AE15DA" w:rsidRDefault="009E4B52" w:rsidP="0043334F">
      <w:pPr>
        <w:pStyle w:val="AklamaMetni"/>
        <w:spacing w:after="0"/>
        <w:contextualSpacing/>
        <w:jc w:val="both"/>
        <w:rPr>
          <w:rFonts w:cs="Times New Roman"/>
          <w:i/>
          <w:sz w:val="22"/>
          <w:szCs w:val="22"/>
        </w:rPr>
      </w:pPr>
    </w:p>
    <w:p w:rsidR="009D2A23" w:rsidRPr="00AE15DA" w:rsidRDefault="009D2A23" w:rsidP="0043334F">
      <w:pPr>
        <w:pStyle w:val="AklamaMetni"/>
        <w:contextualSpacing/>
        <w:jc w:val="both"/>
        <w:rPr>
          <w:rFonts w:cstheme="minorHAnsi"/>
          <w:color w:val="000000"/>
          <w:sz w:val="22"/>
          <w:szCs w:val="22"/>
        </w:rPr>
      </w:pPr>
    </w:p>
    <w:p w:rsidR="007D439E" w:rsidRPr="00AE15DA" w:rsidRDefault="007D439E" w:rsidP="0043334F">
      <w:pPr>
        <w:pStyle w:val="AklamaMetni"/>
        <w:contextualSpacing/>
        <w:jc w:val="both"/>
        <w:rPr>
          <w:rFonts w:cstheme="minorHAnsi"/>
          <w:sz w:val="22"/>
          <w:szCs w:val="22"/>
          <w:shd w:val="clear" w:color="auto" w:fill="FFFFFF"/>
        </w:rPr>
      </w:pPr>
      <w:r w:rsidRPr="00AE15DA">
        <w:rPr>
          <w:b/>
          <w:color w:val="000000"/>
          <w:sz w:val="22"/>
          <w:szCs w:val="22"/>
        </w:rPr>
        <w:t xml:space="preserve">B11. </w:t>
      </w:r>
      <w:r w:rsidR="00403C5C" w:rsidRPr="00403C5C">
        <w:rPr>
          <w:b/>
          <w:color w:val="000000"/>
          <w:sz w:val="22"/>
          <w:szCs w:val="22"/>
        </w:rPr>
        <w:t>Stosowanie neuroleptyków/leków przeciwpsychotycznych w celach nasennych nie jest właściwe (zwiększone zamieszanie, hipotensja, pozapiramidowe skutki uboczne, ryzyko upadku)</w:t>
      </w:r>
    </w:p>
    <w:p w:rsidR="00B3469F" w:rsidRPr="00AE15DA" w:rsidRDefault="00B3469F" w:rsidP="0043334F">
      <w:pPr>
        <w:contextualSpacing/>
        <w:jc w:val="both"/>
        <w:rPr>
          <w:rFonts w:asciiTheme="minorHAnsi" w:hAnsiTheme="minorHAnsi"/>
          <w:i/>
          <w:sz w:val="22"/>
          <w:szCs w:val="22"/>
        </w:rPr>
      </w:pPr>
      <w:r w:rsidRPr="00AE15DA">
        <w:rPr>
          <w:rFonts w:asciiTheme="minorHAnsi" w:hAnsiTheme="minorHAnsi"/>
          <w:sz w:val="22"/>
          <w:szCs w:val="22"/>
          <w:lang w:eastAsia="en-GB"/>
        </w:rPr>
        <w:t>*</w:t>
      </w:r>
      <w:r w:rsidR="00403C5C" w:rsidRPr="00403C5C">
        <w:t xml:space="preserve"> </w:t>
      </w:r>
      <w:r w:rsidR="00403C5C" w:rsidRPr="00403C5C">
        <w:rPr>
          <w:rFonts w:asciiTheme="minorHAnsi" w:hAnsiTheme="minorHAnsi"/>
          <w:i/>
          <w:sz w:val="22"/>
          <w:szCs w:val="22"/>
        </w:rPr>
        <w:t>W leczeniu bezsenności u osób starszych w pierwszej kolejności należy zastosować regulację higieny snu oraz terapie poznawczo-behawioralne</w:t>
      </w:r>
      <w:r w:rsidRPr="00AE15DA">
        <w:rPr>
          <w:rStyle w:val="highlight"/>
          <w:rFonts w:asciiTheme="minorHAnsi" w:hAnsiTheme="minorHAnsi"/>
          <w:i/>
          <w:sz w:val="22"/>
          <w:szCs w:val="22"/>
        </w:rPr>
        <w:t>.</w:t>
      </w:r>
    </w:p>
    <w:p w:rsidR="00FB3255" w:rsidRPr="00AE15DA" w:rsidRDefault="00B3469F" w:rsidP="0043334F">
      <w:pPr>
        <w:contextualSpacing/>
        <w:jc w:val="both"/>
        <w:rPr>
          <w:rFonts w:asciiTheme="minorHAnsi" w:hAnsiTheme="minorHAnsi"/>
          <w:i/>
          <w:sz w:val="22"/>
          <w:szCs w:val="22"/>
        </w:rPr>
      </w:pPr>
      <w:r w:rsidRPr="00AE15DA">
        <w:rPr>
          <w:rFonts w:asciiTheme="minorHAnsi" w:hAnsiTheme="minorHAnsi"/>
          <w:i/>
          <w:sz w:val="22"/>
          <w:szCs w:val="22"/>
        </w:rPr>
        <w:t>*</w:t>
      </w:r>
      <w:r w:rsidR="00403C5C" w:rsidRPr="00403C5C">
        <w:rPr>
          <w:rFonts w:asciiTheme="minorHAnsi" w:hAnsiTheme="minorHAnsi"/>
          <w:i/>
          <w:sz w:val="22"/>
          <w:szCs w:val="22"/>
        </w:rPr>
        <w:t>Jeśli w leczeniu bezsenności u osób starszych konieczne jest leczenie farmakologiczne, można zastosować melatoninę i agonistę receptora melatoninowego ramelteon. W przypadku towarzyszącej depresji można ocenić stosowanie uspokajających leków przeciwdepresyjnych (mirt</w:t>
      </w:r>
      <w:r w:rsidR="00403C5C">
        <w:rPr>
          <w:rFonts w:asciiTheme="minorHAnsi" w:hAnsiTheme="minorHAnsi"/>
          <w:i/>
          <w:sz w:val="22"/>
          <w:szCs w:val="22"/>
        </w:rPr>
        <w:t>azapina, trazadon, agomelatyna)</w:t>
      </w:r>
      <w:r w:rsidRPr="00AE15DA">
        <w:rPr>
          <w:rFonts w:asciiTheme="minorHAnsi" w:hAnsiTheme="minorHAnsi"/>
          <w:i/>
          <w:sz w:val="22"/>
          <w:szCs w:val="22"/>
        </w:rPr>
        <w:t xml:space="preserve">. </w:t>
      </w:r>
    </w:p>
    <w:p w:rsidR="001A75B0" w:rsidRPr="00AE15DA" w:rsidRDefault="001A75B0" w:rsidP="0043334F">
      <w:pPr>
        <w:spacing w:before="100" w:beforeAutospacing="1" w:after="100" w:afterAutospacing="1"/>
        <w:contextualSpacing/>
        <w:jc w:val="both"/>
        <w:rPr>
          <w:rFonts w:asciiTheme="minorHAnsi" w:hAnsiTheme="minorHAnsi"/>
          <w:b/>
          <w:sz w:val="22"/>
          <w:szCs w:val="22"/>
        </w:rPr>
      </w:pPr>
    </w:p>
    <w:p w:rsidR="00EE065C" w:rsidRPr="00403C5C" w:rsidRDefault="006C24B0" w:rsidP="00403C5C">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sz w:val="22"/>
          <w:szCs w:val="22"/>
        </w:rPr>
        <w:t xml:space="preserve">B12. </w:t>
      </w:r>
      <w:r w:rsidR="00403C5C" w:rsidRPr="00403C5C">
        <w:rPr>
          <w:rFonts w:asciiTheme="minorHAnsi" w:hAnsiTheme="minorHAnsi"/>
          <w:b/>
          <w:sz w:val="22"/>
          <w:szCs w:val="22"/>
        </w:rPr>
        <w:t>Stosowanie neuroleptyków/leków przeciwpsychotycznych (z wyjątkiem kwetiapiny i klozapiny) nie jest właściwe u pacjentów z parkinsonizmem lub otępieniem z ciałami Lewy'ego (ryzyko ciężkich objawów pozapiramidowych)</w:t>
      </w:r>
      <w:r w:rsidRPr="00AE15DA">
        <w:rPr>
          <w:rFonts w:asciiTheme="minorHAnsi" w:hAnsiTheme="minorHAnsi"/>
          <w:b/>
          <w:sz w:val="22"/>
          <w:szCs w:val="22"/>
        </w:rPr>
        <w:t xml:space="preserve"> </w:t>
      </w:r>
    </w:p>
    <w:p w:rsidR="001B712D" w:rsidRPr="00AE15DA" w:rsidRDefault="001B712D"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6C24B0" w:rsidRPr="00AE15DA" w:rsidRDefault="006C24B0"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r w:rsidRPr="00AE15DA">
        <w:rPr>
          <w:rFonts w:asciiTheme="minorHAnsi" w:hAnsiTheme="minorHAnsi"/>
          <w:b/>
          <w:sz w:val="22"/>
          <w:szCs w:val="22"/>
        </w:rPr>
        <w:t>B13.</w:t>
      </w:r>
      <w:r w:rsidR="00181929" w:rsidRPr="00AE15DA">
        <w:rPr>
          <w:rFonts w:asciiTheme="minorHAnsi" w:hAnsiTheme="minorHAnsi"/>
          <w:b/>
          <w:sz w:val="22"/>
          <w:szCs w:val="22"/>
        </w:rPr>
        <w:t xml:space="preserve"> </w:t>
      </w:r>
      <w:r w:rsidR="00403C5C" w:rsidRPr="00403C5C">
        <w:rPr>
          <w:rFonts w:asciiTheme="minorHAnsi" w:hAnsiTheme="minorHAnsi"/>
          <w:b/>
          <w:sz w:val="22"/>
          <w:szCs w:val="22"/>
        </w:rPr>
        <w:t xml:space="preserve">Stosowanie uroleptyków/leków przeciwpsychotycznych (pozapiramidowe działania niepożądane), benzodiazepin (sedacja, zaburzenia równowagi) i leków nasennych typu Z </w:t>
      </w:r>
      <w:proofErr w:type="gramStart"/>
      <w:r w:rsidR="00403C5C" w:rsidRPr="00403C5C">
        <w:rPr>
          <w:rFonts w:asciiTheme="minorHAnsi" w:hAnsiTheme="minorHAnsi"/>
          <w:b/>
          <w:sz w:val="22"/>
          <w:szCs w:val="22"/>
        </w:rPr>
        <w:t>(</w:t>
      </w:r>
      <w:proofErr w:type="gramEnd"/>
      <w:r w:rsidR="00403C5C" w:rsidRPr="00403C5C">
        <w:rPr>
          <w:rFonts w:asciiTheme="minorHAnsi" w:hAnsiTheme="minorHAnsi"/>
          <w:b/>
          <w:sz w:val="22"/>
          <w:szCs w:val="22"/>
        </w:rPr>
        <w:t>np. zopiklon, zolpidem, zaleplon</w:t>
      </w:r>
      <w:proofErr w:type="gramStart"/>
      <w:r w:rsidR="00403C5C" w:rsidRPr="00403C5C">
        <w:rPr>
          <w:rFonts w:asciiTheme="minorHAnsi" w:hAnsiTheme="minorHAnsi"/>
          <w:b/>
          <w:sz w:val="22"/>
          <w:szCs w:val="22"/>
        </w:rPr>
        <w:t>)</w:t>
      </w:r>
      <w:proofErr w:type="gramEnd"/>
      <w:r w:rsidR="00403C5C" w:rsidRPr="00403C5C">
        <w:rPr>
          <w:rFonts w:asciiTheme="minorHAnsi" w:hAnsiTheme="minorHAnsi"/>
          <w:b/>
          <w:sz w:val="22"/>
          <w:szCs w:val="22"/>
        </w:rPr>
        <w:t xml:space="preserve"> (przedłużona sedacja w ciągu dnia, ataksja) nie jest właściwe u pacjentów z grupy wysokiego ryzyka upadku</w:t>
      </w:r>
    </w:p>
    <w:p w:rsidR="00354D28" w:rsidRPr="00AE15DA" w:rsidRDefault="00B3469F" w:rsidP="0043334F">
      <w:pPr>
        <w:contextualSpacing/>
        <w:jc w:val="both"/>
        <w:rPr>
          <w:rFonts w:asciiTheme="minorHAnsi" w:hAnsiTheme="minorHAnsi"/>
          <w:i/>
          <w:sz w:val="22"/>
          <w:szCs w:val="22"/>
        </w:rPr>
      </w:pPr>
      <w:r w:rsidRPr="00AE15DA">
        <w:rPr>
          <w:rFonts w:asciiTheme="minorHAnsi" w:hAnsiTheme="minorHAnsi"/>
          <w:i/>
          <w:sz w:val="22"/>
          <w:szCs w:val="22"/>
        </w:rPr>
        <w:t>*</w:t>
      </w:r>
      <w:r w:rsidR="00403C5C" w:rsidRPr="00403C5C">
        <w:t xml:space="preserve"> </w:t>
      </w:r>
      <w:r w:rsidR="00403C5C" w:rsidRPr="00403C5C">
        <w:rPr>
          <w:rFonts w:asciiTheme="minorHAnsi" w:hAnsiTheme="minorHAnsi"/>
          <w:i/>
          <w:sz w:val="22"/>
          <w:szCs w:val="22"/>
        </w:rPr>
        <w:t>Ogólnie rzecz biorąc, ta grupa leków to leki zwiększające ryzyko upadków u osób starszych. W miarę możliwości należy unikać j</w:t>
      </w:r>
      <w:r w:rsidR="00403C5C">
        <w:rPr>
          <w:rFonts w:asciiTheme="minorHAnsi" w:hAnsiTheme="minorHAnsi"/>
          <w:i/>
          <w:sz w:val="22"/>
          <w:szCs w:val="22"/>
        </w:rPr>
        <w:t>ego stosowania u osób starszych</w:t>
      </w:r>
      <w:r w:rsidRPr="00AE15DA">
        <w:rPr>
          <w:rFonts w:asciiTheme="minorHAnsi" w:hAnsiTheme="minorHAnsi"/>
          <w:i/>
          <w:sz w:val="22"/>
          <w:szCs w:val="22"/>
        </w:rPr>
        <w:t xml:space="preserve">. </w:t>
      </w:r>
    </w:p>
    <w:p w:rsidR="009D247E" w:rsidRPr="00AE15DA" w:rsidRDefault="009D247E"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6C24B0" w:rsidRPr="00AE15DA" w:rsidRDefault="006C24B0" w:rsidP="0043334F">
      <w:pPr>
        <w:contextualSpacing/>
        <w:jc w:val="both"/>
        <w:rPr>
          <w:rFonts w:asciiTheme="minorHAnsi" w:hAnsiTheme="minorHAnsi"/>
          <w:b/>
          <w:sz w:val="22"/>
          <w:szCs w:val="22"/>
        </w:rPr>
      </w:pPr>
      <w:r w:rsidRPr="00AE15DA">
        <w:rPr>
          <w:rFonts w:asciiTheme="minorHAnsi" w:hAnsiTheme="minorHAnsi"/>
          <w:b/>
          <w:sz w:val="22"/>
          <w:szCs w:val="22"/>
        </w:rPr>
        <w:t>B14.</w:t>
      </w:r>
      <w:r w:rsidR="00E60D55" w:rsidRPr="00AE15DA">
        <w:rPr>
          <w:rFonts w:asciiTheme="minorHAnsi" w:hAnsiTheme="minorHAnsi"/>
          <w:b/>
          <w:sz w:val="22"/>
          <w:szCs w:val="22"/>
        </w:rPr>
        <w:t xml:space="preserve"> </w:t>
      </w:r>
      <w:r w:rsidR="00BF2F0F" w:rsidRPr="00BF2F0F">
        <w:rPr>
          <w:rFonts w:asciiTheme="minorHAnsi" w:hAnsiTheme="minorHAnsi"/>
          <w:b/>
          <w:sz w:val="22"/>
          <w:szCs w:val="22"/>
        </w:rPr>
        <w:t>Stosowanie benzodiazepin przez okres dłuższy niż 4 tygodnie nie jest wskazane (długotrwała sedacja, dezorientacja, zaburzenia równowagi, upadki, ryzyko wypadków drogowych)</w:t>
      </w:r>
    </w:p>
    <w:p w:rsidR="00940A4D" w:rsidRDefault="00B3469F" w:rsidP="0043334F">
      <w:pPr>
        <w:contextualSpacing/>
        <w:jc w:val="both"/>
        <w:rPr>
          <w:rFonts w:asciiTheme="minorHAnsi" w:hAnsiTheme="minorHAnsi"/>
          <w:i/>
          <w:sz w:val="22"/>
          <w:szCs w:val="22"/>
        </w:rPr>
      </w:pPr>
      <w:r w:rsidRPr="00AE15DA">
        <w:rPr>
          <w:rFonts w:asciiTheme="minorHAnsi" w:hAnsiTheme="minorHAnsi"/>
          <w:i/>
          <w:sz w:val="22"/>
          <w:szCs w:val="22"/>
        </w:rPr>
        <w:t>*</w:t>
      </w:r>
      <w:r w:rsidR="00BF2F0F" w:rsidRPr="00BF2F0F">
        <w:t xml:space="preserve"> </w:t>
      </w:r>
      <w:r w:rsidR="00BF2F0F" w:rsidRPr="00BF2F0F">
        <w:rPr>
          <w:rFonts w:asciiTheme="minorHAnsi" w:hAnsiTheme="minorHAnsi"/>
          <w:i/>
          <w:sz w:val="22"/>
          <w:szCs w:val="22"/>
        </w:rPr>
        <w:t xml:space="preserve">Ogólnie rzecz biorąc, należy unikać stosowania benzodiazepin ze względu na ich wysoki </w:t>
      </w:r>
      <w:r w:rsidR="00BF2F0F">
        <w:rPr>
          <w:rFonts w:asciiTheme="minorHAnsi" w:hAnsiTheme="minorHAnsi"/>
          <w:i/>
          <w:sz w:val="22"/>
          <w:szCs w:val="22"/>
        </w:rPr>
        <w:t>potencjał działań niepożądanych</w:t>
      </w:r>
      <w:r w:rsidRPr="00AE15DA">
        <w:rPr>
          <w:rFonts w:asciiTheme="minorHAnsi" w:hAnsiTheme="minorHAnsi"/>
          <w:i/>
          <w:sz w:val="22"/>
          <w:szCs w:val="22"/>
        </w:rPr>
        <w:t>.</w:t>
      </w:r>
    </w:p>
    <w:p w:rsidR="00562C85" w:rsidRPr="00AE15DA" w:rsidRDefault="00562C85" w:rsidP="0043334F">
      <w:pPr>
        <w:contextualSpacing/>
        <w:jc w:val="both"/>
        <w:rPr>
          <w:rFonts w:asciiTheme="minorHAnsi" w:hAnsiTheme="minorHAnsi"/>
          <w:i/>
          <w:sz w:val="22"/>
          <w:szCs w:val="22"/>
        </w:rPr>
      </w:pPr>
      <w:r w:rsidRPr="00AE15DA">
        <w:rPr>
          <w:rFonts w:asciiTheme="minorHAnsi" w:hAnsiTheme="minorHAnsi"/>
          <w:i/>
          <w:sz w:val="22"/>
          <w:szCs w:val="22"/>
        </w:rPr>
        <w:t>*</w:t>
      </w:r>
      <w:r w:rsidR="00BF2F0F" w:rsidRPr="00BF2F0F">
        <w:t xml:space="preserve"> </w:t>
      </w:r>
      <w:r w:rsidR="00BF2F0F" w:rsidRPr="00BF2F0F">
        <w:rPr>
          <w:rFonts w:asciiTheme="minorHAnsi" w:hAnsiTheme="minorHAnsi"/>
          <w:i/>
          <w:sz w:val="22"/>
          <w:szCs w:val="22"/>
        </w:rPr>
        <w:t xml:space="preserve">Krótko działające benzodiazepiny można stosować ostrożnie i przez krótki czas (&lt;4 tygodnie) we wskazaniach klinicznych </w:t>
      </w:r>
      <w:proofErr w:type="gramStart"/>
      <w:r w:rsidR="00BF2F0F" w:rsidRPr="00BF2F0F">
        <w:rPr>
          <w:rFonts w:asciiTheme="minorHAnsi" w:hAnsiTheme="minorHAnsi"/>
          <w:i/>
          <w:sz w:val="22"/>
          <w:szCs w:val="22"/>
        </w:rPr>
        <w:t>(</w:t>
      </w:r>
      <w:proofErr w:type="gramEnd"/>
      <w:r w:rsidR="00BF2F0F" w:rsidRPr="00BF2F0F">
        <w:rPr>
          <w:rFonts w:asciiTheme="minorHAnsi" w:hAnsiTheme="minorHAnsi"/>
          <w:i/>
          <w:sz w:val="22"/>
          <w:szCs w:val="22"/>
        </w:rPr>
        <w:t>np. lorazepam może być podawany w stanach pobu</w:t>
      </w:r>
      <w:r w:rsidR="00BF2F0F">
        <w:rPr>
          <w:rFonts w:asciiTheme="minorHAnsi" w:hAnsiTheme="minorHAnsi"/>
          <w:i/>
          <w:sz w:val="22"/>
          <w:szCs w:val="22"/>
        </w:rPr>
        <w:t>dzenia związanego z otępieniem</w:t>
      </w:r>
      <w:proofErr w:type="gramStart"/>
      <w:r w:rsidR="00BF2F0F">
        <w:rPr>
          <w:rFonts w:asciiTheme="minorHAnsi" w:hAnsiTheme="minorHAnsi"/>
          <w:i/>
          <w:sz w:val="22"/>
          <w:szCs w:val="22"/>
        </w:rPr>
        <w:t>)</w:t>
      </w:r>
      <w:proofErr w:type="gramEnd"/>
      <w:r w:rsidR="00B3469F" w:rsidRPr="00AE15DA">
        <w:rPr>
          <w:rFonts w:asciiTheme="minorHAnsi" w:hAnsiTheme="minorHAnsi"/>
          <w:i/>
          <w:sz w:val="22"/>
          <w:szCs w:val="22"/>
        </w:rPr>
        <w:t xml:space="preserve">. </w:t>
      </w:r>
    </w:p>
    <w:p w:rsidR="00B3469F" w:rsidRPr="00AE15DA" w:rsidRDefault="00562C85" w:rsidP="0043334F">
      <w:pPr>
        <w:contextualSpacing/>
        <w:jc w:val="both"/>
        <w:rPr>
          <w:rFonts w:asciiTheme="minorHAnsi" w:hAnsiTheme="minorHAnsi"/>
          <w:i/>
          <w:sz w:val="22"/>
          <w:szCs w:val="22"/>
        </w:rPr>
      </w:pPr>
      <w:r w:rsidRPr="00AE15DA">
        <w:rPr>
          <w:rFonts w:asciiTheme="minorHAnsi" w:hAnsiTheme="minorHAnsi"/>
          <w:i/>
          <w:sz w:val="22"/>
          <w:szCs w:val="22"/>
        </w:rPr>
        <w:t>*</w:t>
      </w:r>
      <w:r w:rsidR="00BF2F0F" w:rsidRPr="00BF2F0F">
        <w:rPr>
          <w:rFonts w:asciiTheme="minorHAnsi" w:hAnsiTheme="minorHAnsi"/>
          <w:i/>
          <w:sz w:val="22"/>
          <w:szCs w:val="22"/>
        </w:rPr>
        <w:t>U wybranych pacjentów klonazepam, długo działającą benzodiazepinę, można podać w przypadku zaburzeń zachowania w fazie REM, których nie można kontrolować innymi lekami, ale w tym przypadku należy śc</w:t>
      </w:r>
      <w:r w:rsidR="00BF2F0F">
        <w:rPr>
          <w:rFonts w:asciiTheme="minorHAnsi" w:hAnsiTheme="minorHAnsi"/>
          <w:i/>
          <w:sz w:val="22"/>
          <w:szCs w:val="22"/>
        </w:rPr>
        <w:t>iśle monitorować stan kliniczny</w:t>
      </w:r>
      <w:r w:rsidR="00B3469F" w:rsidRPr="00AE15DA">
        <w:rPr>
          <w:rFonts w:asciiTheme="minorHAnsi" w:hAnsiTheme="minorHAnsi"/>
          <w:i/>
          <w:sz w:val="22"/>
          <w:szCs w:val="22"/>
        </w:rPr>
        <w:t xml:space="preserve">.  </w:t>
      </w:r>
    </w:p>
    <w:p w:rsidR="00B3469F" w:rsidRPr="00AE15DA" w:rsidRDefault="00B3469F" w:rsidP="0043334F">
      <w:pPr>
        <w:contextualSpacing/>
        <w:jc w:val="both"/>
        <w:rPr>
          <w:rFonts w:asciiTheme="minorHAnsi" w:hAnsiTheme="minorHAnsi"/>
          <w:i/>
          <w:sz w:val="22"/>
          <w:szCs w:val="22"/>
        </w:rPr>
      </w:pPr>
      <w:r w:rsidRPr="00AE15DA">
        <w:rPr>
          <w:rFonts w:asciiTheme="minorHAnsi" w:hAnsiTheme="minorHAnsi"/>
          <w:i/>
          <w:sz w:val="22"/>
          <w:szCs w:val="22"/>
        </w:rPr>
        <w:t>*</w:t>
      </w:r>
      <w:r w:rsidR="00BF2F0F" w:rsidRPr="00BF2F0F">
        <w:rPr>
          <w:rFonts w:asciiTheme="minorHAnsi" w:hAnsiTheme="minorHAnsi"/>
          <w:i/>
          <w:sz w:val="22"/>
          <w:szCs w:val="22"/>
        </w:rPr>
        <w:t>Wszystkie benzodiazepiny stosowane przez 2 tygodnie lub dłużej należy odstawiać stopniowo, a nie nagle, aby nie spowodować „zes</w:t>
      </w:r>
      <w:r w:rsidR="00BF2F0F">
        <w:rPr>
          <w:rFonts w:asciiTheme="minorHAnsi" w:hAnsiTheme="minorHAnsi"/>
          <w:i/>
          <w:sz w:val="22"/>
          <w:szCs w:val="22"/>
        </w:rPr>
        <w:t>połu odstawienia benzodiazepin”</w:t>
      </w:r>
      <w:r w:rsidRPr="00AE15DA">
        <w:rPr>
          <w:rFonts w:asciiTheme="minorHAnsi" w:hAnsiTheme="minorHAnsi"/>
          <w:i/>
          <w:sz w:val="22"/>
          <w:szCs w:val="22"/>
        </w:rPr>
        <w:t>.</w:t>
      </w:r>
    </w:p>
    <w:p w:rsidR="008B50F1" w:rsidRPr="00AE15DA" w:rsidRDefault="008B50F1" w:rsidP="0043334F">
      <w:pPr>
        <w:contextualSpacing/>
        <w:jc w:val="both"/>
        <w:rPr>
          <w:rFonts w:asciiTheme="minorHAnsi" w:hAnsiTheme="minorHAnsi"/>
          <w:i/>
          <w:sz w:val="22"/>
          <w:szCs w:val="22"/>
        </w:rPr>
      </w:pPr>
    </w:p>
    <w:p w:rsidR="00C846A1" w:rsidRPr="00AE15DA" w:rsidRDefault="00C846A1" w:rsidP="0043334F">
      <w:pPr>
        <w:contextualSpacing/>
        <w:jc w:val="both"/>
        <w:rPr>
          <w:rFonts w:asciiTheme="minorHAnsi" w:hAnsiTheme="minorHAnsi" w:cstheme="minorHAnsi"/>
          <w:sz w:val="22"/>
          <w:szCs w:val="22"/>
          <w:lang w:eastAsia="en-GB"/>
        </w:rPr>
      </w:pPr>
    </w:p>
    <w:p w:rsidR="00C846A1" w:rsidRPr="00AE15DA" w:rsidRDefault="00B835E2"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B1</w:t>
      </w:r>
      <w:r w:rsidR="0058769E" w:rsidRPr="00AE15DA">
        <w:rPr>
          <w:rFonts w:asciiTheme="minorHAnsi" w:hAnsiTheme="minorHAnsi"/>
          <w:b/>
          <w:sz w:val="22"/>
          <w:szCs w:val="22"/>
        </w:rPr>
        <w:t>5</w:t>
      </w:r>
      <w:r w:rsidRPr="00AE15DA">
        <w:rPr>
          <w:rFonts w:asciiTheme="minorHAnsi" w:hAnsiTheme="minorHAnsi"/>
          <w:b/>
          <w:sz w:val="22"/>
          <w:szCs w:val="22"/>
        </w:rPr>
        <w:t>.</w:t>
      </w:r>
      <w:r w:rsidR="00E60D55" w:rsidRPr="00AE15DA">
        <w:rPr>
          <w:rFonts w:asciiTheme="minorHAnsi" w:hAnsiTheme="minorHAnsi"/>
          <w:b/>
          <w:sz w:val="22"/>
          <w:szCs w:val="22"/>
        </w:rPr>
        <w:t xml:space="preserve"> </w:t>
      </w:r>
      <w:r w:rsidR="00BF2F0F" w:rsidRPr="00BF2F0F">
        <w:rPr>
          <w:rFonts w:asciiTheme="minorHAnsi" w:hAnsiTheme="minorHAnsi"/>
          <w:b/>
          <w:sz w:val="22"/>
          <w:szCs w:val="22"/>
        </w:rPr>
        <w:t>Benzodiazepiny nie nadają się do stosowania w ostrej i przewlekłej niewydolności oddechowej (PO2&lt;60 mmHg i/lub PCO2&gt;50 mmHg) (zwiększone r</w:t>
      </w:r>
      <w:r w:rsidR="00BF2F0F">
        <w:rPr>
          <w:rFonts w:asciiTheme="minorHAnsi" w:hAnsiTheme="minorHAnsi"/>
          <w:b/>
          <w:sz w:val="22"/>
          <w:szCs w:val="22"/>
        </w:rPr>
        <w:t>yzyko niewydolności oddechowej)</w:t>
      </w:r>
    </w:p>
    <w:p w:rsidR="00EE065C" w:rsidRPr="00AE15DA" w:rsidRDefault="00EE065C" w:rsidP="0043334F">
      <w:pPr>
        <w:spacing w:before="100" w:beforeAutospacing="1" w:after="100" w:afterAutospacing="1"/>
        <w:contextualSpacing/>
        <w:jc w:val="both"/>
        <w:rPr>
          <w:rFonts w:asciiTheme="minorHAnsi" w:hAnsiTheme="minorHAnsi"/>
          <w:b/>
          <w:sz w:val="22"/>
          <w:szCs w:val="22"/>
        </w:rPr>
      </w:pPr>
    </w:p>
    <w:p w:rsidR="006C24B0" w:rsidRPr="00AE15DA" w:rsidRDefault="006C24B0" w:rsidP="0043334F">
      <w:pPr>
        <w:spacing w:before="100" w:beforeAutospacing="1"/>
        <w:contextualSpacing/>
        <w:jc w:val="both"/>
        <w:rPr>
          <w:rFonts w:asciiTheme="minorHAnsi" w:hAnsiTheme="minorHAnsi"/>
          <w:b/>
          <w:sz w:val="22"/>
          <w:szCs w:val="22"/>
          <w:vertAlign w:val="superscript"/>
        </w:rPr>
      </w:pPr>
      <w:r w:rsidRPr="00AE15DA">
        <w:rPr>
          <w:rFonts w:asciiTheme="minorHAnsi" w:hAnsiTheme="minorHAnsi"/>
          <w:b/>
          <w:sz w:val="22"/>
          <w:szCs w:val="22"/>
        </w:rPr>
        <w:t>B1</w:t>
      </w:r>
      <w:r w:rsidR="0058769E" w:rsidRPr="00AE15DA">
        <w:rPr>
          <w:rFonts w:asciiTheme="minorHAnsi" w:hAnsiTheme="minorHAnsi"/>
          <w:b/>
          <w:sz w:val="22"/>
          <w:szCs w:val="22"/>
        </w:rPr>
        <w:t>6</w:t>
      </w:r>
      <w:r w:rsidRPr="00AE15DA">
        <w:rPr>
          <w:rFonts w:asciiTheme="minorHAnsi" w:hAnsiTheme="minorHAnsi"/>
          <w:b/>
          <w:sz w:val="22"/>
          <w:szCs w:val="22"/>
        </w:rPr>
        <w:t xml:space="preserve">. </w:t>
      </w:r>
      <w:r w:rsidR="00BF2F0F" w:rsidRPr="00BF2F0F">
        <w:rPr>
          <w:rFonts w:asciiTheme="minorHAnsi" w:hAnsiTheme="minorHAnsi"/>
          <w:b/>
          <w:sz w:val="22"/>
          <w:szCs w:val="22"/>
        </w:rPr>
        <w:t>ChEi nie nadaje się do stosowania u pacjentów z uporczywą bradykardią (&lt;50/min), blokiem serca drugiego lub trzeciego stopnia lub omdleniami o niewyjaśnionej przyczynie, pacjentów z wydłużonym odstępem QTc (&gt;470 ms u kobiet, &gt;450 ms u mężczyzn) (wady przewodnictwa w sercu, omdlenie, ryzyko kontuzji)</w:t>
      </w:r>
      <w:r w:rsidRPr="00AE15DA">
        <w:rPr>
          <w:rFonts w:asciiTheme="minorHAnsi" w:hAnsiTheme="minorHAnsi"/>
          <w:b/>
          <w:sz w:val="22"/>
          <w:szCs w:val="22"/>
        </w:rPr>
        <w:t xml:space="preserve"> </w:t>
      </w:r>
    </w:p>
    <w:p w:rsidR="00D43767" w:rsidRPr="00AE15DA" w:rsidRDefault="006C24B0" w:rsidP="0043334F">
      <w:pPr>
        <w:contextualSpacing/>
        <w:jc w:val="both"/>
        <w:rPr>
          <w:rFonts w:asciiTheme="minorHAnsi" w:hAnsiTheme="minorHAnsi"/>
          <w:i/>
          <w:sz w:val="22"/>
          <w:szCs w:val="22"/>
        </w:rPr>
      </w:pPr>
      <w:r w:rsidRPr="00AE15DA">
        <w:rPr>
          <w:rFonts w:asciiTheme="minorHAnsi" w:hAnsiTheme="minorHAnsi"/>
          <w:i/>
          <w:sz w:val="22"/>
          <w:szCs w:val="22"/>
        </w:rPr>
        <w:lastRenderedPageBreak/>
        <w:t>*</w:t>
      </w:r>
      <w:r w:rsidR="007B3E76" w:rsidRPr="007B3E76">
        <w:t xml:space="preserve"> </w:t>
      </w:r>
      <w:r w:rsidR="007B3E76" w:rsidRPr="007B3E76">
        <w:rPr>
          <w:rFonts w:asciiTheme="minorHAnsi" w:hAnsiTheme="minorHAnsi"/>
          <w:i/>
          <w:sz w:val="22"/>
          <w:szCs w:val="22"/>
        </w:rPr>
        <w:t>ChEi można rozpocząć u pacjentów z częstością akcji serca 50-60/min i bezobjawowych. Tętno i objawy należy sprawdzić 1 tydzień po rozpoczęciu</w:t>
      </w:r>
      <w:r w:rsidR="007B3E76">
        <w:rPr>
          <w:rFonts w:asciiTheme="minorHAnsi" w:hAnsiTheme="minorHAnsi"/>
          <w:i/>
          <w:sz w:val="22"/>
          <w:szCs w:val="22"/>
        </w:rPr>
        <w:t xml:space="preserve"> leczenia lub zwiększeniu dawki</w:t>
      </w:r>
      <w:r w:rsidR="007A7469" w:rsidRPr="00AE15DA">
        <w:rPr>
          <w:rFonts w:asciiTheme="minorHAnsi" w:hAnsiTheme="minorHAnsi"/>
          <w:i/>
          <w:sz w:val="22"/>
          <w:szCs w:val="22"/>
        </w:rPr>
        <w:t xml:space="preserve">. </w:t>
      </w:r>
    </w:p>
    <w:p w:rsidR="007A7469" w:rsidRPr="00AE15DA" w:rsidRDefault="00D43767" w:rsidP="0043334F">
      <w:pPr>
        <w:contextualSpacing/>
        <w:jc w:val="both"/>
        <w:rPr>
          <w:rFonts w:asciiTheme="minorHAnsi" w:hAnsiTheme="minorHAnsi"/>
          <w:i/>
          <w:sz w:val="22"/>
          <w:szCs w:val="22"/>
        </w:rPr>
      </w:pPr>
      <w:r w:rsidRPr="00AE15DA">
        <w:rPr>
          <w:rFonts w:asciiTheme="minorHAnsi" w:hAnsiTheme="minorHAnsi"/>
          <w:i/>
          <w:sz w:val="22"/>
          <w:szCs w:val="22"/>
        </w:rPr>
        <w:t>*</w:t>
      </w:r>
      <w:r w:rsidR="00F66C5E" w:rsidRPr="00F66C5E">
        <w:t xml:space="preserve"> </w:t>
      </w:r>
      <w:r w:rsidR="00F66C5E" w:rsidRPr="00F66C5E">
        <w:rPr>
          <w:rFonts w:asciiTheme="minorHAnsi" w:hAnsiTheme="minorHAnsi"/>
          <w:i/>
          <w:sz w:val="22"/>
          <w:szCs w:val="22"/>
        </w:rPr>
        <w:t>Można go stosować ostrożnie, jeśli tętno nie jest &lt; 50/min i nie występują objawy u osób otrzymujących jednocześnie leki ograniczające częstość. ChEi należy stosować ostrożnie u pacjentów z LBBB lub AF, a p</w:t>
      </w:r>
      <w:r w:rsidR="00F66C5E">
        <w:rPr>
          <w:rFonts w:asciiTheme="minorHAnsi" w:hAnsiTheme="minorHAnsi"/>
          <w:i/>
          <w:sz w:val="22"/>
          <w:szCs w:val="22"/>
        </w:rPr>
        <w:t>acjenci powinni być obserwowani</w:t>
      </w:r>
      <w:r w:rsidR="007A7469" w:rsidRPr="00AE15DA">
        <w:rPr>
          <w:rFonts w:asciiTheme="minorHAnsi" w:hAnsiTheme="minorHAnsi"/>
          <w:i/>
          <w:sz w:val="22"/>
          <w:szCs w:val="22"/>
        </w:rPr>
        <w:t xml:space="preserve">. </w:t>
      </w:r>
    </w:p>
    <w:p w:rsidR="00B3469F" w:rsidRPr="00AE15DA" w:rsidRDefault="00B3469F" w:rsidP="0043334F">
      <w:pPr>
        <w:contextualSpacing/>
        <w:jc w:val="both"/>
        <w:rPr>
          <w:rFonts w:asciiTheme="minorHAnsi" w:hAnsiTheme="minorHAnsi"/>
          <w:i/>
          <w:sz w:val="22"/>
          <w:szCs w:val="22"/>
        </w:rPr>
      </w:pPr>
      <w:r w:rsidRPr="00AE15DA">
        <w:rPr>
          <w:rFonts w:asciiTheme="minorHAnsi" w:hAnsiTheme="minorHAnsi"/>
          <w:i/>
          <w:sz w:val="22"/>
          <w:szCs w:val="22"/>
        </w:rPr>
        <w:t>*</w:t>
      </w:r>
      <w:r w:rsidR="00F66C5E" w:rsidRPr="00F66C5E">
        <w:t xml:space="preserve"> </w:t>
      </w:r>
      <w:r w:rsidR="00F66C5E" w:rsidRPr="00F66C5E">
        <w:rPr>
          <w:rFonts w:asciiTheme="minorHAnsi" w:hAnsiTheme="minorHAnsi"/>
          <w:i/>
          <w:sz w:val="22"/>
          <w:szCs w:val="22"/>
        </w:rPr>
        <w:t xml:space="preserve">ChEi należy stosować ostrożnie u pacjentów z </w:t>
      </w:r>
      <w:r w:rsidR="00F66C5E">
        <w:rPr>
          <w:rFonts w:asciiTheme="minorHAnsi" w:hAnsiTheme="minorHAnsi"/>
          <w:i/>
          <w:sz w:val="22"/>
          <w:szCs w:val="22"/>
        </w:rPr>
        <w:t>KOAH</w:t>
      </w:r>
      <w:r w:rsidR="00F66C5E" w:rsidRPr="00F66C5E">
        <w:rPr>
          <w:rFonts w:asciiTheme="minorHAnsi" w:hAnsiTheme="minorHAnsi"/>
          <w:i/>
          <w:sz w:val="22"/>
          <w:szCs w:val="22"/>
        </w:rPr>
        <w:t xml:space="preserve"> lub astmą. Może nasilać skurcz o</w:t>
      </w:r>
      <w:r w:rsidR="00F66C5E">
        <w:rPr>
          <w:rFonts w:asciiTheme="minorHAnsi" w:hAnsiTheme="minorHAnsi"/>
          <w:i/>
          <w:sz w:val="22"/>
          <w:szCs w:val="22"/>
        </w:rPr>
        <w:t>skrzeli, należy go przestrzegać</w:t>
      </w:r>
      <w:r w:rsidRPr="00AE15DA">
        <w:rPr>
          <w:rFonts w:asciiTheme="minorHAnsi" w:hAnsiTheme="minorHAnsi"/>
          <w:i/>
          <w:sz w:val="22"/>
          <w:szCs w:val="22"/>
        </w:rPr>
        <w:t>.</w:t>
      </w:r>
      <w:r w:rsidR="00AD4496" w:rsidRPr="00AE15DA">
        <w:rPr>
          <w:rFonts w:asciiTheme="minorHAnsi" w:hAnsiTheme="minorHAnsi"/>
          <w:i/>
          <w:sz w:val="22"/>
          <w:szCs w:val="22"/>
        </w:rPr>
        <w:t xml:space="preserve"> </w:t>
      </w:r>
    </w:p>
    <w:p w:rsidR="00D43767" w:rsidRPr="00AE15DA" w:rsidRDefault="00B3469F" w:rsidP="0043334F">
      <w:pPr>
        <w:pStyle w:val="HTMLncedenBiimlendirilmi"/>
        <w:contextualSpacing/>
        <w:jc w:val="both"/>
        <w:rPr>
          <w:rFonts w:asciiTheme="minorHAnsi" w:hAnsiTheme="minorHAnsi" w:cs="Times New Roman"/>
          <w:i/>
          <w:sz w:val="22"/>
          <w:szCs w:val="22"/>
        </w:rPr>
      </w:pPr>
      <w:r w:rsidRPr="00AE15DA">
        <w:rPr>
          <w:rFonts w:asciiTheme="minorHAnsi" w:hAnsiTheme="minorHAnsi" w:cs="Times New Roman"/>
          <w:i/>
          <w:sz w:val="22"/>
          <w:szCs w:val="22"/>
        </w:rPr>
        <w:t>*</w:t>
      </w:r>
      <w:r w:rsidR="00F66C5E" w:rsidRPr="00F66C5E">
        <w:t xml:space="preserve"> </w:t>
      </w:r>
      <w:r w:rsidR="00F66C5E" w:rsidRPr="00F66C5E">
        <w:rPr>
          <w:rFonts w:asciiTheme="minorHAnsi" w:hAnsiTheme="minorHAnsi" w:cs="Times New Roman"/>
          <w:i/>
          <w:sz w:val="22"/>
          <w:szCs w:val="22"/>
        </w:rPr>
        <w:t>ChEi należy stosować ostrożnie u pacjentów z chorobą wrzodową żołądka w wywiadzie oraz stosujących niesteroidowe leki przeciwzapalne. Pacjenci ci powinni być obserwowani pod kątem kr</w:t>
      </w:r>
      <w:r w:rsidR="00F66C5E">
        <w:rPr>
          <w:rFonts w:asciiTheme="minorHAnsi" w:hAnsiTheme="minorHAnsi" w:cs="Times New Roman"/>
          <w:i/>
          <w:sz w:val="22"/>
          <w:szCs w:val="22"/>
        </w:rPr>
        <w:t>wawienia z przewodu pokarmowego</w:t>
      </w:r>
      <w:r w:rsidRPr="00AE15DA">
        <w:rPr>
          <w:rFonts w:asciiTheme="minorHAnsi" w:hAnsiTheme="minorHAnsi" w:cs="Times New Roman"/>
          <w:i/>
          <w:sz w:val="22"/>
          <w:szCs w:val="22"/>
        </w:rPr>
        <w:t>.</w:t>
      </w:r>
    </w:p>
    <w:p w:rsidR="001B712D" w:rsidRPr="00AE15DA" w:rsidRDefault="001B712D" w:rsidP="0043334F">
      <w:pPr>
        <w:pStyle w:val="HTMLncedenBiimlendirilmi"/>
        <w:contextualSpacing/>
        <w:jc w:val="both"/>
        <w:rPr>
          <w:rFonts w:asciiTheme="minorHAnsi" w:hAnsiTheme="minorHAnsi" w:cstheme="minorHAnsi"/>
          <w:sz w:val="22"/>
          <w:szCs w:val="22"/>
        </w:rPr>
      </w:pPr>
    </w:p>
    <w:p w:rsidR="001B712D" w:rsidRPr="00F66C5E" w:rsidRDefault="006C24B0" w:rsidP="00F66C5E">
      <w:pPr>
        <w:pStyle w:val="HTMLncedenBiimlendirilmi"/>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Pr>
        <w:t>B1</w:t>
      </w:r>
      <w:r w:rsidR="0058769E" w:rsidRPr="00AE15DA">
        <w:rPr>
          <w:rFonts w:asciiTheme="minorHAnsi" w:hAnsiTheme="minorHAnsi"/>
          <w:b/>
          <w:sz w:val="22"/>
          <w:szCs w:val="22"/>
        </w:rPr>
        <w:t>7</w:t>
      </w:r>
      <w:r w:rsidRPr="00AE15DA">
        <w:rPr>
          <w:rFonts w:asciiTheme="minorHAnsi" w:hAnsiTheme="minorHAnsi"/>
          <w:b/>
          <w:sz w:val="22"/>
          <w:szCs w:val="22"/>
        </w:rPr>
        <w:t xml:space="preserve">. </w:t>
      </w:r>
      <w:r w:rsidR="00F66C5E" w:rsidRPr="00F66C5E">
        <w:rPr>
          <w:rFonts w:asciiTheme="minorHAnsi" w:hAnsiTheme="minorHAnsi"/>
          <w:b/>
          <w:sz w:val="22"/>
          <w:szCs w:val="22"/>
        </w:rPr>
        <w:t>Stosowanie lewodopy lub agonistów dopaminy nie nadaje się do leczenia drżenia samoistnego (brak udowodnionej skuteczności)</w:t>
      </w:r>
      <w:r w:rsidRPr="00AE15DA">
        <w:rPr>
          <w:rFonts w:asciiTheme="minorHAnsi" w:hAnsiTheme="minorHAnsi"/>
          <w:b/>
          <w:sz w:val="22"/>
          <w:szCs w:val="22"/>
        </w:rPr>
        <w:t xml:space="preserve"> </w:t>
      </w:r>
    </w:p>
    <w:p w:rsidR="001B712D" w:rsidRPr="00AE15DA" w:rsidRDefault="006C24B0" w:rsidP="0043334F">
      <w:pPr>
        <w:spacing w:before="100" w:beforeAutospacing="1" w:after="100" w:afterAutospacing="1"/>
        <w:contextualSpacing/>
        <w:jc w:val="both"/>
        <w:rPr>
          <w:rFonts w:asciiTheme="minorHAnsi" w:hAnsiTheme="minorHAnsi"/>
          <w:b/>
          <w:color w:val="000000" w:themeColor="text1"/>
          <w:sz w:val="22"/>
          <w:szCs w:val="22"/>
        </w:rPr>
      </w:pPr>
      <w:r w:rsidRPr="00AE15DA">
        <w:rPr>
          <w:rFonts w:asciiTheme="minorHAnsi" w:hAnsiTheme="minorHAnsi"/>
          <w:b/>
          <w:color w:val="000000"/>
          <w:sz w:val="22"/>
          <w:szCs w:val="22"/>
        </w:rPr>
        <w:t>B1</w:t>
      </w:r>
      <w:r w:rsidR="0058769E" w:rsidRPr="00AE15DA">
        <w:rPr>
          <w:rFonts w:asciiTheme="minorHAnsi" w:hAnsiTheme="minorHAnsi"/>
          <w:b/>
          <w:color w:val="000000"/>
          <w:sz w:val="22"/>
          <w:szCs w:val="22"/>
        </w:rPr>
        <w:t>8</w:t>
      </w:r>
      <w:r w:rsidRPr="00AE15DA">
        <w:rPr>
          <w:rFonts w:asciiTheme="minorHAnsi" w:hAnsiTheme="minorHAnsi"/>
          <w:b/>
          <w:color w:val="000000"/>
          <w:sz w:val="22"/>
          <w:szCs w:val="22"/>
        </w:rPr>
        <w:t xml:space="preserve">. </w:t>
      </w:r>
      <w:r w:rsidR="008A4458" w:rsidRPr="008A4458">
        <w:rPr>
          <w:rFonts w:asciiTheme="minorHAnsi" w:hAnsiTheme="minorHAnsi"/>
          <w:b/>
          <w:color w:val="000000"/>
          <w:sz w:val="22"/>
          <w:szCs w:val="22"/>
        </w:rPr>
        <w:t>Ciągłe i długotrwałe stosowanie leków, takich jak betahistyna, trimetazydyna, dimenhydrynat, nie jest właściwe w leczeniu zawrotów głowy (brak korzystnych efektów opartych na dowodach)</w:t>
      </w:r>
      <w:r w:rsidRPr="00AE15DA">
        <w:rPr>
          <w:rFonts w:asciiTheme="minorHAnsi" w:hAnsiTheme="minorHAnsi"/>
          <w:b/>
          <w:color w:val="000000" w:themeColor="text1"/>
          <w:sz w:val="22"/>
          <w:szCs w:val="22"/>
        </w:rPr>
        <w:t xml:space="preserve"> </w:t>
      </w:r>
    </w:p>
    <w:p w:rsidR="001B712D" w:rsidRPr="00AE15DA" w:rsidRDefault="001B712D" w:rsidP="0043334F">
      <w:pPr>
        <w:spacing w:before="100" w:beforeAutospacing="1" w:after="100" w:afterAutospacing="1"/>
        <w:contextualSpacing/>
        <w:jc w:val="both"/>
        <w:rPr>
          <w:rFonts w:asciiTheme="minorHAnsi" w:hAnsiTheme="minorHAnsi" w:cstheme="minorHAnsi"/>
          <w:color w:val="000000"/>
          <w:sz w:val="22"/>
          <w:szCs w:val="22"/>
        </w:rPr>
      </w:pPr>
    </w:p>
    <w:p w:rsidR="006C24B0" w:rsidRPr="00AE15DA" w:rsidRDefault="00E66E29" w:rsidP="0043334F">
      <w:pPr>
        <w:spacing w:before="100" w:beforeAutospacing="1" w:after="100" w:afterAutospacing="1"/>
        <w:contextualSpacing/>
        <w:jc w:val="both"/>
        <w:rPr>
          <w:rFonts w:asciiTheme="minorHAnsi" w:hAnsiTheme="minorHAnsi" w:cstheme="minorHAnsi"/>
          <w:color w:val="000000"/>
          <w:sz w:val="22"/>
          <w:szCs w:val="22"/>
        </w:rPr>
      </w:pPr>
      <w:r>
        <w:rPr>
          <w:rFonts w:ascii="Calibri" w:hAnsi="Calibri" w:cs="Calibri"/>
          <w:b/>
          <w:sz w:val="22"/>
          <w:szCs w:val="22"/>
        </w:rPr>
        <w:t>#</w:t>
      </w:r>
      <w:r w:rsidR="006C24B0" w:rsidRPr="00AE15DA">
        <w:rPr>
          <w:rFonts w:asciiTheme="minorHAnsi" w:hAnsiTheme="minorHAnsi"/>
          <w:b/>
          <w:sz w:val="22"/>
          <w:szCs w:val="22"/>
        </w:rPr>
        <w:t>B1</w:t>
      </w:r>
      <w:r w:rsidR="0058769E" w:rsidRPr="00AE15DA">
        <w:rPr>
          <w:rFonts w:asciiTheme="minorHAnsi" w:hAnsiTheme="minorHAnsi"/>
          <w:b/>
          <w:sz w:val="22"/>
          <w:szCs w:val="22"/>
        </w:rPr>
        <w:t>9</w:t>
      </w:r>
      <w:r w:rsidR="006C24B0" w:rsidRPr="00AE15DA">
        <w:rPr>
          <w:rFonts w:asciiTheme="minorHAnsi" w:hAnsiTheme="minorHAnsi"/>
          <w:b/>
          <w:sz w:val="22"/>
          <w:szCs w:val="22"/>
        </w:rPr>
        <w:t xml:space="preserve">. </w:t>
      </w:r>
      <w:r w:rsidR="008A4458" w:rsidRPr="008A4458">
        <w:rPr>
          <w:rFonts w:asciiTheme="minorHAnsi" w:hAnsiTheme="minorHAnsi"/>
          <w:b/>
          <w:sz w:val="22"/>
          <w:szCs w:val="22"/>
        </w:rPr>
        <w:t>Cynaryzyna nie nadaje się do stosowania (pozapiramidowe skutki u</w:t>
      </w:r>
      <w:r w:rsidR="008A4458">
        <w:rPr>
          <w:rFonts w:asciiTheme="minorHAnsi" w:hAnsiTheme="minorHAnsi"/>
          <w:b/>
          <w:sz w:val="22"/>
          <w:szCs w:val="22"/>
        </w:rPr>
        <w:t>boczne, ograniczona użyteczność)</w:t>
      </w:r>
      <w:r w:rsidR="006C24B0" w:rsidRPr="00AE15DA">
        <w:rPr>
          <w:rFonts w:asciiTheme="minorHAnsi" w:hAnsiTheme="minorHAnsi"/>
          <w:b/>
          <w:sz w:val="22"/>
          <w:szCs w:val="22"/>
        </w:rPr>
        <w:t xml:space="preserve"> </w:t>
      </w:r>
    </w:p>
    <w:p w:rsidR="00C846A1" w:rsidRPr="00AE15DA" w:rsidRDefault="00C846A1" w:rsidP="0043334F">
      <w:pPr>
        <w:spacing w:before="100" w:beforeAutospacing="1" w:after="100" w:afterAutospacing="1"/>
        <w:contextualSpacing/>
        <w:jc w:val="both"/>
        <w:rPr>
          <w:rFonts w:asciiTheme="minorHAnsi" w:hAnsiTheme="minorHAnsi" w:cstheme="minorHAnsi"/>
          <w:color w:val="000000"/>
          <w:sz w:val="22"/>
          <w:szCs w:val="22"/>
        </w:rPr>
      </w:pPr>
    </w:p>
    <w:p w:rsidR="00C846A1" w:rsidRPr="00AE15DA" w:rsidRDefault="005712F8"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B20. </w:t>
      </w:r>
      <w:r w:rsidR="008A4458" w:rsidRPr="008A4458">
        <w:rPr>
          <w:rFonts w:asciiTheme="minorHAnsi" w:hAnsiTheme="minorHAnsi"/>
          <w:b/>
          <w:color w:val="000000"/>
          <w:sz w:val="22"/>
          <w:szCs w:val="22"/>
        </w:rPr>
        <w:t>Piracetam nie nadaje się do stosowania z wyjątkiem leczenia drgawek mioklonicznych (ze względu na brak udowodnionej skuteczności klinicznej, obciążenie kosztami i potencjalne skutki uboczne)</w:t>
      </w:r>
    </w:p>
    <w:p w:rsidR="00C846A1" w:rsidRPr="00AE15DA" w:rsidRDefault="005712F8" w:rsidP="0043334F">
      <w:pPr>
        <w:spacing w:before="100" w:beforeAutospacing="1" w:after="100" w:afterAutospacing="1"/>
        <w:contextualSpacing/>
        <w:jc w:val="both"/>
        <w:rPr>
          <w:rFonts w:asciiTheme="minorHAnsi" w:hAnsiTheme="minorHAnsi"/>
          <w:i/>
          <w:color w:val="000000"/>
          <w:sz w:val="22"/>
          <w:szCs w:val="22"/>
        </w:rPr>
      </w:pPr>
      <w:r w:rsidRPr="00AE15DA">
        <w:rPr>
          <w:rFonts w:asciiTheme="minorHAnsi" w:hAnsiTheme="minorHAnsi"/>
          <w:i/>
          <w:color w:val="000000"/>
          <w:sz w:val="22"/>
          <w:szCs w:val="22"/>
        </w:rPr>
        <w:t>*</w:t>
      </w:r>
      <w:r w:rsidR="008A4458" w:rsidRPr="008A4458">
        <w:t xml:space="preserve"> </w:t>
      </w:r>
      <w:r w:rsidR="008A4458" w:rsidRPr="008A4458">
        <w:rPr>
          <w:rFonts w:asciiTheme="minorHAnsi" w:hAnsiTheme="minorHAnsi"/>
          <w:i/>
          <w:color w:val="000000"/>
          <w:sz w:val="22"/>
          <w:szCs w:val="22"/>
        </w:rPr>
        <w:t>Może być stosowany u pacjentów, u których uważa się, że leczenie piracetamem przynosi korzyści objawowe, biorąc pod</w:t>
      </w:r>
      <w:r w:rsidR="008A4458">
        <w:rPr>
          <w:rFonts w:asciiTheme="minorHAnsi" w:hAnsiTheme="minorHAnsi"/>
          <w:i/>
          <w:color w:val="000000"/>
          <w:sz w:val="22"/>
          <w:szCs w:val="22"/>
        </w:rPr>
        <w:t xml:space="preserve"> uwagę stosunek zysków do strat</w:t>
      </w:r>
      <w:r w:rsidRPr="00AE15DA">
        <w:rPr>
          <w:rFonts w:asciiTheme="minorHAnsi" w:hAnsiTheme="minorHAnsi"/>
          <w:i/>
          <w:color w:val="000000"/>
          <w:sz w:val="22"/>
          <w:szCs w:val="22"/>
        </w:rPr>
        <w:t>.</w:t>
      </w:r>
    </w:p>
    <w:p w:rsidR="002E0C44" w:rsidRPr="00AE15DA" w:rsidRDefault="005712F8" w:rsidP="0043334F">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i/>
          <w:color w:val="000000"/>
          <w:sz w:val="22"/>
          <w:szCs w:val="22"/>
        </w:rPr>
        <w:t>*</w:t>
      </w:r>
      <w:r w:rsidR="008A4458" w:rsidRPr="008A4458">
        <w:t xml:space="preserve"> </w:t>
      </w:r>
      <w:r w:rsidR="008A4458" w:rsidRPr="008A4458">
        <w:rPr>
          <w:rFonts w:asciiTheme="minorHAnsi" w:hAnsiTheme="minorHAnsi"/>
          <w:i/>
          <w:color w:val="000000"/>
          <w:sz w:val="22"/>
          <w:szCs w:val="22"/>
        </w:rPr>
        <w:t>Istnieją badania wykazujące, że piracetam może przynosić ograniczone korzyści w l</w:t>
      </w:r>
      <w:r w:rsidR="008A4458">
        <w:rPr>
          <w:rFonts w:asciiTheme="minorHAnsi" w:hAnsiTheme="minorHAnsi"/>
          <w:i/>
          <w:color w:val="000000"/>
          <w:sz w:val="22"/>
          <w:szCs w:val="22"/>
        </w:rPr>
        <w:t>eczeniu ostrej afazji po udarze</w:t>
      </w:r>
      <w:r w:rsidRPr="00AE15DA">
        <w:rPr>
          <w:rFonts w:asciiTheme="minorHAnsi" w:hAnsiTheme="minorHAnsi"/>
          <w:i/>
          <w:color w:val="000000"/>
          <w:sz w:val="22"/>
          <w:szCs w:val="22"/>
        </w:rPr>
        <w:t>.</w:t>
      </w:r>
    </w:p>
    <w:p w:rsidR="005D469F" w:rsidRPr="00AE15DA" w:rsidRDefault="005D469F" w:rsidP="0043334F">
      <w:pPr>
        <w:tabs>
          <w:tab w:val="left" w:pos="708"/>
        </w:tabs>
        <w:contextualSpacing/>
        <w:jc w:val="both"/>
        <w:rPr>
          <w:rFonts w:asciiTheme="minorHAnsi" w:hAnsiTheme="minorHAnsi" w:cstheme="minorHAnsi"/>
          <w:sz w:val="22"/>
          <w:szCs w:val="22"/>
        </w:rPr>
      </w:pPr>
    </w:p>
    <w:p w:rsidR="005D469F" w:rsidRPr="00AE15DA" w:rsidRDefault="005D469F" w:rsidP="0043334F">
      <w:pPr>
        <w:tabs>
          <w:tab w:val="left" w:pos="708"/>
        </w:tabs>
        <w:contextualSpacing/>
        <w:jc w:val="both"/>
        <w:rPr>
          <w:rFonts w:asciiTheme="minorHAnsi" w:hAnsiTheme="minorHAnsi" w:cstheme="minorHAnsi"/>
          <w:sz w:val="22"/>
          <w:szCs w:val="22"/>
        </w:rPr>
      </w:pPr>
    </w:p>
    <w:p w:rsidR="006C24B0" w:rsidRPr="00AE15DA" w:rsidRDefault="006C24B0" w:rsidP="0043334F">
      <w:pPr>
        <w:tabs>
          <w:tab w:val="left" w:pos="708"/>
        </w:tabs>
        <w:contextualSpacing/>
        <w:jc w:val="both"/>
        <w:rPr>
          <w:rFonts w:asciiTheme="minorHAnsi" w:hAnsiTheme="minorHAnsi" w:cstheme="minorHAnsi"/>
          <w:sz w:val="22"/>
          <w:szCs w:val="22"/>
        </w:rPr>
      </w:pPr>
      <w:r w:rsidRPr="00AE15DA">
        <w:rPr>
          <w:rFonts w:asciiTheme="minorHAnsi" w:hAnsiTheme="minorHAnsi"/>
          <w:b/>
          <w:color w:val="000000"/>
          <w:sz w:val="22"/>
          <w:szCs w:val="22"/>
        </w:rPr>
        <w:t>B2</w:t>
      </w:r>
      <w:r w:rsidR="0058769E" w:rsidRPr="00AE15DA">
        <w:rPr>
          <w:rFonts w:asciiTheme="minorHAnsi" w:hAnsiTheme="minorHAnsi"/>
          <w:b/>
          <w:color w:val="000000"/>
          <w:sz w:val="22"/>
          <w:szCs w:val="22"/>
        </w:rPr>
        <w:t>1</w:t>
      </w:r>
      <w:r w:rsidRPr="00AE15DA">
        <w:rPr>
          <w:rFonts w:asciiTheme="minorHAnsi" w:hAnsiTheme="minorHAnsi"/>
          <w:b/>
          <w:color w:val="000000"/>
          <w:sz w:val="22"/>
          <w:szCs w:val="22"/>
        </w:rPr>
        <w:t xml:space="preserve">. </w:t>
      </w:r>
      <w:r w:rsidR="008A4458" w:rsidRPr="008A4458">
        <w:rPr>
          <w:rFonts w:asciiTheme="minorHAnsi" w:hAnsiTheme="minorHAnsi"/>
          <w:b/>
          <w:color w:val="000000"/>
          <w:sz w:val="22"/>
          <w:szCs w:val="22"/>
        </w:rPr>
        <w:t>Stosowanie w pierwszej linii karbamazepiny, fenytoiny, fenobarbitalu lub walproinianu nie jest odpowiednie w przewlekłym leczeniu padaczki (ze względu na niekorzystny wpływ na witaminę D, indukcję enzymów, ryzyko upadku; istnieją również bezpieczniejsze alternatywy)</w:t>
      </w:r>
    </w:p>
    <w:p w:rsidR="00316C80" w:rsidRPr="00AE15DA" w:rsidRDefault="00316C80" w:rsidP="0043334F">
      <w:pPr>
        <w:contextualSpacing/>
        <w:jc w:val="both"/>
        <w:rPr>
          <w:rFonts w:asciiTheme="minorHAnsi" w:hAnsiTheme="minorHAnsi"/>
          <w:i/>
          <w:sz w:val="22"/>
          <w:szCs w:val="22"/>
        </w:rPr>
      </w:pPr>
      <w:r w:rsidRPr="00AE15DA">
        <w:rPr>
          <w:rFonts w:asciiTheme="minorHAnsi" w:hAnsiTheme="minorHAnsi"/>
          <w:i/>
          <w:sz w:val="22"/>
          <w:szCs w:val="22"/>
        </w:rPr>
        <w:t>*</w:t>
      </w:r>
      <w:r w:rsidR="008A4458" w:rsidRPr="008A4458">
        <w:t xml:space="preserve"> </w:t>
      </w:r>
      <w:r w:rsidR="008A4458" w:rsidRPr="008A4458">
        <w:rPr>
          <w:rFonts w:asciiTheme="minorHAnsi" w:hAnsiTheme="minorHAnsi"/>
          <w:i/>
          <w:sz w:val="22"/>
          <w:szCs w:val="22"/>
        </w:rPr>
        <w:t>Nowe leki, takie jak lewatyracetam, lamotrygina i gabapentyna, mogą być preferowane w leczeniu przewl</w:t>
      </w:r>
      <w:r w:rsidR="008A4458">
        <w:rPr>
          <w:rFonts w:asciiTheme="minorHAnsi" w:hAnsiTheme="minorHAnsi"/>
          <w:i/>
          <w:sz w:val="22"/>
          <w:szCs w:val="22"/>
        </w:rPr>
        <w:t>ekłej padaczki u osób starszych</w:t>
      </w:r>
      <w:r w:rsidR="00AD4496" w:rsidRPr="00AE15DA">
        <w:rPr>
          <w:rFonts w:asciiTheme="minorHAnsi" w:hAnsiTheme="minorHAnsi"/>
          <w:i/>
          <w:sz w:val="22"/>
          <w:szCs w:val="22"/>
        </w:rPr>
        <w:t>.</w:t>
      </w:r>
    </w:p>
    <w:p w:rsidR="00C846A1" w:rsidRPr="00AE15DA" w:rsidRDefault="00C846A1" w:rsidP="0043334F">
      <w:pPr>
        <w:tabs>
          <w:tab w:val="left" w:pos="708"/>
        </w:tabs>
        <w:contextualSpacing/>
        <w:rPr>
          <w:rFonts w:asciiTheme="minorHAnsi" w:hAnsiTheme="minorHAnsi" w:cstheme="minorHAnsi"/>
          <w:color w:val="000000" w:themeColor="text1"/>
          <w:sz w:val="22"/>
          <w:szCs w:val="22"/>
        </w:rPr>
      </w:pPr>
    </w:p>
    <w:p w:rsidR="00C846A1" w:rsidRPr="00AE15DA" w:rsidRDefault="00C846A1" w:rsidP="0043334F">
      <w:pPr>
        <w:tabs>
          <w:tab w:val="left" w:pos="708"/>
        </w:tabs>
        <w:contextualSpacing/>
        <w:rPr>
          <w:rFonts w:asciiTheme="minorHAnsi" w:hAnsiTheme="minorHAnsi" w:cstheme="minorHAnsi"/>
          <w:color w:val="000000" w:themeColor="text1"/>
          <w:sz w:val="22"/>
          <w:szCs w:val="22"/>
        </w:rPr>
      </w:pPr>
    </w:p>
    <w:p w:rsidR="00C846A1" w:rsidRPr="00AE15DA" w:rsidRDefault="006C24B0" w:rsidP="0043334F">
      <w:pPr>
        <w:tabs>
          <w:tab w:val="left" w:pos="708"/>
        </w:tabs>
        <w:contextualSpacing/>
        <w:rPr>
          <w:rFonts w:asciiTheme="minorHAnsi" w:hAnsiTheme="minorHAnsi"/>
          <w:b/>
          <w:color w:val="000000" w:themeColor="text1"/>
          <w:sz w:val="22"/>
          <w:szCs w:val="22"/>
        </w:rPr>
      </w:pPr>
      <w:r w:rsidRPr="00AE15DA">
        <w:rPr>
          <w:rFonts w:asciiTheme="minorHAnsi" w:hAnsiTheme="minorHAnsi"/>
          <w:b/>
          <w:color w:val="000000" w:themeColor="text1"/>
          <w:sz w:val="22"/>
          <w:szCs w:val="22"/>
        </w:rPr>
        <w:t>B2</w:t>
      </w:r>
      <w:r w:rsidR="0058769E" w:rsidRPr="00AE15DA">
        <w:rPr>
          <w:rFonts w:asciiTheme="minorHAnsi" w:hAnsiTheme="minorHAnsi"/>
          <w:b/>
          <w:color w:val="000000" w:themeColor="text1"/>
          <w:sz w:val="22"/>
          <w:szCs w:val="22"/>
        </w:rPr>
        <w:t>2</w:t>
      </w:r>
      <w:r w:rsidRPr="00AE15DA">
        <w:rPr>
          <w:rFonts w:asciiTheme="minorHAnsi" w:hAnsiTheme="minorHAnsi"/>
          <w:b/>
          <w:color w:val="000000" w:themeColor="text1"/>
          <w:sz w:val="22"/>
          <w:szCs w:val="22"/>
        </w:rPr>
        <w:t xml:space="preserve">. </w:t>
      </w:r>
      <w:r w:rsidR="008A4458" w:rsidRPr="008A4458">
        <w:rPr>
          <w:rFonts w:asciiTheme="minorHAnsi" w:hAnsiTheme="minorHAnsi"/>
          <w:b/>
          <w:color w:val="000000" w:themeColor="text1"/>
          <w:sz w:val="22"/>
          <w:szCs w:val="22"/>
        </w:rPr>
        <w:t>Tramadol, neuroleptyki/leki przeciwpsychotyczne (klozapina, olanzapina, chlorpromazyna, tiorydazyna), bupropion i maprotylina nie są odpow</w:t>
      </w:r>
      <w:r w:rsidR="008A4458">
        <w:rPr>
          <w:rFonts w:asciiTheme="minorHAnsi" w:hAnsiTheme="minorHAnsi"/>
          <w:b/>
          <w:color w:val="000000" w:themeColor="text1"/>
          <w:sz w:val="22"/>
          <w:szCs w:val="22"/>
        </w:rPr>
        <w:t>iednie dla pacjentów z padaczką</w:t>
      </w:r>
      <w:r w:rsidRPr="00AE15DA">
        <w:rPr>
          <w:rFonts w:asciiTheme="minorHAnsi" w:hAnsiTheme="minorHAnsi"/>
          <w:b/>
          <w:color w:val="000000" w:themeColor="text1"/>
          <w:sz w:val="22"/>
          <w:szCs w:val="22"/>
        </w:rPr>
        <w:t xml:space="preserve">. </w:t>
      </w:r>
    </w:p>
    <w:p w:rsidR="00C846A1" w:rsidRDefault="00C846A1" w:rsidP="0043334F">
      <w:pPr>
        <w:pStyle w:val="HTMLncedenBiimlendirilmi"/>
        <w:contextualSpacing/>
        <w:jc w:val="both"/>
        <w:rPr>
          <w:rFonts w:asciiTheme="minorHAnsi" w:hAnsiTheme="minorHAnsi" w:cstheme="minorHAnsi"/>
          <w:color w:val="000000"/>
          <w:sz w:val="22"/>
          <w:szCs w:val="22"/>
        </w:rPr>
      </w:pPr>
    </w:p>
    <w:p w:rsidR="00E85274" w:rsidRPr="00AE15DA" w:rsidRDefault="00E85274" w:rsidP="0043334F">
      <w:pPr>
        <w:pStyle w:val="HTMLncedenBiimlendirilmi"/>
        <w:contextualSpacing/>
        <w:jc w:val="both"/>
        <w:rPr>
          <w:rFonts w:asciiTheme="minorHAnsi" w:hAnsiTheme="minorHAnsi" w:cstheme="minorHAnsi"/>
          <w:color w:val="000000"/>
          <w:sz w:val="22"/>
          <w:szCs w:val="22"/>
        </w:rPr>
      </w:pPr>
    </w:p>
    <w:p w:rsidR="00EE065C" w:rsidRPr="00E85274" w:rsidRDefault="006C24B0" w:rsidP="00E85274">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B2</w:t>
      </w:r>
      <w:r w:rsidR="0058769E" w:rsidRPr="00AE15DA">
        <w:rPr>
          <w:rFonts w:asciiTheme="minorHAnsi" w:hAnsiTheme="minorHAnsi"/>
          <w:b/>
          <w:color w:val="000000"/>
          <w:sz w:val="22"/>
          <w:szCs w:val="22"/>
        </w:rPr>
        <w:t>3</w:t>
      </w:r>
      <w:r w:rsidRPr="00AE15DA">
        <w:rPr>
          <w:rFonts w:asciiTheme="minorHAnsi" w:hAnsiTheme="minorHAnsi"/>
          <w:b/>
          <w:color w:val="000000"/>
          <w:sz w:val="22"/>
          <w:szCs w:val="22"/>
        </w:rPr>
        <w:t xml:space="preserve">. </w:t>
      </w:r>
      <w:r w:rsidR="008A4458" w:rsidRPr="008A4458">
        <w:rPr>
          <w:rFonts w:asciiTheme="minorHAnsi" w:hAnsiTheme="minorHAnsi"/>
          <w:b/>
          <w:color w:val="000000"/>
          <w:sz w:val="22"/>
          <w:szCs w:val="22"/>
        </w:rPr>
        <w:t>Terapia przeciwpadaczkowa nie jest odpowiednia w profilaktyce napadów ze względu na występowanie udaru niedokrwiennego/krwotocznego u pacjenta, który nie miał wcześniej drgawek</w:t>
      </w:r>
    </w:p>
    <w:p w:rsidR="00C846A1" w:rsidRPr="00AE15DA" w:rsidRDefault="00260D35"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B2</w:t>
      </w:r>
      <w:r w:rsidR="0058769E" w:rsidRPr="00AE15DA">
        <w:rPr>
          <w:rFonts w:asciiTheme="minorHAnsi" w:hAnsiTheme="minorHAnsi"/>
          <w:b/>
          <w:sz w:val="22"/>
          <w:szCs w:val="22"/>
        </w:rPr>
        <w:t>4</w:t>
      </w:r>
      <w:r w:rsidR="00F412F2" w:rsidRPr="00AE15DA">
        <w:rPr>
          <w:rFonts w:asciiTheme="minorHAnsi" w:hAnsiTheme="minorHAnsi"/>
          <w:b/>
          <w:sz w:val="22"/>
          <w:szCs w:val="22"/>
        </w:rPr>
        <w:t xml:space="preserve">. </w:t>
      </w:r>
      <w:r w:rsidR="008A4458" w:rsidRPr="008A4458">
        <w:rPr>
          <w:rFonts w:asciiTheme="minorHAnsi" w:hAnsiTheme="minorHAnsi"/>
          <w:b/>
          <w:sz w:val="22"/>
          <w:szCs w:val="22"/>
        </w:rPr>
        <w:t>Stosowanie citalopramu w dawkach powyżej 20 mg/dobę i escitalopramu powyżej 10 mg/dobę u osób w podeszłym wieku nie jest właściwe (ze względu na ryzyko wydłużenia odstępu QTc)</w:t>
      </w:r>
    </w:p>
    <w:p w:rsidR="00C846A1" w:rsidRPr="00AE15DA" w:rsidRDefault="00C846A1" w:rsidP="0043334F">
      <w:pPr>
        <w:spacing w:before="100" w:beforeAutospacing="1" w:after="100" w:afterAutospacing="1"/>
        <w:contextualSpacing/>
        <w:jc w:val="both"/>
        <w:rPr>
          <w:rFonts w:asciiTheme="minorHAnsi" w:hAnsiTheme="minorHAnsi"/>
          <w:sz w:val="22"/>
          <w:szCs w:val="22"/>
          <w:vertAlign w:val="superscript"/>
        </w:rPr>
      </w:pPr>
    </w:p>
    <w:p w:rsidR="004816D3" w:rsidRPr="00AE15DA" w:rsidRDefault="00EE065C" w:rsidP="0043334F">
      <w:pPr>
        <w:spacing w:before="100" w:beforeAutospacing="1" w:after="100" w:afterAutospacing="1"/>
        <w:contextualSpacing/>
        <w:jc w:val="both"/>
        <w:rPr>
          <w:rFonts w:asciiTheme="minorHAnsi" w:hAnsiTheme="minorHAnsi"/>
          <w:b/>
          <w:sz w:val="28"/>
          <w:szCs w:val="28"/>
        </w:rPr>
      </w:pPr>
      <w:r w:rsidRPr="00AE15DA">
        <w:rPr>
          <w:rFonts w:asciiTheme="minorHAnsi" w:hAnsiTheme="minorHAnsi"/>
          <w:b/>
          <w:sz w:val="28"/>
          <w:szCs w:val="28"/>
        </w:rPr>
        <w:t xml:space="preserve">C: </w:t>
      </w:r>
      <w:r w:rsidR="008A4458" w:rsidRPr="008A4458">
        <w:rPr>
          <w:rFonts w:asciiTheme="minorHAnsi" w:hAnsiTheme="minorHAnsi"/>
          <w:b/>
          <w:sz w:val="28"/>
          <w:szCs w:val="28"/>
        </w:rPr>
        <w:t>Kryteria układu pokarmowego</w:t>
      </w:r>
      <w:r w:rsidRPr="00AE15DA">
        <w:rPr>
          <w:rFonts w:asciiTheme="minorHAnsi" w:hAnsiTheme="minorHAnsi"/>
          <w:b/>
          <w:sz w:val="28"/>
          <w:szCs w:val="28"/>
        </w:rPr>
        <w:t xml:space="preserve">. </w:t>
      </w:r>
    </w:p>
    <w:p w:rsidR="00EE065C" w:rsidRPr="00AE15DA" w:rsidRDefault="00EE065C" w:rsidP="0043334F">
      <w:pPr>
        <w:spacing w:before="100" w:beforeAutospacing="1" w:after="100" w:afterAutospacing="1"/>
        <w:contextualSpacing/>
        <w:jc w:val="both"/>
        <w:rPr>
          <w:rFonts w:asciiTheme="minorHAnsi" w:hAnsiTheme="minorHAnsi"/>
          <w:b/>
          <w:sz w:val="22"/>
          <w:szCs w:val="22"/>
        </w:rPr>
      </w:pPr>
    </w:p>
    <w:p w:rsidR="00EE065C" w:rsidRPr="00AE15DA" w:rsidRDefault="00EE065C" w:rsidP="0043334F">
      <w:pPr>
        <w:spacing w:before="100" w:beforeAutospacing="1" w:after="100" w:afterAutospacing="1"/>
        <w:contextualSpacing/>
        <w:jc w:val="both"/>
        <w:rPr>
          <w:rFonts w:asciiTheme="minorHAnsi" w:hAnsiTheme="minorHAnsi"/>
          <w:b/>
          <w:sz w:val="22"/>
          <w:szCs w:val="22"/>
        </w:rPr>
      </w:pPr>
    </w:p>
    <w:p w:rsidR="005D469F" w:rsidRPr="00AE15DA" w:rsidRDefault="005D469F" w:rsidP="0043334F">
      <w:pPr>
        <w:spacing w:before="100" w:beforeAutospacing="1" w:after="100" w:afterAutospacing="1"/>
        <w:contextualSpacing/>
        <w:jc w:val="both"/>
        <w:rPr>
          <w:rFonts w:asciiTheme="minorHAnsi" w:hAnsiTheme="minorHAnsi"/>
          <w:b/>
          <w:sz w:val="22"/>
          <w:szCs w:val="22"/>
        </w:rPr>
      </w:pPr>
    </w:p>
    <w:p w:rsidR="007A7469" w:rsidRPr="00AE15DA" w:rsidRDefault="007A7469"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C1. </w:t>
      </w:r>
      <w:r w:rsidR="008A4458" w:rsidRPr="008A4458">
        <w:rPr>
          <w:rFonts w:asciiTheme="minorHAnsi" w:hAnsiTheme="minorHAnsi"/>
          <w:b/>
          <w:sz w:val="22"/>
          <w:szCs w:val="22"/>
        </w:rPr>
        <w:t xml:space="preserve">Jednoczesne stosowanie </w:t>
      </w:r>
      <w:r w:rsidR="008A4458">
        <w:rPr>
          <w:rFonts w:asciiTheme="minorHAnsi" w:hAnsiTheme="minorHAnsi"/>
          <w:b/>
          <w:sz w:val="22"/>
          <w:szCs w:val="22"/>
        </w:rPr>
        <w:t>NSAII z OAK</w:t>
      </w:r>
      <w:r w:rsidR="008A4458" w:rsidRPr="008A4458">
        <w:rPr>
          <w:rFonts w:asciiTheme="minorHAnsi" w:hAnsiTheme="minorHAnsi"/>
          <w:b/>
          <w:sz w:val="22"/>
          <w:szCs w:val="22"/>
        </w:rPr>
        <w:t xml:space="preserve"> (antagoniści witaminy K, bezpośrednie inhibitory trombiny, inhibitory czynnika Xa) nie jest właściwe (ryzyko krwawienia z przewodu pokarmowego)</w:t>
      </w:r>
    </w:p>
    <w:p w:rsidR="00EE065C" w:rsidRPr="00AE15DA" w:rsidRDefault="00EE065C"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C846A1" w:rsidRPr="00AE15DA" w:rsidRDefault="00C846A1" w:rsidP="0043334F">
      <w:pPr>
        <w:tabs>
          <w:tab w:val="left" w:pos="708"/>
        </w:tabs>
        <w:contextualSpacing/>
        <w:jc w:val="both"/>
        <w:rPr>
          <w:rFonts w:asciiTheme="minorHAnsi" w:hAnsiTheme="minorHAnsi" w:cstheme="minorHAnsi"/>
          <w:sz w:val="22"/>
          <w:szCs w:val="22"/>
        </w:rPr>
      </w:pPr>
    </w:p>
    <w:p w:rsidR="007A7469" w:rsidRPr="00AE15DA" w:rsidRDefault="007A7469" w:rsidP="0043334F">
      <w:pPr>
        <w:tabs>
          <w:tab w:val="left" w:pos="708"/>
        </w:tabs>
        <w:contextualSpacing/>
        <w:jc w:val="both"/>
        <w:rPr>
          <w:rFonts w:asciiTheme="minorHAnsi" w:hAnsiTheme="minorHAnsi" w:cstheme="minorHAnsi"/>
          <w:sz w:val="22"/>
          <w:szCs w:val="22"/>
        </w:rPr>
      </w:pPr>
      <w:r w:rsidRPr="00AE15DA">
        <w:rPr>
          <w:rFonts w:asciiTheme="minorHAnsi" w:hAnsiTheme="minorHAnsi"/>
          <w:b/>
          <w:sz w:val="22"/>
          <w:szCs w:val="22"/>
        </w:rPr>
        <w:t xml:space="preserve">C2. </w:t>
      </w:r>
      <w:r w:rsidR="00995838" w:rsidRPr="00995838">
        <w:rPr>
          <w:rFonts w:asciiTheme="minorHAnsi" w:hAnsiTheme="minorHAnsi"/>
          <w:b/>
          <w:sz w:val="22"/>
          <w:szCs w:val="22"/>
        </w:rPr>
        <w:t xml:space="preserve">Aspiryna, klopidogrel, </w:t>
      </w:r>
      <w:r w:rsidR="00995838">
        <w:rPr>
          <w:rFonts w:asciiTheme="minorHAnsi" w:hAnsiTheme="minorHAnsi"/>
          <w:b/>
          <w:sz w:val="22"/>
          <w:szCs w:val="22"/>
        </w:rPr>
        <w:t>NSAII</w:t>
      </w:r>
      <w:r w:rsidR="00995838" w:rsidRPr="00995838">
        <w:rPr>
          <w:rFonts w:asciiTheme="minorHAnsi" w:hAnsiTheme="minorHAnsi"/>
          <w:b/>
          <w:sz w:val="22"/>
          <w:szCs w:val="22"/>
        </w:rPr>
        <w:t xml:space="preserve"> lub steroidy; Nie nadaje się do stosowania bez PPI u pacjentów z owrzodzeniem w wywiadzie, u pacjentów otrzymujących dodatkową </w:t>
      </w:r>
      <w:proofErr w:type="gramStart"/>
      <w:r w:rsidR="00995838" w:rsidRPr="00995838">
        <w:rPr>
          <w:rFonts w:asciiTheme="minorHAnsi" w:hAnsiTheme="minorHAnsi"/>
          <w:b/>
          <w:sz w:val="22"/>
          <w:szCs w:val="22"/>
        </w:rPr>
        <w:t>terapi</w:t>
      </w:r>
      <w:proofErr w:type="gramEnd"/>
      <w:r w:rsidR="00995838" w:rsidRPr="00995838">
        <w:rPr>
          <w:rFonts w:asciiTheme="minorHAnsi" w:hAnsiTheme="minorHAnsi"/>
          <w:b/>
          <w:sz w:val="22"/>
          <w:szCs w:val="22"/>
        </w:rPr>
        <w:t>ę przeciwpłytkową, u pacjentów przyjmujących jednocześnie leki przeciwzakrzepowe, u pacjentów stosujących steroidy oraz u p</w:t>
      </w:r>
      <w:r w:rsidR="00995838">
        <w:rPr>
          <w:rFonts w:asciiTheme="minorHAnsi" w:hAnsiTheme="minorHAnsi"/>
          <w:b/>
          <w:sz w:val="22"/>
          <w:szCs w:val="22"/>
        </w:rPr>
        <w:t>acjentów z objawami dyspepsji-GO</w:t>
      </w:r>
      <w:r w:rsidR="00995838" w:rsidRPr="00995838">
        <w:rPr>
          <w:rFonts w:asciiTheme="minorHAnsi" w:hAnsiTheme="minorHAnsi"/>
          <w:b/>
          <w:sz w:val="22"/>
          <w:szCs w:val="22"/>
        </w:rPr>
        <w:t>R.</w:t>
      </w:r>
    </w:p>
    <w:p w:rsidR="00416085" w:rsidRPr="00AE15DA" w:rsidRDefault="00F80E7F" w:rsidP="0043334F">
      <w:pPr>
        <w:contextualSpacing/>
        <w:jc w:val="both"/>
        <w:rPr>
          <w:rFonts w:asciiTheme="minorHAnsi" w:hAnsiTheme="minorHAnsi"/>
          <w:i/>
          <w:sz w:val="22"/>
          <w:szCs w:val="22"/>
        </w:rPr>
      </w:pPr>
      <w:r w:rsidRPr="00AE15DA">
        <w:rPr>
          <w:rFonts w:asciiTheme="minorHAnsi" w:hAnsiTheme="minorHAnsi"/>
          <w:i/>
          <w:sz w:val="22"/>
          <w:szCs w:val="22"/>
        </w:rPr>
        <w:t>*</w:t>
      </w:r>
      <w:r w:rsidR="00995838" w:rsidRPr="00995838">
        <w:t xml:space="preserve"> </w:t>
      </w:r>
      <w:r w:rsidR="00995838" w:rsidRPr="00995838">
        <w:rPr>
          <w:rFonts w:asciiTheme="minorHAnsi" w:hAnsiTheme="minorHAnsi"/>
          <w:i/>
          <w:sz w:val="22"/>
          <w:szCs w:val="22"/>
        </w:rPr>
        <w:t>Zalecaną dawką PPI przy stosowaniu PPI w profilaktyce jest wysoka dawka PPI pr</w:t>
      </w:r>
      <w:r w:rsidR="00995838">
        <w:rPr>
          <w:rFonts w:asciiTheme="minorHAnsi" w:hAnsiTheme="minorHAnsi"/>
          <w:i/>
          <w:sz w:val="22"/>
          <w:szCs w:val="22"/>
        </w:rPr>
        <w:t>eferowana na rynku raz dziennie</w:t>
      </w:r>
      <w:r w:rsidRPr="00AE15DA">
        <w:rPr>
          <w:rFonts w:asciiTheme="minorHAnsi" w:hAnsiTheme="minorHAnsi"/>
          <w:i/>
          <w:sz w:val="22"/>
          <w:szCs w:val="22"/>
        </w:rPr>
        <w:t xml:space="preserve">. </w:t>
      </w:r>
    </w:p>
    <w:p w:rsidR="00416085" w:rsidRPr="00AE15DA" w:rsidRDefault="007D40DC" w:rsidP="0043334F">
      <w:pPr>
        <w:contextualSpacing/>
        <w:jc w:val="both"/>
        <w:rPr>
          <w:rFonts w:asciiTheme="minorHAnsi" w:hAnsiTheme="minorHAnsi" w:cs="Arial"/>
          <w:i/>
          <w:color w:val="222222"/>
          <w:sz w:val="22"/>
          <w:szCs w:val="22"/>
          <w:shd w:val="clear" w:color="auto" w:fill="F8F9FA"/>
        </w:rPr>
      </w:pPr>
      <w:r w:rsidRPr="00AE15DA">
        <w:rPr>
          <w:rFonts w:asciiTheme="minorHAnsi" w:hAnsiTheme="minorHAnsi" w:cs="Arial"/>
          <w:i/>
          <w:color w:val="222222"/>
          <w:sz w:val="22"/>
          <w:szCs w:val="22"/>
          <w:shd w:val="clear" w:color="auto" w:fill="F8F9FA"/>
        </w:rPr>
        <w:t>*</w:t>
      </w:r>
      <w:r w:rsidR="00995838" w:rsidRPr="00995838">
        <w:t xml:space="preserve"> </w:t>
      </w:r>
      <w:r w:rsidR="00995838" w:rsidRPr="00995838">
        <w:rPr>
          <w:rFonts w:asciiTheme="minorHAnsi" w:hAnsiTheme="minorHAnsi" w:cs="Arial"/>
          <w:i/>
          <w:color w:val="222222"/>
          <w:sz w:val="22"/>
          <w:szCs w:val="22"/>
          <w:shd w:val="clear" w:color="auto" w:fill="F8F9FA"/>
        </w:rPr>
        <w:t>W stanach współistniejących innych niż niestrawność wskazane jes</w:t>
      </w:r>
      <w:r w:rsidR="00995838">
        <w:rPr>
          <w:rFonts w:asciiTheme="minorHAnsi" w:hAnsiTheme="minorHAnsi" w:cs="Arial"/>
          <w:i/>
          <w:color w:val="222222"/>
          <w:sz w:val="22"/>
          <w:szCs w:val="22"/>
          <w:shd w:val="clear" w:color="auto" w:fill="F8F9FA"/>
        </w:rPr>
        <w:t>t kontynuowanie dużej dawki PPI</w:t>
      </w:r>
      <w:r w:rsidRPr="00AE15DA">
        <w:rPr>
          <w:rFonts w:asciiTheme="minorHAnsi" w:hAnsiTheme="minorHAnsi" w:cs="Arial"/>
          <w:i/>
          <w:color w:val="222222"/>
          <w:sz w:val="22"/>
          <w:szCs w:val="22"/>
          <w:shd w:val="clear" w:color="auto" w:fill="F8F9FA"/>
        </w:rPr>
        <w:t>.</w:t>
      </w:r>
    </w:p>
    <w:p w:rsidR="00416085" w:rsidRPr="00AE15DA" w:rsidRDefault="00CD36C1" w:rsidP="0043334F">
      <w:pPr>
        <w:contextualSpacing/>
        <w:jc w:val="both"/>
        <w:rPr>
          <w:rFonts w:asciiTheme="minorHAnsi" w:hAnsiTheme="minorHAnsi"/>
          <w:i/>
          <w:sz w:val="22"/>
          <w:szCs w:val="22"/>
        </w:rPr>
      </w:pPr>
      <w:r w:rsidRPr="00AE15DA">
        <w:rPr>
          <w:rFonts w:asciiTheme="minorHAnsi" w:hAnsiTheme="minorHAnsi"/>
          <w:i/>
          <w:sz w:val="22"/>
          <w:szCs w:val="22"/>
        </w:rPr>
        <w:t>*</w:t>
      </w:r>
      <w:r w:rsidR="00B163B3" w:rsidRPr="00B163B3">
        <w:rPr>
          <w:rFonts w:asciiTheme="minorHAnsi" w:hAnsiTheme="minorHAnsi"/>
          <w:i/>
          <w:sz w:val="22"/>
          <w:szCs w:val="22"/>
        </w:rPr>
        <w:t>W przypadkach ze wskazaniem PPI ze względu na obecność niestrawno</w:t>
      </w:r>
      <w:r w:rsidR="00B163B3">
        <w:rPr>
          <w:rFonts w:asciiTheme="minorHAnsi" w:hAnsiTheme="minorHAnsi"/>
          <w:i/>
          <w:sz w:val="22"/>
          <w:szCs w:val="22"/>
        </w:rPr>
        <w:t>ści towarzyszącej stosowaniu</w:t>
      </w:r>
      <w:r w:rsidR="00B163B3" w:rsidRPr="00B163B3">
        <w:rPr>
          <w:rFonts w:asciiTheme="minorHAnsi" w:hAnsiTheme="minorHAnsi"/>
          <w:i/>
          <w:sz w:val="22"/>
          <w:szCs w:val="22"/>
        </w:rPr>
        <w:t xml:space="preserve"> leków, celowe może być zastosowanie przez pewien czas dużej dawki PPI i zmniejszenie objawów do najniższe</w:t>
      </w:r>
      <w:r w:rsidR="00B163B3">
        <w:rPr>
          <w:rFonts w:asciiTheme="minorHAnsi" w:hAnsiTheme="minorHAnsi"/>
          <w:i/>
          <w:sz w:val="22"/>
          <w:szCs w:val="22"/>
        </w:rPr>
        <w:t>j dawki PPI w czasie obserwacji</w:t>
      </w:r>
      <w:r w:rsidRPr="00AE15DA">
        <w:rPr>
          <w:rFonts w:asciiTheme="minorHAnsi" w:hAnsiTheme="minorHAnsi"/>
          <w:i/>
          <w:sz w:val="22"/>
          <w:szCs w:val="22"/>
        </w:rPr>
        <w:t>.</w:t>
      </w:r>
    </w:p>
    <w:p w:rsidR="00416085" w:rsidRPr="00AE15DA" w:rsidRDefault="00677D79" w:rsidP="0043334F">
      <w:pPr>
        <w:contextualSpacing/>
        <w:jc w:val="both"/>
        <w:rPr>
          <w:rFonts w:asciiTheme="minorHAnsi" w:hAnsiTheme="minorHAnsi"/>
          <w:i/>
          <w:sz w:val="22"/>
          <w:szCs w:val="22"/>
        </w:rPr>
      </w:pPr>
      <w:r w:rsidRPr="00AE15DA">
        <w:rPr>
          <w:rFonts w:asciiTheme="minorHAnsi" w:hAnsiTheme="minorHAnsi"/>
          <w:i/>
          <w:color w:val="000000" w:themeColor="text1"/>
          <w:sz w:val="22"/>
          <w:szCs w:val="22"/>
        </w:rPr>
        <w:t>*</w:t>
      </w:r>
      <w:r w:rsidR="00B163B3" w:rsidRPr="00B163B3">
        <w:t xml:space="preserve"> </w:t>
      </w:r>
      <w:r w:rsidR="00B163B3" w:rsidRPr="00B163B3">
        <w:rPr>
          <w:rFonts w:asciiTheme="minorHAnsi" w:hAnsiTheme="minorHAnsi"/>
          <w:i/>
          <w:color w:val="000000" w:themeColor="text1"/>
          <w:sz w:val="22"/>
          <w:szCs w:val="22"/>
        </w:rPr>
        <w:t xml:space="preserve">Stosowanie </w:t>
      </w:r>
      <w:r w:rsidR="00B163B3">
        <w:rPr>
          <w:rFonts w:asciiTheme="minorHAnsi" w:hAnsiTheme="minorHAnsi"/>
          <w:i/>
          <w:color w:val="000000" w:themeColor="text1"/>
          <w:sz w:val="22"/>
          <w:szCs w:val="22"/>
        </w:rPr>
        <w:t>PPI</w:t>
      </w:r>
      <w:r w:rsidR="00B163B3" w:rsidRPr="00B163B3">
        <w:rPr>
          <w:rFonts w:asciiTheme="minorHAnsi" w:hAnsiTheme="minorHAnsi"/>
          <w:i/>
          <w:color w:val="000000" w:themeColor="text1"/>
          <w:sz w:val="22"/>
          <w:szCs w:val="22"/>
        </w:rPr>
        <w:t xml:space="preserve"> jest konieczne u osób starszych, które stosują przewlekłe </w:t>
      </w:r>
      <w:r w:rsidR="00B163B3">
        <w:rPr>
          <w:rFonts w:asciiTheme="minorHAnsi" w:hAnsiTheme="minorHAnsi"/>
          <w:i/>
          <w:color w:val="000000" w:themeColor="text1"/>
          <w:sz w:val="22"/>
          <w:szCs w:val="22"/>
        </w:rPr>
        <w:t>NSAII</w:t>
      </w:r>
      <w:r w:rsidR="00B163B3" w:rsidRPr="00B163B3">
        <w:rPr>
          <w:rFonts w:asciiTheme="minorHAnsi" w:hAnsiTheme="minorHAnsi"/>
          <w:i/>
          <w:color w:val="000000" w:themeColor="text1"/>
          <w:sz w:val="22"/>
          <w:szCs w:val="22"/>
        </w:rPr>
        <w:t xml:space="preserve">. W przypadku przewlekłego stosowania </w:t>
      </w:r>
      <w:r w:rsidR="00B163B3">
        <w:rPr>
          <w:rFonts w:asciiTheme="minorHAnsi" w:hAnsiTheme="minorHAnsi"/>
          <w:i/>
          <w:color w:val="000000" w:themeColor="text1"/>
          <w:sz w:val="22"/>
          <w:szCs w:val="22"/>
        </w:rPr>
        <w:t>NSAII</w:t>
      </w:r>
      <w:r w:rsidR="00B163B3" w:rsidRPr="00B163B3">
        <w:rPr>
          <w:rFonts w:asciiTheme="minorHAnsi" w:hAnsiTheme="minorHAnsi"/>
          <w:i/>
          <w:color w:val="000000" w:themeColor="text1"/>
          <w:sz w:val="22"/>
          <w:szCs w:val="22"/>
        </w:rPr>
        <w:t xml:space="preserve"> u osób starszych należy podać PPI/mizoprostol, nawet w przypadku braku wyżej wymienionych czynników ryzyka</w:t>
      </w:r>
      <w:proofErr w:type="gramStart"/>
      <w:r w:rsidR="00B163B3" w:rsidRPr="00B163B3">
        <w:rPr>
          <w:rFonts w:asciiTheme="minorHAnsi" w:hAnsiTheme="minorHAnsi"/>
          <w:i/>
          <w:color w:val="000000" w:themeColor="text1"/>
          <w:sz w:val="22"/>
          <w:szCs w:val="22"/>
        </w:rPr>
        <w:t>.</w:t>
      </w:r>
      <w:r w:rsidRPr="00AE15DA">
        <w:rPr>
          <w:rFonts w:asciiTheme="minorHAnsi" w:hAnsiTheme="minorHAnsi"/>
          <w:i/>
          <w:sz w:val="22"/>
          <w:szCs w:val="22"/>
        </w:rPr>
        <w:t>.</w:t>
      </w:r>
      <w:proofErr w:type="gramEnd"/>
    </w:p>
    <w:p w:rsidR="00416085" w:rsidRPr="00AE15DA" w:rsidRDefault="00B22D0E" w:rsidP="0043334F">
      <w:pPr>
        <w:contextualSpacing/>
        <w:jc w:val="both"/>
        <w:rPr>
          <w:rFonts w:asciiTheme="minorHAnsi" w:hAnsiTheme="minorHAnsi"/>
          <w:i/>
          <w:sz w:val="22"/>
          <w:szCs w:val="22"/>
        </w:rPr>
      </w:pPr>
      <w:r w:rsidRPr="00AE15DA">
        <w:rPr>
          <w:rFonts w:asciiTheme="minorHAnsi" w:hAnsiTheme="minorHAnsi"/>
          <w:i/>
          <w:color w:val="44546A" w:themeColor="text2"/>
          <w:sz w:val="22"/>
          <w:szCs w:val="22"/>
        </w:rPr>
        <w:t>*</w:t>
      </w:r>
      <w:r w:rsidR="00B163B3" w:rsidRPr="00B163B3">
        <w:t xml:space="preserve"> </w:t>
      </w:r>
      <w:r w:rsidR="00B163B3" w:rsidRPr="00B163B3">
        <w:rPr>
          <w:rFonts w:asciiTheme="minorHAnsi" w:hAnsiTheme="minorHAnsi"/>
          <w:i/>
          <w:sz w:val="22"/>
          <w:szCs w:val="22"/>
        </w:rPr>
        <w:t xml:space="preserve">U osób starszych stosujących krótkotrwale </w:t>
      </w:r>
      <w:r w:rsidR="00B163B3">
        <w:rPr>
          <w:rFonts w:asciiTheme="minorHAnsi" w:hAnsiTheme="minorHAnsi"/>
          <w:i/>
          <w:sz w:val="22"/>
          <w:szCs w:val="22"/>
        </w:rPr>
        <w:t>NSAII</w:t>
      </w:r>
      <w:r w:rsidR="00B163B3" w:rsidRPr="00B163B3">
        <w:rPr>
          <w:rFonts w:asciiTheme="minorHAnsi" w:hAnsiTheme="minorHAnsi"/>
          <w:i/>
          <w:sz w:val="22"/>
          <w:szCs w:val="22"/>
        </w:rPr>
        <w:t xml:space="preserve"> właściwe może być jednoczesne podawanie PPI, nawet jeśli nie wys</w:t>
      </w:r>
      <w:r w:rsidR="00B163B3">
        <w:rPr>
          <w:rFonts w:asciiTheme="minorHAnsi" w:hAnsiTheme="minorHAnsi"/>
          <w:i/>
          <w:sz w:val="22"/>
          <w:szCs w:val="22"/>
        </w:rPr>
        <w:t>tępują powyższe czynniki ryzyka</w:t>
      </w:r>
      <w:r w:rsidRPr="00AE15DA">
        <w:rPr>
          <w:rFonts w:asciiTheme="minorHAnsi" w:hAnsiTheme="minorHAnsi"/>
          <w:i/>
          <w:sz w:val="22"/>
          <w:szCs w:val="22"/>
        </w:rPr>
        <w:t xml:space="preserve">.  </w:t>
      </w:r>
    </w:p>
    <w:p w:rsidR="00416085" w:rsidRPr="00AE15DA" w:rsidRDefault="00964679" w:rsidP="0043334F">
      <w:pPr>
        <w:contextualSpacing/>
        <w:jc w:val="both"/>
        <w:rPr>
          <w:rFonts w:asciiTheme="minorHAnsi" w:hAnsiTheme="minorHAnsi"/>
          <w:i/>
          <w:sz w:val="22"/>
          <w:szCs w:val="22"/>
        </w:rPr>
      </w:pPr>
      <w:r w:rsidRPr="00AE15DA">
        <w:rPr>
          <w:rFonts w:asciiTheme="minorHAnsi" w:hAnsiTheme="minorHAnsi"/>
          <w:i/>
          <w:color w:val="000000" w:themeColor="text1"/>
          <w:sz w:val="22"/>
          <w:szCs w:val="22"/>
        </w:rPr>
        <w:t>*</w:t>
      </w:r>
      <w:r w:rsidR="00B163B3" w:rsidRPr="00B163B3">
        <w:t xml:space="preserve"> </w:t>
      </w:r>
      <w:r w:rsidR="00B163B3" w:rsidRPr="00B163B3">
        <w:rPr>
          <w:rFonts w:asciiTheme="minorHAnsi" w:hAnsiTheme="minorHAnsi"/>
          <w:i/>
          <w:sz w:val="22"/>
          <w:szCs w:val="22"/>
        </w:rPr>
        <w:t>U osób starszych stosujących antyagregacyjne dawki aspiryny lub samego klopidogrelu prawdopodobnie nie ma potrzeby stosowania PPI, jeśli nie występuje żaden z powyższych czynn</w:t>
      </w:r>
      <w:r w:rsidR="00B163B3">
        <w:rPr>
          <w:rFonts w:asciiTheme="minorHAnsi" w:hAnsiTheme="minorHAnsi"/>
          <w:i/>
          <w:sz w:val="22"/>
          <w:szCs w:val="22"/>
        </w:rPr>
        <w:t>ików ryzyka</w:t>
      </w:r>
      <w:r w:rsidRPr="00AE15DA">
        <w:rPr>
          <w:rFonts w:asciiTheme="minorHAnsi" w:hAnsiTheme="minorHAnsi"/>
          <w:i/>
          <w:sz w:val="22"/>
          <w:szCs w:val="22"/>
        </w:rPr>
        <w:t xml:space="preserve">. </w:t>
      </w:r>
    </w:p>
    <w:p w:rsidR="00416085" w:rsidRPr="00AE15DA" w:rsidRDefault="005207E3" w:rsidP="0043334F">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B163B3" w:rsidRPr="00B163B3">
        <w:t xml:space="preserve"> </w:t>
      </w:r>
      <w:r w:rsidR="00B163B3" w:rsidRPr="00B163B3">
        <w:rPr>
          <w:rFonts w:asciiTheme="minorHAnsi" w:hAnsiTheme="minorHAnsi"/>
          <w:i/>
          <w:color w:val="000000" w:themeColor="text1"/>
          <w:sz w:val="22"/>
          <w:szCs w:val="22"/>
        </w:rPr>
        <w:t xml:space="preserve">Istnieją badania wykazujące, że skuteczność </w:t>
      </w:r>
      <w:r w:rsidR="00B163B3">
        <w:rPr>
          <w:rFonts w:asciiTheme="minorHAnsi" w:hAnsiTheme="minorHAnsi"/>
          <w:i/>
          <w:color w:val="000000" w:themeColor="text1"/>
          <w:sz w:val="22"/>
          <w:szCs w:val="22"/>
        </w:rPr>
        <w:t>PPI</w:t>
      </w:r>
      <w:r w:rsidR="00B163B3" w:rsidRPr="00B163B3">
        <w:rPr>
          <w:rFonts w:asciiTheme="minorHAnsi" w:hAnsiTheme="minorHAnsi"/>
          <w:i/>
          <w:color w:val="000000" w:themeColor="text1"/>
          <w:sz w:val="22"/>
          <w:szCs w:val="22"/>
        </w:rPr>
        <w:t xml:space="preserve"> jest zmniejszona, gdy stosuje się je razem z klopidogrelem. Nie można jednak sformułować jednoz</w:t>
      </w:r>
      <w:r w:rsidR="00B163B3">
        <w:rPr>
          <w:rFonts w:asciiTheme="minorHAnsi" w:hAnsiTheme="minorHAnsi"/>
          <w:i/>
          <w:color w:val="000000" w:themeColor="text1"/>
          <w:sz w:val="22"/>
          <w:szCs w:val="22"/>
        </w:rPr>
        <w:t>nacznych zaleceń w tym zakresie</w:t>
      </w:r>
      <w:r w:rsidRPr="00AE15DA">
        <w:rPr>
          <w:rFonts w:asciiTheme="minorHAnsi" w:hAnsiTheme="minorHAnsi"/>
          <w:i/>
          <w:color w:val="000000" w:themeColor="text1"/>
          <w:sz w:val="22"/>
          <w:szCs w:val="22"/>
        </w:rPr>
        <w:t>.</w:t>
      </w:r>
    </w:p>
    <w:p w:rsidR="00416085" w:rsidRPr="00AE15DA" w:rsidRDefault="007933ED" w:rsidP="0043334F">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B163B3" w:rsidRPr="00B163B3">
        <w:t xml:space="preserve"> </w:t>
      </w:r>
      <w:r w:rsidR="00B163B3" w:rsidRPr="00B163B3">
        <w:rPr>
          <w:rFonts w:asciiTheme="minorHAnsi" w:hAnsiTheme="minorHAnsi"/>
          <w:i/>
          <w:color w:val="000000" w:themeColor="text1"/>
          <w:sz w:val="22"/>
          <w:szCs w:val="22"/>
        </w:rPr>
        <w:t>Jeśli istnieją wskazania do stosowania PPI u pacjentów stosujących warfarynę, należy preferować PPI inny niż omeprazol (omeprazol zwiększa poziom warfaryny).</w:t>
      </w:r>
    </w:p>
    <w:p w:rsidR="007933ED" w:rsidRPr="00AE15DA" w:rsidRDefault="007933ED" w:rsidP="0043334F">
      <w:pPr>
        <w:contextualSpacing/>
        <w:jc w:val="both"/>
        <w:rPr>
          <w:rFonts w:asciiTheme="minorHAnsi" w:hAnsiTheme="minorHAnsi"/>
          <w:i/>
          <w:color w:val="000000" w:themeColor="text1"/>
          <w:sz w:val="22"/>
          <w:szCs w:val="22"/>
        </w:rPr>
      </w:pPr>
      <w:r w:rsidRPr="00AE15DA">
        <w:rPr>
          <w:rFonts w:asciiTheme="minorHAnsi" w:hAnsiTheme="minorHAnsi"/>
          <w:i/>
          <w:sz w:val="22"/>
          <w:szCs w:val="22"/>
        </w:rPr>
        <w:t>*</w:t>
      </w:r>
      <w:r w:rsidR="00B163B3" w:rsidRPr="00B163B3">
        <w:t xml:space="preserve"> </w:t>
      </w:r>
      <w:r w:rsidR="00B163B3" w:rsidRPr="00B163B3">
        <w:rPr>
          <w:rFonts w:asciiTheme="minorHAnsi" w:hAnsiTheme="minorHAnsi"/>
          <w:i/>
          <w:sz w:val="22"/>
          <w:szCs w:val="22"/>
        </w:rPr>
        <w:t>Zamiast leczenia PPI mogą być również preferowane mizoprostol lub blokery receptora H2 w dużych dawkach</w:t>
      </w:r>
      <w:r w:rsidRPr="00AE15DA">
        <w:rPr>
          <w:rFonts w:asciiTheme="minorHAnsi" w:hAnsiTheme="minorHAnsi"/>
          <w:i/>
          <w:color w:val="000000" w:themeColor="text1"/>
          <w:sz w:val="22"/>
          <w:szCs w:val="22"/>
        </w:rPr>
        <w:t xml:space="preserve">. </w:t>
      </w:r>
    </w:p>
    <w:p w:rsidR="00C846A1" w:rsidRPr="00AE15DA" w:rsidRDefault="00C846A1" w:rsidP="0043334F">
      <w:pPr>
        <w:contextualSpacing/>
        <w:rPr>
          <w:rFonts w:asciiTheme="minorHAnsi" w:hAnsiTheme="minorHAnsi" w:cstheme="minorHAnsi"/>
          <w:sz w:val="22"/>
          <w:szCs w:val="22"/>
          <w:lang w:eastAsia="en-GB"/>
        </w:rPr>
      </w:pPr>
    </w:p>
    <w:p w:rsidR="007A7469" w:rsidRPr="00AE15DA" w:rsidRDefault="00E66E29" w:rsidP="0043334F">
      <w:pPr>
        <w:spacing w:before="100" w:beforeAutospacing="1"/>
        <w:contextualSpacing/>
        <w:jc w:val="both"/>
        <w:rPr>
          <w:rFonts w:asciiTheme="minorHAnsi" w:hAnsiTheme="minorHAnsi"/>
          <w:sz w:val="22"/>
          <w:szCs w:val="22"/>
        </w:rPr>
      </w:pPr>
      <w:r>
        <w:rPr>
          <w:rFonts w:ascii="Calibri" w:hAnsi="Calibri" w:cs="Calibri"/>
          <w:b/>
          <w:sz w:val="22"/>
          <w:szCs w:val="22"/>
        </w:rPr>
        <w:t>#</w:t>
      </w:r>
      <w:r w:rsidR="007A7469" w:rsidRPr="00AE15DA">
        <w:rPr>
          <w:rFonts w:asciiTheme="minorHAnsi" w:hAnsiTheme="minorHAnsi"/>
          <w:b/>
          <w:sz w:val="22"/>
          <w:szCs w:val="22"/>
        </w:rPr>
        <w:t xml:space="preserve">C3. </w:t>
      </w:r>
      <w:r w:rsidR="00B163B3" w:rsidRPr="00B163B3">
        <w:rPr>
          <w:rFonts w:asciiTheme="minorHAnsi" w:hAnsiTheme="minorHAnsi"/>
          <w:b/>
          <w:sz w:val="22"/>
          <w:szCs w:val="22"/>
        </w:rPr>
        <w:t xml:space="preserve">Nie należy rozpoczynać długotrwałego stosowania aspiryny lub </w:t>
      </w:r>
      <w:r w:rsidR="00B163B3">
        <w:rPr>
          <w:rFonts w:asciiTheme="minorHAnsi" w:hAnsiTheme="minorHAnsi"/>
          <w:b/>
          <w:sz w:val="22"/>
          <w:szCs w:val="22"/>
        </w:rPr>
        <w:t>NSAII</w:t>
      </w:r>
      <w:r w:rsidR="00B163B3" w:rsidRPr="00B163B3">
        <w:rPr>
          <w:rFonts w:asciiTheme="minorHAnsi" w:hAnsiTheme="minorHAnsi"/>
          <w:b/>
          <w:sz w:val="22"/>
          <w:szCs w:val="22"/>
        </w:rPr>
        <w:t xml:space="preserve"> bez badania Helicobacter pylori u pacjentów z wrzodem trawiennym w wywiadzie (powikłanym lub niepowikłanym, żołądka lub dwunastnicy).</w:t>
      </w:r>
    </w:p>
    <w:p w:rsidR="007A7469" w:rsidRPr="00AE15DA" w:rsidRDefault="008A0522" w:rsidP="0043334F">
      <w:pPr>
        <w:contextualSpacing/>
        <w:jc w:val="both"/>
        <w:rPr>
          <w:rFonts w:asciiTheme="minorHAnsi" w:hAnsiTheme="minorHAnsi"/>
          <w:i/>
          <w:sz w:val="22"/>
          <w:szCs w:val="22"/>
        </w:rPr>
      </w:pPr>
      <w:r w:rsidRPr="00AE15DA">
        <w:rPr>
          <w:rFonts w:asciiTheme="minorHAnsi" w:hAnsiTheme="minorHAnsi"/>
          <w:i/>
          <w:sz w:val="22"/>
          <w:szCs w:val="22"/>
        </w:rPr>
        <w:t>*</w:t>
      </w:r>
      <w:r w:rsidR="00B163B3" w:rsidRPr="00B163B3">
        <w:t xml:space="preserve"> </w:t>
      </w:r>
      <w:r w:rsidR="00B163B3" w:rsidRPr="00B163B3">
        <w:rPr>
          <w:rFonts w:asciiTheme="minorHAnsi" w:hAnsiTheme="minorHAnsi"/>
          <w:i/>
          <w:sz w:val="22"/>
          <w:szCs w:val="22"/>
        </w:rPr>
        <w:t xml:space="preserve">W przypadku wykrycia H. pylori (+) należy </w:t>
      </w:r>
      <w:r w:rsidR="00B163B3">
        <w:rPr>
          <w:rFonts w:asciiTheme="minorHAnsi" w:hAnsiTheme="minorHAnsi"/>
          <w:i/>
          <w:sz w:val="22"/>
          <w:szCs w:val="22"/>
        </w:rPr>
        <w:t xml:space="preserve">zastosować </w:t>
      </w:r>
      <w:proofErr w:type="gramStart"/>
      <w:r w:rsidR="00B163B3">
        <w:rPr>
          <w:rFonts w:asciiTheme="minorHAnsi" w:hAnsiTheme="minorHAnsi"/>
          <w:i/>
          <w:sz w:val="22"/>
          <w:szCs w:val="22"/>
        </w:rPr>
        <w:t>terapi</w:t>
      </w:r>
      <w:proofErr w:type="gramEnd"/>
      <w:r w:rsidR="00B163B3">
        <w:rPr>
          <w:rFonts w:asciiTheme="minorHAnsi" w:hAnsiTheme="minorHAnsi"/>
          <w:i/>
          <w:sz w:val="22"/>
          <w:szCs w:val="22"/>
        </w:rPr>
        <w:t>ę eradykacyjną</w:t>
      </w:r>
      <w:r w:rsidR="007A7469" w:rsidRPr="00AE15DA">
        <w:rPr>
          <w:rFonts w:asciiTheme="minorHAnsi" w:hAnsiTheme="minorHAnsi"/>
          <w:i/>
          <w:sz w:val="22"/>
          <w:szCs w:val="22"/>
        </w:rPr>
        <w:t xml:space="preserve">. </w:t>
      </w:r>
    </w:p>
    <w:p w:rsidR="00D16308" w:rsidRPr="00AE15DA" w:rsidRDefault="008A0522" w:rsidP="0043334F">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771D98" w:rsidRPr="00771D98">
        <w:rPr>
          <w:rFonts w:asciiTheme="minorHAnsi" w:hAnsiTheme="minorHAnsi"/>
          <w:i/>
          <w:color w:val="000000" w:themeColor="text1"/>
          <w:sz w:val="22"/>
          <w:szCs w:val="22"/>
        </w:rPr>
        <w:t>Jeśli pacjent od dłuższego czasu przyjmuje aspirynę/</w:t>
      </w:r>
      <w:r w:rsidR="00771D98">
        <w:rPr>
          <w:rFonts w:asciiTheme="minorHAnsi" w:hAnsiTheme="minorHAnsi"/>
          <w:i/>
          <w:color w:val="000000" w:themeColor="text1"/>
          <w:sz w:val="22"/>
          <w:szCs w:val="22"/>
        </w:rPr>
        <w:t>NSAII</w:t>
      </w:r>
      <w:r w:rsidR="00771D98" w:rsidRPr="00771D98">
        <w:rPr>
          <w:rFonts w:asciiTheme="minorHAnsi" w:hAnsiTheme="minorHAnsi"/>
          <w:i/>
          <w:color w:val="000000" w:themeColor="text1"/>
          <w:sz w:val="22"/>
          <w:szCs w:val="22"/>
        </w:rPr>
        <w:t xml:space="preserve">, spodziewane korzyści z leczenia eradykacyjnego H. pylori są niewielkie, ale eradykacja jest generalnie preferowana, jeśli jest podawana w badaniach przesiewowych i </w:t>
      </w:r>
      <w:r w:rsidR="00771D98">
        <w:rPr>
          <w:rFonts w:asciiTheme="minorHAnsi" w:hAnsiTheme="minorHAnsi"/>
          <w:i/>
          <w:color w:val="000000" w:themeColor="text1"/>
          <w:sz w:val="22"/>
          <w:szCs w:val="22"/>
        </w:rPr>
        <w:t>daje pozytywny wynik w praktyce</w:t>
      </w:r>
      <w:r w:rsidR="00D16308" w:rsidRPr="00AE15DA">
        <w:rPr>
          <w:rFonts w:asciiTheme="minorHAnsi" w:hAnsiTheme="minorHAnsi"/>
          <w:i/>
          <w:color w:val="000000" w:themeColor="text1"/>
          <w:sz w:val="22"/>
          <w:szCs w:val="22"/>
        </w:rPr>
        <w:t>.</w:t>
      </w:r>
    </w:p>
    <w:p w:rsidR="007A7469" w:rsidRPr="00AE15DA" w:rsidRDefault="00D16308" w:rsidP="0043334F">
      <w:pPr>
        <w:contextualSpacing/>
        <w:jc w:val="both"/>
        <w:rPr>
          <w:rFonts w:asciiTheme="minorHAnsi" w:hAnsiTheme="minorHAnsi"/>
          <w:i/>
          <w:color w:val="44546A" w:themeColor="text2"/>
          <w:sz w:val="22"/>
          <w:szCs w:val="22"/>
        </w:rPr>
      </w:pPr>
      <w:r w:rsidRPr="00AE15DA">
        <w:rPr>
          <w:rFonts w:asciiTheme="minorHAnsi" w:hAnsiTheme="minorHAnsi"/>
          <w:i/>
          <w:color w:val="000000" w:themeColor="text1"/>
          <w:sz w:val="22"/>
          <w:szCs w:val="22"/>
        </w:rPr>
        <w:t>*</w:t>
      </w:r>
      <w:r w:rsidR="00771D98" w:rsidRPr="00771D98">
        <w:rPr>
          <w:rFonts w:asciiTheme="minorHAnsi" w:hAnsiTheme="minorHAnsi"/>
          <w:i/>
          <w:color w:val="000000" w:themeColor="text1"/>
          <w:sz w:val="22"/>
          <w:szCs w:val="22"/>
        </w:rPr>
        <w:t>W populacjach z dużą częstością występowania H</w:t>
      </w:r>
      <w:r w:rsidR="00771D98">
        <w:rPr>
          <w:rFonts w:asciiTheme="minorHAnsi" w:hAnsiTheme="minorHAnsi"/>
          <w:i/>
          <w:color w:val="000000" w:themeColor="text1"/>
          <w:sz w:val="22"/>
          <w:szCs w:val="22"/>
        </w:rPr>
        <w:t>.</w:t>
      </w:r>
      <w:r w:rsidR="00771D98" w:rsidRPr="00771D98">
        <w:rPr>
          <w:rFonts w:asciiTheme="minorHAnsi" w:hAnsiTheme="minorHAnsi"/>
          <w:i/>
          <w:color w:val="000000" w:themeColor="text1"/>
          <w:sz w:val="22"/>
          <w:szCs w:val="22"/>
        </w:rPr>
        <w:t xml:space="preserve"> pylori, podejście „testowe leczenie” może być odpowiednie dla H</w:t>
      </w:r>
      <w:r w:rsidR="00771D98">
        <w:rPr>
          <w:rFonts w:asciiTheme="minorHAnsi" w:hAnsiTheme="minorHAnsi"/>
          <w:i/>
          <w:color w:val="000000" w:themeColor="text1"/>
          <w:sz w:val="22"/>
          <w:szCs w:val="22"/>
        </w:rPr>
        <w:t>.</w:t>
      </w:r>
      <w:r w:rsidR="00771D98" w:rsidRPr="00771D98">
        <w:rPr>
          <w:rFonts w:asciiTheme="minorHAnsi" w:hAnsiTheme="minorHAnsi"/>
          <w:i/>
          <w:color w:val="000000" w:themeColor="text1"/>
          <w:sz w:val="22"/>
          <w:szCs w:val="22"/>
        </w:rPr>
        <w:t xml:space="preserve"> pylori przed rozpoczęciem przewlekłego stosowania aspiryny/</w:t>
      </w:r>
      <w:r w:rsidR="00771D98">
        <w:rPr>
          <w:rFonts w:asciiTheme="minorHAnsi" w:hAnsiTheme="minorHAnsi"/>
          <w:i/>
          <w:color w:val="000000" w:themeColor="text1"/>
          <w:sz w:val="22"/>
          <w:szCs w:val="22"/>
        </w:rPr>
        <w:t>NSAII</w:t>
      </w:r>
      <w:r w:rsidR="00771D98" w:rsidRPr="00771D98">
        <w:rPr>
          <w:rFonts w:asciiTheme="minorHAnsi" w:hAnsiTheme="minorHAnsi"/>
          <w:i/>
          <w:color w:val="000000" w:themeColor="text1"/>
          <w:sz w:val="22"/>
          <w:szCs w:val="22"/>
        </w:rPr>
        <w:t>, nawet w przypadkach bez wrzodu traw</w:t>
      </w:r>
      <w:r w:rsidR="00771D98">
        <w:rPr>
          <w:rFonts w:asciiTheme="minorHAnsi" w:hAnsiTheme="minorHAnsi"/>
          <w:i/>
          <w:color w:val="000000" w:themeColor="text1"/>
          <w:sz w:val="22"/>
          <w:szCs w:val="22"/>
        </w:rPr>
        <w:t>iennego w wywiadzie</w:t>
      </w:r>
      <w:r w:rsidR="00A029E4" w:rsidRPr="00AE15DA">
        <w:rPr>
          <w:rFonts w:asciiTheme="minorHAnsi" w:hAnsiTheme="minorHAnsi"/>
          <w:i/>
          <w:color w:val="000000" w:themeColor="text1"/>
          <w:sz w:val="22"/>
          <w:szCs w:val="22"/>
        </w:rPr>
        <w:t>.</w:t>
      </w:r>
    </w:p>
    <w:p w:rsidR="00316C80" w:rsidRPr="00AE15DA" w:rsidRDefault="00316C80" w:rsidP="0043334F">
      <w:pPr>
        <w:contextualSpacing/>
        <w:jc w:val="both"/>
        <w:rPr>
          <w:rFonts w:asciiTheme="minorHAnsi" w:hAnsiTheme="minorHAnsi"/>
          <w:i/>
          <w:sz w:val="22"/>
          <w:szCs w:val="22"/>
        </w:rPr>
      </w:pPr>
      <w:r w:rsidRPr="00AE15DA">
        <w:rPr>
          <w:rFonts w:asciiTheme="minorHAnsi" w:hAnsiTheme="minorHAnsi"/>
          <w:i/>
          <w:sz w:val="22"/>
          <w:szCs w:val="22"/>
        </w:rPr>
        <w:t>*</w:t>
      </w:r>
      <w:r w:rsidR="00771D98" w:rsidRPr="00771D98">
        <w:t xml:space="preserve"> </w:t>
      </w:r>
      <w:r w:rsidR="00771D98" w:rsidRPr="00771D98">
        <w:rPr>
          <w:rFonts w:asciiTheme="minorHAnsi" w:hAnsiTheme="minorHAnsi"/>
          <w:i/>
          <w:sz w:val="22"/>
          <w:szCs w:val="22"/>
        </w:rPr>
        <w:t>U pacjentów, którzy rozpoczną przewlekłe stosowanie klopidogrelu; Nawet jeśli w wywiadzie stwierdzono wrzód trawienny (powikłany lub niepowikłany, żołądka lub dwunastnicy), badanie H. pylori i/lub eradykacja H. pylori nie są zalecane</w:t>
      </w:r>
      <w:r w:rsidR="00771D98">
        <w:rPr>
          <w:rFonts w:asciiTheme="minorHAnsi" w:hAnsiTheme="minorHAnsi"/>
          <w:i/>
          <w:sz w:val="22"/>
          <w:szCs w:val="22"/>
        </w:rPr>
        <w:t xml:space="preserve"> (teoretycznie lub praktycznie).</w:t>
      </w:r>
      <w:r w:rsidRPr="00AE15DA">
        <w:rPr>
          <w:rFonts w:asciiTheme="minorHAnsi" w:hAnsiTheme="minorHAnsi"/>
          <w:i/>
          <w:sz w:val="22"/>
          <w:szCs w:val="22"/>
        </w:rPr>
        <w:t xml:space="preserve"> </w:t>
      </w:r>
    </w:p>
    <w:p w:rsidR="0043334F" w:rsidRPr="00AE15DA" w:rsidRDefault="0043334F" w:rsidP="0043334F">
      <w:pPr>
        <w:contextualSpacing/>
        <w:jc w:val="both"/>
        <w:rPr>
          <w:rFonts w:asciiTheme="minorHAnsi" w:hAnsiTheme="minorHAnsi" w:cstheme="minorHAnsi"/>
          <w:color w:val="000000"/>
          <w:sz w:val="22"/>
          <w:szCs w:val="22"/>
        </w:rPr>
      </w:pPr>
    </w:p>
    <w:p w:rsidR="0043334F" w:rsidRPr="00AE15DA" w:rsidRDefault="0043334F" w:rsidP="0043334F">
      <w:pPr>
        <w:contextualSpacing/>
        <w:jc w:val="both"/>
        <w:rPr>
          <w:rFonts w:asciiTheme="minorHAnsi" w:hAnsiTheme="minorHAnsi" w:cstheme="minorHAnsi"/>
          <w:color w:val="000000"/>
          <w:sz w:val="22"/>
          <w:szCs w:val="22"/>
        </w:rPr>
      </w:pPr>
    </w:p>
    <w:p w:rsidR="006658FF" w:rsidRPr="00AE15DA" w:rsidRDefault="007A7469" w:rsidP="0043334F">
      <w:pPr>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C4. </w:t>
      </w:r>
      <w:r w:rsidR="00771D98" w:rsidRPr="00771D98">
        <w:rPr>
          <w:rFonts w:asciiTheme="minorHAnsi" w:hAnsiTheme="minorHAnsi"/>
          <w:b/>
          <w:sz w:val="22"/>
          <w:szCs w:val="22"/>
        </w:rPr>
        <w:t xml:space="preserve">Stosowanie </w:t>
      </w:r>
      <w:r w:rsidR="00771D98">
        <w:rPr>
          <w:rFonts w:asciiTheme="minorHAnsi" w:hAnsiTheme="minorHAnsi"/>
          <w:b/>
          <w:sz w:val="22"/>
          <w:szCs w:val="22"/>
        </w:rPr>
        <w:t>PPI</w:t>
      </w:r>
      <w:r w:rsidR="00771D98" w:rsidRPr="00771D98">
        <w:rPr>
          <w:rFonts w:asciiTheme="minorHAnsi" w:hAnsiTheme="minorHAnsi"/>
          <w:b/>
          <w:sz w:val="22"/>
          <w:szCs w:val="22"/>
        </w:rPr>
        <w:t xml:space="preserve"> w pełnej dawce terapeutycznej przez okres dłuższy niż 8-12 tygodni nie jest właściwe w leczeniu niepowikłanego wrzodu trawiennego lub nadżerkowego zapalenia przełyku (wskazane jest zmniejszenie dawki lub krótsza przerwa)</w:t>
      </w:r>
    </w:p>
    <w:p w:rsidR="007A7469" w:rsidRPr="00AE15DA" w:rsidRDefault="007A7469" w:rsidP="0043334F">
      <w:pPr>
        <w:pStyle w:val="NormalWeb"/>
        <w:spacing w:before="0" w:beforeAutospacing="0" w:after="0" w:afterAutospacing="0"/>
        <w:contextualSpacing/>
        <w:jc w:val="both"/>
        <w:rPr>
          <w:rFonts w:asciiTheme="minorHAnsi" w:hAnsiTheme="minorHAnsi"/>
          <w:i/>
          <w:color w:val="000000"/>
          <w:sz w:val="22"/>
          <w:szCs w:val="22"/>
        </w:rPr>
      </w:pPr>
      <w:r w:rsidRPr="00AE15DA">
        <w:rPr>
          <w:rFonts w:asciiTheme="minorHAnsi" w:hAnsiTheme="minorHAnsi"/>
          <w:i/>
          <w:color w:val="000000"/>
          <w:sz w:val="22"/>
          <w:szCs w:val="22"/>
        </w:rPr>
        <w:t>*</w:t>
      </w:r>
      <w:r w:rsidR="00771D98" w:rsidRPr="00771D98">
        <w:rPr>
          <w:rFonts w:asciiTheme="minorHAnsi" w:hAnsiTheme="minorHAnsi"/>
          <w:i/>
          <w:color w:val="000000"/>
          <w:sz w:val="22"/>
          <w:szCs w:val="22"/>
        </w:rPr>
        <w:t xml:space="preserve">8-12-tygodniowy okres dawkowania terapeutycznego nie obejmuje czasu trwania terapii </w:t>
      </w:r>
      <w:r w:rsidR="00771D98">
        <w:rPr>
          <w:rFonts w:asciiTheme="minorHAnsi" w:hAnsiTheme="minorHAnsi"/>
          <w:i/>
          <w:color w:val="000000"/>
          <w:sz w:val="22"/>
          <w:szCs w:val="22"/>
        </w:rPr>
        <w:t>PPI w celu eradykacji H. pylori</w:t>
      </w:r>
      <w:r w:rsidRPr="00AE15DA">
        <w:rPr>
          <w:rFonts w:asciiTheme="minorHAnsi" w:hAnsiTheme="minorHAnsi"/>
          <w:i/>
          <w:color w:val="000000"/>
          <w:sz w:val="22"/>
          <w:szCs w:val="22"/>
        </w:rPr>
        <w:t>.</w:t>
      </w:r>
    </w:p>
    <w:p w:rsidR="00C846A1" w:rsidRPr="00AE15DA" w:rsidRDefault="00316C80" w:rsidP="0043334F">
      <w:pPr>
        <w:spacing w:after="200"/>
        <w:contextualSpacing/>
        <w:jc w:val="both"/>
        <w:rPr>
          <w:rFonts w:asciiTheme="minorHAnsi" w:hAnsiTheme="minorHAnsi"/>
          <w:i/>
          <w:sz w:val="22"/>
          <w:szCs w:val="22"/>
        </w:rPr>
      </w:pPr>
      <w:r w:rsidRPr="00AE15DA">
        <w:rPr>
          <w:rFonts w:asciiTheme="minorHAnsi" w:hAnsiTheme="minorHAnsi"/>
          <w:i/>
          <w:color w:val="000000" w:themeColor="text1"/>
          <w:sz w:val="22"/>
          <w:szCs w:val="22"/>
        </w:rPr>
        <w:lastRenderedPageBreak/>
        <w:t>*</w:t>
      </w:r>
      <w:r w:rsidR="00771D98" w:rsidRPr="00771D98">
        <w:t xml:space="preserve"> </w:t>
      </w:r>
      <w:r w:rsidR="00771D98" w:rsidRPr="00771D98">
        <w:rPr>
          <w:rFonts w:asciiTheme="minorHAnsi" w:hAnsiTheme="minorHAnsi"/>
          <w:i/>
          <w:sz w:val="22"/>
          <w:szCs w:val="22"/>
        </w:rPr>
        <w:t xml:space="preserve">Aby uniknąć efektu odbicia w okresie odstawienia, należy zakończyć zmniejszeniem PPI. </w:t>
      </w:r>
      <w:proofErr w:type="gramStart"/>
      <w:r w:rsidR="00771D98" w:rsidRPr="00771D98">
        <w:rPr>
          <w:rFonts w:asciiTheme="minorHAnsi" w:hAnsiTheme="minorHAnsi"/>
          <w:i/>
          <w:sz w:val="22"/>
          <w:szCs w:val="22"/>
        </w:rPr>
        <w:t>(</w:t>
      </w:r>
      <w:proofErr w:type="gramEnd"/>
      <w:r w:rsidR="00771D98" w:rsidRPr="00771D98">
        <w:rPr>
          <w:rFonts w:asciiTheme="minorHAnsi" w:hAnsiTheme="minorHAnsi"/>
          <w:i/>
          <w:sz w:val="22"/>
          <w:szCs w:val="22"/>
        </w:rPr>
        <w:t>np. pół dawki przez 1 tydzień, co drugi dzień przez 1 tydzień, a następnie zaprzestanie</w:t>
      </w:r>
      <w:proofErr w:type="gramStart"/>
      <w:r w:rsidR="00771D98" w:rsidRPr="00771D98">
        <w:rPr>
          <w:rFonts w:asciiTheme="minorHAnsi" w:hAnsiTheme="minorHAnsi"/>
          <w:i/>
          <w:sz w:val="22"/>
          <w:szCs w:val="22"/>
        </w:rPr>
        <w:t>)</w:t>
      </w:r>
      <w:proofErr w:type="gramEnd"/>
    </w:p>
    <w:p w:rsidR="0043334F" w:rsidRPr="00AE15DA" w:rsidRDefault="0043334F" w:rsidP="0043334F">
      <w:pPr>
        <w:pStyle w:val="HTMLncedenBiimlendirilmi"/>
        <w:contextualSpacing/>
        <w:jc w:val="both"/>
        <w:rPr>
          <w:rFonts w:asciiTheme="minorHAnsi" w:hAnsiTheme="minorHAnsi" w:cs="Times New Roman"/>
          <w:b/>
          <w:color w:val="000000"/>
          <w:sz w:val="22"/>
          <w:szCs w:val="22"/>
        </w:rPr>
      </w:pPr>
    </w:p>
    <w:p w:rsidR="00441B80" w:rsidRPr="00AE15DA" w:rsidRDefault="007A7469" w:rsidP="0043334F">
      <w:pPr>
        <w:pStyle w:val="HTMLncedenBiimlendirilmi"/>
        <w:contextualSpacing/>
        <w:jc w:val="both"/>
        <w:rPr>
          <w:rFonts w:asciiTheme="minorHAnsi" w:hAnsiTheme="minorHAnsi" w:cs="Times New Roman"/>
          <w:b/>
          <w:color w:val="000000"/>
          <w:sz w:val="22"/>
          <w:szCs w:val="22"/>
        </w:rPr>
      </w:pPr>
      <w:r w:rsidRPr="00AE15DA">
        <w:rPr>
          <w:rFonts w:asciiTheme="minorHAnsi" w:hAnsiTheme="minorHAnsi" w:cs="Times New Roman"/>
          <w:b/>
          <w:color w:val="000000"/>
          <w:sz w:val="22"/>
          <w:szCs w:val="22"/>
        </w:rPr>
        <w:t xml:space="preserve">C5. </w:t>
      </w:r>
      <w:r w:rsidR="004D3AA5" w:rsidRPr="004D3AA5">
        <w:rPr>
          <w:rFonts w:asciiTheme="minorHAnsi" w:hAnsiTheme="minorHAnsi" w:cs="Times New Roman"/>
          <w:b/>
          <w:color w:val="000000"/>
          <w:sz w:val="22"/>
          <w:szCs w:val="22"/>
        </w:rPr>
        <w:t>Stosowanie PPI nie jest właściwe ze wz</w:t>
      </w:r>
      <w:r w:rsidR="004D3AA5">
        <w:rPr>
          <w:rFonts w:asciiTheme="minorHAnsi" w:hAnsiTheme="minorHAnsi" w:cs="Times New Roman"/>
          <w:b/>
          <w:color w:val="000000"/>
          <w:sz w:val="22"/>
          <w:szCs w:val="22"/>
        </w:rPr>
        <w:t>ględu na zażywanie wielu le</w:t>
      </w:r>
      <w:r w:rsidR="004D3AA5" w:rsidRPr="004D3AA5">
        <w:rPr>
          <w:rFonts w:asciiTheme="minorHAnsi" w:hAnsiTheme="minorHAnsi" w:cs="Times New Roman"/>
          <w:b/>
          <w:color w:val="000000"/>
          <w:sz w:val="22"/>
          <w:szCs w:val="22"/>
        </w:rPr>
        <w:t>ków (brak korzyści, potencjalna szkoda)</w:t>
      </w:r>
    </w:p>
    <w:p w:rsidR="007A7469" w:rsidRPr="00AE15DA" w:rsidRDefault="00441B80" w:rsidP="0043334F">
      <w:pPr>
        <w:pStyle w:val="HTMLncedenBiimlendirilmi"/>
        <w:contextualSpacing/>
        <w:jc w:val="both"/>
        <w:rPr>
          <w:rFonts w:asciiTheme="minorHAnsi" w:hAnsiTheme="minorHAnsi" w:cs="Times New Roman"/>
          <w:i/>
          <w:color w:val="000000"/>
          <w:sz w:val="22"/>
          <w:szCs w:val="22"/>
        </w:rPr>
      </w:pPr>
      <w:r w:rsidRPr="00AE15DA">
        <w:rPr>
          <w:rFonts w:asciiTheme="minorHAnsi" w:hAnsiTheme="minorHAnsi" w:cs="Times New Roman"/>
          <w:color w:val="000000"/>
          <w:sz w:val="22"/>
          <w:szCs w:val="22"/>
        </w:rPr>
        <w:t>*</w:t>
      </w:r>
      <w:r w:rsidR="004D3AA5" w:rsidRPr="004D3AA5">
        <w:rPr>
          <w:rFonts w:asciiTheme="minorHAnsi" w:hAnsiTheme="minorHAnsi" w:cs="Times New Roman"/>
          <w:i/>
          <w:color w:val="000000"/>
          <w:sz w:val="22"/>
          <w:szCs w:val="22"/>
        </w:rPr>
        <w:t>Wśród wskazań do stosowania PPI nie ma wskazania na „zażywanie wielu leków”. Z drugiej strony, przewlekłe stosowanie PPI jest czynnikiem ryzyka przewlekłej niewydolności nerek, złamań, zwiększonego ryzyka demencji, zwiększonej częstości infekcji C</w:t>
      </w:r>
      <w:r w:rsidR="004D3AA5">
        <w:rPr>
          <w:rFonts w:asciiTheme="minorHAnsi" w:hAnsiTheme="minorHAnsi" w:cs="Times New Roman"/>
          <w:i/>
          <w:color w:val="000000"/>
          <w:sz w:val="22"/>
          <w:szCs w:val="22"/>
        </w:rPr>
        <w:t>.</w:t>
      </w:r>
      <w:r w:rsidR="004D3AA5" w:rsidRPr="004D3AA5">
        <w:rPr>
          <w:rFonts w:asciiTheme="minorHAnsi" w:hAnsiTheme="minorHAnsi" w:cs="Times New Roman"/>
          <w:i/>
          <w:color w:val="000000"/>
          <w:sz w:val="22"/>
          <w:szCs w:val="22"/>
        </w:rPr>
        <w:t xml:space="preserve"> difficile, niedoboru witaminy B12, hipomagnezemii, infekcji jeli</w:t>
      </w:r>
      <w:r w:rsidR="004D3AA5">
        <w:rPr>
          <w:rFonts w:asciiTheme="minorHAnsi" w:hAnsiTheme="minorHAnsi" w:cs="Times New Roman"/>
          <w:i/>
          <w:color w:val="000000"/>
          <w:sz w:val="22"/>
          <w:szCs w:val="22"/>
        </w:rPr>
        <w:t>towych – przerostu bakteryjnego</w:t>
      </w:r>
      <w:r w:rsidRPr="00AE15DA">
        <w:rPr>
          <w:rFonts w:asciiTheme="minorHAnsi" w:hAnsiTheme="minorHAnsi" w:cs="Times New Roman"/>
          <w:i/>
          <w:color w:val="000000"/>
          <w:sz w:val="22"/>
          <w:szCs w:val="22"/>
        </w:rPr>
        <w:t>.</w:t>
      </w:r>
    </w:p>
    <w:p w:rsidR="00FF4066" w:rsidRPr="00AE15DA" w:rsidRDefault="00FF4066" w:rsidP="0043334F">
      <w:pPr>
        <w:spacing w:before="100" w:beforeAutospacing="1" w:after="100" w:afterAutospacing="1"/>
        <w:contextualSpacing/>
        <w:jc w:val="both"/>
        <w:rPr>
          <w:rFonts w:asciiTheme="minorHAnsi" w:hAnsiTheme="minorHAnsi"/>
          <w:b/>
          <w:sz w:val="22"/>
          <w:szCs w:val="22"/>
          <w:shd w:val="clear" w:color="auto" w:fill="FFFFFF"/>
        </w:rPr>
      </w:pPr>
    </w:p>
    <w:p w:rsidR="00A97094" w:rsidRPr="00AE15DA" w:rsidRDefault="007A7469" w:rsidP="004D3AA5">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shd w:val="clear" w:color="auto" w:fill="FFFFFF"/>
        </w:rPr>
        <w:t xml:space="preserve">C6. </w:t>
      </w:r>
      <w:r w:rsidR="004D3AA5" w:rsidRPr="004D3AA5">
        <w:rPr>
          <w:rFonts w:asciiTheme="minorHAnsi" w:hAnsiTheme="minorHAnsi"/>
          <w:b/>
          <w:sz w:val="22"/>
          <w:szCs w:val="22"/>
          <w:shd w:val="clear" w:color="auto" w:fill="FFFFFF"/>
        </w:rPr>
        <w:t xml:space="preserve">Stosowanie antycholinergicznych leków przeciwskurczowych przewodu pokarmowego </w:t>
      </w:r>
      <w:proofErr w:type="gramStart"/>
      <w:r w:rsidR="004D3AA5" w:rsidRPr="004D3AA5">
        <w:rPr>
          <w:rFonts w:asciiTheme="minorHAnsi" w:hAnsiTheme="minorHAnsi"/>
          <w:b/>
          <w:sz w:val="22"/>
          <w:szCs w:val="22"/>
          <w:shd w:val="clear" w:color="auto" w:fill="FFFFFF"/>
        </w:rPr>
        <w:t>(</w:t>
      </w:r>
      <w:proofErr w:type="gramEnd"/>
      <w:r w:rsidR="004D3AA5" w:rsidRPr="004D3AA5">
        <w:rPr>
          <w:rFonts w:asciiTheme="minorHAnsi" w:hAnsiTheme="minorHAnsi"/>
          <w:b/>
          <w:sz w:val="22"/>
          <w:szCs w:val="22"/>
          <w:shd w:val="clear" w:color="auto" w:fill="FFFFFF"/>
        </w:rPr>
        <w:t>np. hioscyjaminy</w:t>
      </w:r>
      <w:proofErr w:type="gramStart"/>
      <w:r w:rsidR="004D3AA5" w:rsidRPr="004D3AA5">
        <w:rPr>
          <w:rFonts w:asciiTheme="minorHAnsi" w:hAnsiTheme="minorHAnsi"/>
          <w:b/>
          <w:sz w:val="22"/>
          <w:szCs w:val="22"/>
          <w:shd w:val="clear" w:color="auto" w:fill="FFFFFF"/>
        </w:rPr>
        <w:t>)</w:t>
      </w:r>
      <w:proofErr w:type="gramEnd"/>
      <w:r w:rsidR="004D3AA5" w:rsidRPr="004D3AA5">
        <w:rPr>
          <w:rFonts w:asciiTheme="minorHAnsi" w:hAnsiTheme="minorHAnsi"/>
          <w:b/>
          <w:sz w:val="22"/>
          <w:szCs w:val="22"/>
          <w:shd w:val="clear" w:color="auto" w:fill="FFFFFF"/>
        </w:rPr>
        <w:t xml:space="preserve"> nie jest właściwe [zwiększone antycholinergiczne skutki uboczne (zawroty głowy, zmniejszone zdolności poznawcze, niewyraźne widzenie, arytmia, wzdęcia-zaparcia) i ograniczona użyteczność u osób starszych]</w:t>
      </w:r>
    </w:p>
    <w:p w:rsidR="00A97094" w:rsidRPr="00AE15DA" w:rsidRDefault="00A97094" w:rsidP="0043334F">
      <w:pPr>
        <w:spacing w:before="100" w:beforeAutospacing="1" w:after="100" w:afterAutospacing="1"/>
        <w:contextualSpacing/>
        <w:rPr>
          <w:rFonts w:asciiTheme="minorHAnsi" w:hAnsiTheme="minorHAnsi"/>
          <w:b/>
          <w:sz w:val="22"/>
          <w:szCs w:val="22"/>
        </w:rPr>
      </w:pPr>
    </w:p>
    <w:p w:rsidR="007B6ECF" w:rsidRPr="00AE15DA" w:rsidRDefault="007A7469" w:rsidP="0043334F">
      <w:pPr>
        <w:spacing w:before="100" w:beforeAutospacing="1" w:after="100" w:afterAutospacing="1"/>
        <w:contextualSpacing/>
        <w:rPr>
          <w:rFonts w:asciiTheme="minorHAnsi" w:hAnsiTheme="minorHAnsi" w:cstheme="minorHAnsi"/>
          <w:color w:val="000000" w:themeColor="text1"/>
          <w:sz w:val="22"/>
          <w:szCs w:val="22"/>
        </w:rPr>
      </w:pPr>
      <w:r w:rsidRPr="00AE15DA">
        <w:rPr>
          <w:rFonts w:asciiTheme="minorHAnsi" w:hAnsiTheme="minorHAnsi"/>
          <w:b/>
          <w:sz w:val="22"/>
          <w:szCs w:val="22"/>
        </w:rPr>
        <w:t xml:space="preserve">C7. </w:t>
      </w:r>
      <w:r w:rsidR="004D3AA5" w:rsidRPr="004D3AA5">
        <w:rPr>
          <w:rFonts w:asciiTheme="minorHAnsi" w:hAnsiTheme="minorHAnsi"/>
          <w:b/>
          <w:sz w:val="22"/>
          <w:szCs w:val="22"/>
        </w:rPr>
        <w:t>U pacjentów z przewlekłymi zaparciami, jeśli istnieją leki alternatywne, które nie powodują tego działania niepożądanego, stosowanie leków, które mogą powodować zaparcia (leki o silnym działaniu antycholinergicznym, doustne żelazo, opioidy, werapamil, glinowe leki zobojętniające) nie jest właściwe (ryzyko zwiększonego zaparcia)</w:t>
      </w:r>
    </w:p>
    <w:p w:rsidR="00A97094" w:rsidRPr="00AE15DA" w:rsidRDefault="00316C80" w:rsidP="0043334F">
      <w:pPr>
        <w:spacing w:after="100" w:afterAutospacing="1"/>
        <w:contextualSpacing/>
        <w:jc w:val="both"/>
        <w:rPr>
          <w:rFonts w:asciiTheme="minorHAnsi" w:hAnsiTheme="minorHAnsi"/>
          <w:i/>
          <w:sz w:val="22"/>
          <w:szCs w:val="22"/>
        </w:rPr>
      </w:pPr>
      <w:r w:rsidRPr="00AE15DA">
        <w:rPr>
          <w:rFonts w:asciiTheme="minorHAnsi" w:hAnsiTheme="minorHAnsi"/>
          <w:i/>
          <w:sz w:val="22"/>
          <w:szCs w:val="22"/>
        </w:rPr>
        <w:t>*</w:t>
      </w:r>
      <w:r w:rsidR="004D3AA5" w:rsidRPr="004D3AA5">
        <w:t xml:space="preserve"> </w:t>
      </w:r>
      <w:r w:rsidR="004D3AA5" w:rsidRPr="004D3AA5">
        <w:rPr>
          <w:rFonts w:asciiTheme="minorHAnsi" w:hAnsiTheme="minorHAnsi"/>
          <w:i/>
          <w:sz w:val="22"/>
          <w:szCs w:val="22"/>
        </w:rPr>
        <w:t xml:space="preserve">Blokery kanału wapniowego inne niż werapamil mogą również powodować zaparcia. Jednak </w:t>
      </w:r>
      <w:proofErr w:type="gramStart"/>
      <w:r w:rsidR="004D3AA5" w:rsidRPr="004D3AA5">
        <w:rPr>
          <w:rFonts w:asciiTheme="minorHAnsi" w:hAnsiTheme="minorHAnsi"/>
          <w:i/>
          <w:sz w:val="22"/>
          <w:szCs w:val="22"/>
        </w:rPr>
        <w:t>efekt</w:t>
      </w:r>
      <w:proofErr w:type="gramEnd"/>
      <w:r w:rsidR="004D3AA5" w:rsidRPr="004D3AA5">
        <w:rPr>
          <w:rFonts w:asciiTheme="minorHAnsi" w:hAnsiTheme="minorHAnsi"/>
          <w:i/>
          <w:sz w:val="22"/>
          <w:szCs w:val="22"/>
        </w:rPr>
        <w:t xml:space="preserve"> ten jest bardziej wyraźny w przypadku odpo</w:t>
      </w:r>
      <w:r w:rsidR="004D3AA5">
        <w:rPr>
          <w:rFonts w:asciiTheme="minorHAnsi" w:hAnsiTheme="minorHAnsi"/>
          <w:i/>
          <w:sz w:val="22"/>
          <w:szCs w:val="22"/>
        </w:rPr>
        <w:t>wiednio werapamilu i nifedypiny</w:t>
      </w:r>
      <w:r w:rsidRPr="00AE15DA">
        <w:rPr>
          <w:rFonts w:asciiTheme="minorHAnsi" w:hAnsiTheme="minorHAnsi"/>
          <w:i/>
          <w:sz w:val="22"/>
          <w:szCs w:val="22"/>
        </w:rPr>
        <w:t>.</w:t>
      </w:r>
    </w:p>
    <w:p w:rsidR="0043334F" w:rsidRPr="00AE15DA" w:rsidRDefault="0043334F" w:rsidP="0043334F">
      <w:pPr>
        <w:spacing w:after="100" w:afterAutospacing="1"/>
        <w:contextualSpacing/>
        <w:jc w:val="both"/>
        <w:rPr>
          <w:rFonts w:asciiTheme="minorHAnsi" w:hAnsiTheme="minorHAnsi" w:cstheme="minorHAnsi"/>
          <w:sz w:val="22"/>
          <w:szCs w:val="22"/>
          <w:lang w:eastAsia="en-GB"/>
        </w:rPr>
      </w:pPr>
    </w:p>
    <w:p w:rsidR="00364C7E" w:rsidRPr="00AE15DA" w:rsidRDefault="00364C7E" w:rsidP="0043334F">
      <w:pPr>
        <w:spacing w:before="100" w:beforeAutospacing="1" w:after="100" w:afterAutospacing="1"/>
        <w:contextualSpacing/>
        <w:jc w:val="both"/>
        <w:rPr>
          <w:rFonts w:asciiTheme="minorHAnsi" w:hAnsiTheme="minorHAnsi" w:cstheme="minorHAnsi"/>
          <w:color w:val="000000"/>
          <w:sz w:val="22"/>
          <w:szCs w:val="22"/>
        </w:rPr>
      </w:pPr>
    </w:p>
    <w:p w:rsidR="007A7469" w:rsidRPr="00AE15DA" w:rsidRDefault="007A7469" w:rsidP="0043334F">
      <w:pPr>
        <w:spacing w:before="100" w:beforeAutospacing="1" w:after="100" w:afterAutospacing="1"/>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 xml:space="preserve">C8. </w:t>
      </w:r>
      <w:r w:rsidR="004D3AA5" w:rsidRPr="004D3AA5">
        <w:rPr>
          <w:rFonts w:asciiTheme="minorHAnsi" w:hAnsiTheme="minorHAnsi"/>
          <w:b/>
          <w:color w:val="000000"/>
          <w:sz w:val="22"/>
          <w:szCs w:val="22"/>
        </w:rPr>
        <w:t>Stosowanie metoklopramidu lub trimetobenzamidu w pierwszej linii leczenia przeciwwymiotnego u osób starszych jest niewskazane (ze względu na pozapiramidowe skutki uboczne, niepokój)</w:t>
      </w:r>
      <w:r w:rsidRPr="00AE15DA">
        <w:rPr>
          <w:rFonts w:asciiTheme="minorHAnsi" w:hAnsiTheme="minorHAnsi"/>
          <w:b/>
          <w:sz w:val="22"/>
          <w:szCs w:val="22"/>
        </w:rPr>
        <w:t xml:space="preserve"> </w:t>
      </w:r>
    </w:p>
    <w:p w:rsidR="005E391F" w:rsidRPr="00AE15DA" w:rsidRDefault="005E391F" w:rsidP="0043334F">
      <w:pPr>
        <w:shd w:val="clear" w:color="auto" w:fill="FFFFFF"/>
        <w:contextualSpacing/>
        <w:jc w:val="both"/>
        <w:textAlignment w:val="top"/>
        <w:rPr>
          <w:rFonts w:asciiTheme="minorHAnsi" w:hAnsiTheme="minorHAnsi"/>
          <w:i/>
          <w:sz w:val="22"/>
          <w:szCs w:val="22"/>
          <w:shd w:val="clear" w:color="auto" w:fill="FFFFFF"/>
        </w:rPr>
      </w:pPr>
      <w:r w:rsidRPr="00AE15DA">
        <w:rPr>
          <w:rFonts w:asciiTheme="minorHAnsi" w:hAnsiTheme="minorHAnsi"/>
          <w:i/>
          <w:sz w:val="22"/>
          <w:szCs w:val="22"/>
        </w:rPr>
        <w:t>*</w:t>
      </w:r>
      <w:r w:rsidR="002942D2" w:rsidRPr="002942D2">
        <w:t xml:space="preserve"> </w:t>
      </w:r>
      <w:r w:rsidR="002942D2" w:rsidRPr="002942D2">
        <w:rPr>
          <w:rFonts w:asciiTheme="minorHAnsi" w:hAnsiTheme="minorHAnsi"/>
          <w:i/>
          <w:sz w:val="22"/>
          <w:szCs w:val="22"/>
        </w:rPr>
        <w:t>Jako środki przeciwwymiotne, antagoniści receptora serotoninowego 5HT3 są najbezpieczniejszymi środkami u osób starszych</w:t>
      </w:r>
      <w:r w:rsidRPr="00AE15DA">
        <w:rPr>
          <w:rFonts w:asciiTheme="minorHAnsi" w:hAnsiTheme="minorHAnsi"/>
          <w:i/>
          <w:sz w:val="22"/>
          <w:szCs w:val="22"/>
          <w:shd w:val="clear" w:color="auto" w:fill="FFFFFF"/>
        </w:rPr>
        <w:t xml:space="preserve">. </w:t>
      </w:r>
    </w:p>
    <w:p w:rsidR="00316C80" w:rsidRPr="00AE15DA" w:rsidRDefault="00316C80" w:rsidP="0043334F">
      <w:pPr>
        <w:shd w:val="clear" w:color="auto" w:fill="FFFFFF"/>
        <w:contextualSpacing/>
        <w:jc w:val="both"/>
        <w:textAlignment w:val="top"/>
        <w:rPr>
          <w:rFonts w:asciiTheme="minorHAnsi" w:hAnsiTheme="minorHAnsi"/>
          <w:i/>
          <w:sz w:val="22"/>
          <w:szCs w:val="22"/>
        </w:rPr>
      </w:pPr>
      <w:r w:rsidRPr="00AE15DA">
        <w:rPr>
          <w:rFonts w:asciiTheme="minorHAnsi" w:hAnsiTheme="minorHAnsi"/>
          <w:i/>
          <w:sz w:val="22"/>
          <w:szCs w:val="22"/>
        </w:rPr>
        <w:t>*</w:t>
      </w:r>
      <w:r w:rsidR="002942D2" w:rsidRPr="002942D2">
        <w:t xml:space="preserve"> </w:t>
      </w:r>
      <w:r w:rsidR="002942D2" w:rsidRPr="002942D2">
        <w:rPr>
          <w:rFonts w:asciiTheme="minorHAnsi" w:hAnsiTheme="minorHAnsi"/>
          <w:i/>
          <w:sz w:val="22"/>
          <w:szCs w:val="22"/>
        </w:rPr>
        <w:t>Metoklopramid i trimetobenzamid są przeciwwskaza</w:t>
      </w:r>
      <w:r w:rsidR="002942D2">
        <w:rPr>
          <w:rFonts w:asciiTheme="minorHAnsi" w:hAnsiTheme="minorHAnsi"/>
          <w:i/>
          <w:sz w:val="22"/>
          <w:szCs w:val="22"/>
        </w:rPr>
        <w:t>ne u pacjentów z parkinsonizmem</w:t>
      </w:r>
      <w:r w:rsidRPr="00AE15DA">
        <w:rPr>
          <w:rFonts w:asciiTheme="minorHAnsi" w:hAnsiTheme="minorHAnsi"/>
          <w:i/>
          <w:sz w:val="22"/>
          <w:szCs w:val="22"/>
        </w:rPr>
        <w:t>.</w:t>
      </w:r>
    </w:p>
    <w:p w:rsidR="00642443" w:rsidRPr="00AE15DA" w:rsidRDefault="00642443" w:rsidP="0043334F">
      <w:pPr>
        <w:spacing w:before="100" w:beforeAutospacing="1" w:after="100" w:afterAutospacing="1"/>
        <w:contextualSpacing/>
        <w:jc w:val="both"/>
        <w:rPr>
          <w:rFonts w:asciiTheme="minorHAnsi" w:hAnsiTheme="minorHAnsi"/>
          <w:b/>
          <w:color w:val="000000"/>
          <w:sz w:val="22"/>
          <w:szCs w:val="22"/>
        </w:rPr>
      </w:pPr>
    </w:p>
    <w:p w:rsidR="007A7469" w:rsidRPr="00AE15DA" w:rsidRDefault="007A7469" w:rsidP="0043334F">
      <w:pPr>
        <w:spacing w:before="100" w:beforeAutospacing="1" w:after="100" w:afterAutospacing="1"/>
        <w:contextualSpacing/>
        <w:jc w:val="both"/>
        <w:rPr>
          <w:rFonts w:asciiTheme="minorHAnsi" w:hAnsiTheme="minorHAnsi"/>
          <w:b/>
          <w:color w:val="000000"/>
          <w:sz w:val="22"/>
          <w:szCs w:val="22"/>
        </w:rPr>
      </w:pPr>
      <w:r w:rsidRPr="00AE15DA">
        <w:rPr>
          <w:rFonts w:asciiTheme="minorHAnsi" w:hAnsiTheme="minorHAnsi"/>
          <w:b/>
          <w:color w:val="000000"/>
          <w:sz w:val="22"/>
          <w:szCs w:val="22"/>
        </w:rPr>
        <w:t xml:space="preserve">C9. </w:t>
      </w:r>
      <w:r w:rsidR="002942D2" w:rsidRPr="002942D2">
        <w:rPr>
          <w:rFonts w:asciiTheme="minorHAnsi" w:hAnsiTheme="minorHAnsi"/>
          <w:b/>
          <w:color w:val="000000"/>
          <w:sz w:val="22"/>
          <w:szCs w:val="22"/>
        </w:rPr>
        <w:t>Stosowanie preparatów magnezowych jako środków przeczyszczających lub zobojętniających kwas jest niewskazane u pacjentów z GFR &lt; 30 ml/min/1,73m2 (ryzyko hipermagnezemii)</w:t>
      </w:r>
      <w:r w:rsidRPr="00AE15DA">
        <w:rPr>
          <w:rFonts w:asciiTheme="minorHAnsi" w:hAnsiTheme="minorHAnsi"/>
          <w:b/>
          <w:color w:val="000000"/>
          <w:sz w:val="22"/>
          <w:szCs w:val="22"/>
        </w:rPr>
        <w:t xml:space="preserve"> </w:t>
      </w:r>
    </w:p>
    <w:p w:rsidR="00316725" w:rsidRPr="00AE15DA" w:rsidRDefault="007A7469" w:rsidP="0043334F">
      <w:pPr>
        <w:spacing w:before="100" w:beforeAutospacing="1" w:after="100" w:afterAutospacing="1"/>
        <w:contextualSpacing/>
        <w:jc w:val="both"/>
        <w:rPr>
          <w:rFonts w:asciiTheme="minorHAnsi" w:hAnsiTheme="minorHAnsi"/>
          <w:color w:val="000000" w:themeColor="text1"/>
          <w:sz w:val="22"/>
          <w:szCs w:val="22"/>
          <w:vertAlign w:val="superscript"/>
        </w:rPr>
      </w:pPr>
      <w:r w:rsidRPr="00AE15DA">
        <w:rPr>
          <w:rFonts w:asciiTheme="minorHAnsi" w:hAnsiTheme="minorHAnsi"/>
          <w:color w:val="000000" w:themeColor="text1"/>
          <w:sz w:val="22"/>
          <w:szCs w:val="22"/>
          <w:vertAlign w:val="superscript"/>
        </w:rPr>
        <w:t xml:space="preserve"> </w:t>
      </w:r>
    </w:p>
    <w:p w:rsidR="00642443" w:rsidRPr="00AE15DA" w:rsidRDefault="00642443" w:rsidP="0043334F">
      <w:pPr>
        <w:spacing w:before="100" w:beforeAutospacing="1" w:after="100" w:afterAutospacing="1"/>
        <w:contextualSpacing/>
        <w:jc w:val="both"/>
        <w:rPr>
          <w:rFonts w:asciiTheme="minorHAnsi" w:eastAsiaTheme="majorEastAsia" w:hAnsiTheme="minorHAnsi" w:cstheme="minorHAnsi"/>
          <w:i/>
          <w:color w:val="000000"/>
          <w:sz w:val="22"/>
          <w:szCs w:val="22"/>
        </w:rPr>
      </w:pPr>
    </w:p>
    <w:p w:rsidR="004816D3" w:rsidRPr="00AE15DA" w:rsidRDefault="00642443" w:rsidP="0043334F">
      <w:pPr>
        <w:contextualSpacing/>
        <w:jc w:val="both"/>
        <w:rPr>
          <w:rFonts w:asciiTheme="minorHAnsi" w:hAnsiTheme="minorHAnsi"/>
          <w:b/>
          <w:sz w:val="28"/>
          <w:szCs w:val="28"/>
        </w:rPr>
      </w:pPr>
      <w:r w:rsidRPr="00AE15DA">
        <w:rPr>
          <w:rFonts w:asciiTheme="minorHAnsi" w:hAnsiTheme="minorHAnsi"/>
          <w:b/>
          <w:sz w:val="28"/>
          <w:szCs w:val="28"/>
        </w:rPr>
        <w:t xml:space="preserve">D: </w:t>
      </w:r>
      <w:r w:rsidR="002942D2" w:rsidRPr="002942D2">
        <w:rPr>
          <w:rFonts w:asciiTheme="minorHAnsi" w:hAnsiTheme="minorHAnsi"/>
          <w:b/>
          <w:sz w:val="28"/>
          <w:szCs w:val="28"/>
        </w:rPr>
        <w:t>Kryteria układu oddechowego</w:t>
      </w:r>
      <w:r w:rsidRPr="00AE15DA">
        <w:rPr>
          <w:rFonts w:asciiTheme="minorHAnsi" w:hAnsiTheme="minorHAnsi"/>
          <w:b/>
          <w:sz w:val="28"/>
          <w:szCs w:val="28"/>
        </w:rPr>
        <w:t>.</w:t>
      </w:r>
    </w:p>
    <w:p w:rsidR="00A97094" w:rsidRPr="00AE15DA" w:rsidRDefault="00A97094" w:rsidP="0043334F">
      <w:pPr>
        <w:spacing w:before="100" w:beforeAutospacing="1" w:after="100" w:afterAutospacing="1"/>
        <w:contextualSpacing/>
        <w:jc w:val="both"/>
        <w:rPr>
          <w:rFonts w:asciiTheme="minorHAnsi" w:hAnsiTheme="minorHAnsi"/>
          <w:b/>
          <w:sz w:val="22"/>
          <w:szCs w:val="22"/>
        </w:rPr>
      </w:pPr>
    </w:p>
    <w:p w:rsidR="00112690" w:rsidRPr="00AE15DA" w:rsidRDefault="0096255B"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D1</w:t>
      </w:r>
      <w:r w:rsidR="004816D3" w:rsidRPr="00AE15DA">
        <w:rPr>
          <w:rFonts w:asciiTheme="minorHAnsi" w:hAnsiTheme="minorHAnsi"/>
          <w:b/>
          <w:sz w:val="22"/>
          <w:szCs w:val="22"/>
        </w:rPr>
        <w:t xml:space="preserve">. </w:t>
      </w:r>
      <w:r w:rsidR="002942D2" w:rsidRPr="002942D2">
        <w:rPr>
          <w:rFonts w:asciiTheme="minorHAnsi" w:hAnsiTheme="minorHAnsi"/>
          <w:b/>
          <w:sz w:val="22"/>
          <w:szCs w:val="22"/>
        </w:rPr>
        <w:t>Stosowanie leków przeciwmuskarynowych rozszerzających oskrzela (ipratropium, tiotropium) nie jest wskazane u pacjentów z jaskrą z wąskim kątem lub utrudnionym odpływem moczu (ryzyko nasilenia jaskry i zatrzymania moczu)</w:t>
      </w:r>
      <w:r w:rsidR="00112690" w:rsidRPr="00AE15DA">
        <w:rPr>
          <w:rFonts w:asciiTheme="minorHAnsi" w:hAnsiTheme="minorHAnsi"/>
          <w:b/>
          <w:sz w:val="22"/>
          <w:szCs w:val="22"/>
        </w:rPr>
        <w:t xml:space="preserve"> </w:t>
      </w:r>
    </w:p>
    <w:p w:rsidR="00B46CF1" w:rsidRPr="00AE15DA" w:rsidRDefault="00B46CF1" w:rsidP="0043334F">
      <w:pPr>
        <w:spacing w:before="100" w:beforeAutospacing="1" w:after="100" w:afterAutospacing="1"/>
        <w:contextualSpacing/>
        <w:jc w:val="both"/>
        <w:rPr>
          <w:rFonts w:asciiTheme="minorHAnsi" w:hAnsiTheme="minorHAnsi"/>
          <w:bCs/>
          <w:i/>
          <w:color w:val="000000" w:themeColor="text1"/>
          <w:sz w:val="22"/>
          <w:szCs w:val="22"/>
        </w:rPr>
      </w:pPr>
      <w:r w:rsidRPr="00AE15DA">
        <w:rPr>
          <w:rFonts w:asciiTheme="minorHAnsi" w:hAnsiTheme="minorHAnsi"/>
          <w:bCs/>
          <w:i/>
          <w:color w:val="000000" w:themeColor="text1"/>
          <w:sz w:val="22"/>
          <w:szCs w:val="22"/>
        </w:rPr>
        <w:t>*</w:t>
      </w:r>
      <w:r w:rsidR="002942D2" w:rsidRPr="002942D2">
        <w:t xml:space="preserve"> </w:t>
      </w:r>
      <w:r w:rsidR="002942D2" w:rsidRPr="002942D2">
        <w:rPr>
          <w:rFonts w:asciiTheme="minorHAnsi" w:hAnsiTheme="minorHAnsi"/>
          <w:bCs/>
          <w:i/>
          <w:color w:val="000000" w:themeColor="text1"/>
          <w:sz w:val="22"/>
          <w:szCs w:val="22"/>
        </w:rPr>
        <w:t>Obturacyjne objawy LUTS (objawy z dolnych dróg moczowych) towarzyszące łagodnemu przerostowi gruczołu krokowego są częste u starszych mężczyzn. W przypadku łagodnych objawów obturacyjnych lekarz może zastosować leki przeciwmuskarynowe rozszerzające oskrzela pod ścisłą obserwacją kliniczną. Pod względem skutków ubocznych związanych z zatrzymaniem moczu przypadki z PMR &gt;150 ml są szczególnie ryzykowne. (Nie nadaje się do stosowania w przypadku &gt;150 ml)</w:t>
      </w:r>
    </w:p>
    <w:p w:rsidR="00642443" w:rsidRPr="00AE15DA" w:rsidRDefault="0064244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A97094" w:rsidRPr="00AE15DA" w:rsidRDefault="00A97094" w:rsidP="0043334F">
      <w:pPr>
        <w:contextualSpacing/>
        <w:rPr>
          <w:rFonts w:asciiTheme="minorHAnsi" w:hAnsiTheme="minorHAnsi" w:cstheme="minorHAnsi"/>
          <w:sz w:val="22"/>
          <w:szCs w:val="22"/>
        </w:rPr>
      </w:pPr>
    </w:p>
    <w:p w:rsidR="00112690" w:rsidRPr="00AE15DA" w:rsidRDefault="00112690" w:rsidP="0043334F">
      <w:pPr>
        <w:contextualSpacing/>
        <w:rPr>
          <w:rFonts w:asciiTheme="minorHAnsi" w:hAnsiTheme="minorHAnsi" w:cstheme="minorHAnsi"/>
          <w:sz w:val="22"/>
          <w:szCs w:val="22"/>
        </w:rPr>
      </w:pPr>
      <w:r w:rsidRPr="00AE15DA">
        <w:rPr>
          <w:rFonts w:asciiTheme="minorHAnsi" w:hAnsiTheme="minorHAnsi"/>
          <w:b/>
          <w:color w:val="000000"/>
          <w:sz w:val="22"/>
          <w:szCs w:val="22"/>
        </w:rPr>
        <w:t xml:space="preserve">D2. </w:t>
      </w:r>
      <w:r w:rsidR="002942D2" w:rsidRPr="002942D2">
        <w:rPr>
          <w:rFonts w:asciiTheme="minorHAnsi" w:hAnsiTheme="minorHAnsi"/>
          <w:b/>
          <w:color w:val="000000"/>
          <w:sz w:val="22"/>
          <w:szCs w:val="22"/>
        </w:rPr>
        <w:t xml:space="preserve">Teofilina nie nadaje się do leczenia podtrzymującego </w:t>
      </w:r>
      <w:r w:rsidR="002942D2">
        <w:rPr>
          <w:rFonts w:asciiTheme="minorHAnsi" w:hAnsiTheme="minorHAnsi"/>
          <w:b/>
          <w:color w:val="000000"/>
          <w:sz w:val="22"/>
          <w:szCs w:val="22"/>
        </w:rPr>
        <w:t>KOAH</w:t>
      </w:r>
      <w:r w:rsidR="002942D2" w:rsidRPr="002942D2">
        <w:rPr>
          <w:rFonts w:asciiTheme="minorHAnsi" w:hAnsiTheme="minorHAnsi"/>
          <w:b/>
          <w:color w:val="000000"/>
          <w:sz w:val="22"/>
          <w:szCs w:val="22"/>
        </w:rPr>
        <w:t xml:space="preserve"> lub astmy oskrzelowej (ze względu na wąski indeks terapeutyczny i wysokie ryzyko bezsenn</w:t>
      </w:r>
      <w:r w:rsidR="002942D2">
        <w:rPr>
          <w:rFonts w:asciiTheme="minorHAnsi" w:hAnsiTheme="minorHAnsi"/>
          <w:b/>
          <w:color w:val="000000"/>
          <w:sz w:val="22"/>
          <w:szCs w:val="22"/>
        </w:rPr>
        <w:t>ości, arytmii u osób starszych)</w:t>
      </w:r>
      <w:r w:rsidRPr="00AE15DA">
        <w:rPr>
          <w:rFonts w:asciiTheme="minorHAnsi" w:hAnsiTheme="minorHAnsi"/>
          <w:b/>
          <w:color w:val="000000"/>
          <w:sz w:val="22"/>
          <w:szCs w:val="22"/>
        </w:rPr>
        <w:t xml:space="preserve"> </w:t>
      </w:r>
    </w:p>
    <w:p w:rsidR="00FA22B8" w:rsidRPr="00AE15DA" w:rsidRDefault="00FA22B8" w:rsidP="0043334F">
      <w:pPr>
        <w:pStyle w:val="HTMLncedenBiimlendirilmi"/>
        <w:contextualSpacing/>
        <w:jc w:val="both"/>
        <w:rPr>
          <w:rFonts w:asciiTheme="minorHAnsi" w:hAnsiTheme="minorHAnsi" w:cstheme="minorHAnsi"/>
          <w:color w:val="000000"/>
          <w:sz w:val="22"/>
          <w:szCs w:val="22"/>
        </w:rPr>
      </w:pPr>
    </w:p>
    <w:p w:rsidR="007B4B4E" w:rsidRPr="00AE15DA" w:rsidRDefault="007B4B4E" w:rsidP="0043334F">
      <w:pPr>
        <w:pStyle w:val="HTMLncedenBiimlendirilmi"/>
        <w:contextualSpacing/>
        <w:jc w:val="both"/>
        <w:rPr>
          <w:rFonts w:asciiTheme="minorHAnsi" w:hAnsiTheme="minorHAnsi" w:cstheme="minorHAnsi"/>
          <w:color w:val="000000"/>
          <w:sz w:val="22"/>
          <w:szCs w:val="22"/>
        </w:rPr>
      </w:pPr>
    </w:p>
    <w:p w:rsidR="00364C7E" w:rsidRPr="00A63798" w:rsidRDefault="00112690" w:rsidP="0043334F">
      <w:pPr>
        <w:contextualSpacing/>
        <w:jc w:val="both"/>
        <w:rPr>
          <w:rFonts w:asciiTheme="minorHAnsi" w:hAnsiTheme="minorHAnsi"/>
          <w:b/>
          <w:sz w:val="22"/>
          <w:szCs w:val="22"/>
        </w:rPr>
      </w:pPr>
      <w:r w:rsidRPr="00AE15DA">
        <w:rPr>
          <w:rFonts w:asciiTheme="minorHAnsi" w:hAnsiTheme="minorHAnsi"/>
          <w:b/>
          <w:sz w:val="22"/>
          <w:szCs w:val="22"/>
        </w:rPr>
        <w:t xml:space="preserve">D3. </w:t>
      </w:r>
      <w:r w:rsidR="002942D2" w:rsidRPr="002942D2">
        <w:rPr>
          <w:rFonts w:asciiTheme="minorHAnsi" w:hAnsiTheme="minorHAnsi"/>
          <w:b/>
          <w:sz w:val="22"/>
          <w:szCs w:val="22"/>
        </w:rPr>
        <w:t xml:space="preserve">Kortykosteroidy ogólnoustrojowe, a nie wziewne, nie nadają się do leczenia podtrzymującego w umiarkowanej do ciężkiej </w:t>
      </w:r>
      <w:r w:rsidR="002942D2">
        <w:rPr>
          <w:rFonts w:asciiTheme="minorHAnsi" w:hAnsiTheme="minorHAnsi"/>
          <w:b/>
          <w:sz w:val="22"/>
          <w:szCs w:val="22"/>
        </w:rPr>
        <w:t>KOAH</w:t>
      </w:r>
      <w:r w:rsidR="002942D2" w:rsidRPr="002942D2">
        <w:rPr>
          <w:rFonts w:asciiTheme="minorHAnsi" w:hAnsiTheme="minorHAnsi"/>
          <w:b/>
          <w:sz w:val="22"/>
          <w:szCs w:val="22"/>
        </w:rPr>
        <w:t xml:space="preserve"> (długa, niepotrzebna ekspozycja na kortykosteroidy ogólnoustrojowe; dostępne są skuteczne terapie wziewne)</w:t>
      </w:r>
    </w:p>
    <w:p w:rsidR="00A97094" w:rsidRPr="00AE15DA" w:rsidRDefault="00642443" w:rsidP="0043334F">
      <w:pPr>
        <w:contextualSpacing/>
        <w:jc w:val="both"/>
        <w:rPr>
          <w:rFonts w:asciiTheme="minorHAnsi" w:hAnsiTheme="minorHAnsi"/>
          <w:b/>
          <w:sz w:val="28"/>
          <w:szCs w:val="28"/>
        </w:rPr>
      </w:pPr>
      <w:r w:rsidRPr="00AE15DA">
        <w:rPr>
          <w:rFonts w:asciiTheme="minorHAnsi" w:hAnsiTheme="minorHAnsi"/>
          <w:b/>
          <w:sz w:val="28"/>
          <w:szCs w:val="28"/>
        </w:rPr>
        <w:t>E</w:t>
      </w:r>
      <w:r w:rsidR="00B125CB" w:rsidRPr="00AE15DA">
        <w:rPr>
          <w:rFonts w:asciiTheme="minorHAnsi" w:hAnsiTheme="minorHAnsi"/>
          <w:b/>
          <w:sz w:val="28"/>
          <w:szCs w:val="28"/>
        </w:rPr>
        <w:t>:</w:t>
      </w:r>
      <w:r w:rsidRPr="00AE15DA">
        <w:rPr>
          <w:rFonts w:asciiTheme="minorHAnsi" w:hAnsiTheme="minorHAnsi"/>
          <w:b/>
          <w:sz w:val="28"/>
          <w:szCs w:val="28"/>
        </w:rPr>
        <w:t xml:space="preserve"> </w:t>
      </w:r>
      <w:r w:rsidR="002942D2" w:rsidRPr="002942D2">
        <w:rPr>
          <w:rFonts w:asciiTheme="minorHAnsi" w:hAnsiTheme="minorHAnsi"/>
          <w:b/>
          <w:sz w:val="28"/>
          <w:szCs w:val="28"/>
        </w:rPr>
        <w:t>Kryteria mięśniowo-szkieletowe i leki przeciwbólowe</w:t>
      </w:r>
      <w:r w:rsidRPr="00AE15DA">
        <w:rPr>
          <w:rFonts w:asciiTheme="minorHAnsi" w:hAnsiTheme="minorHAnsi"/>
          <w:b/>
          <w:sz w:val="28"/>
          <w:szCs w:val="28"/>
        </w:rPr>
        <w:t>.</w:t>
      </w:r>
    </w:p>
    <w:p w:rsidR="004816D3" w:rsidRPr="00AE15DA" w:rsidRDefault="004816D3"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 xml:space="preserve">E1. </w:t>
      </w:r>
      <w:r w:rsidR="002942D2" w:rsidRPr="002942D2">
        <w:rPr>
          <w:rFonts w:asciiTheme="minorHAnsi" w:hAnsiTheme="minorHAnsi"/>
          <w:b/>
          <w:sz w:val="22"/>
          <w:szCs w:val="22"/>
        </w:rPr>
        <w:t xml:space="preserve">Nie należy stosować </w:t>
      </w:r>
      <w:r w:rsidR="002942D2">
        <w:rPr>
          <w:rFonts w:asciiTheme="minorHAnsi" w:hAnsiTheme="minorHAnsi"/>
          <w:b/>
          <w:sz w:val="22"/>
          <w:szCs w:val="22"/>
        </w:rPr>
        <w:t>NSAII</w:t>
      </w:r>
      <w:r w:rsidR="002942D2" w:rsidRPr="002942D2">
        <w:rPr>
          <w:rFonts w:asciiTheme="minorHAnsi" w:hAnsiTheme="minorHAnsi"/>
          <w:b/>
          <w:sz w:val="22"/>
          <w:szCs w:val="22"/>
        </w:rPr>
        <w:t xml:space="preserve"> przez okres dłuższy niż 3 miesiące w pr</w:t>
      </w:r>
      <w:r w:rsidR="002942D2">
        <w:rPr>
          <w:rFonts w:asciiTheme="minorHAnsi" w:hAnsiTheme="minorHAnsi"/>
          <w:b/>
          <w:sz w:val="22"/>
          <w:szCs w:val="22"/>
        </w:rPr>
        <w:t>zypadku alternatywnego leczenia</w:t>
      </w:r>
    </w:p>
    <w:p w:rsidR="00994461" w:rsidRPr="00AE15DA" w:rsidRDefault="004816D3" w:rsidP="0043334F">
      <w:pPr>
        <w:contextualSpacing/>
        <w:jc w:val="both"/>
        <w:rPr>
          <w:rFonts w:asciiTheme="minorHAnsi" w:hAnsiTheme="minorHAnsi"/>
          <w:i/>
          <w:sz w:val="22"/>
          <w:szCs w:val="22"/>
        </w:rPr>
      </w:pPr>
      <w:r w:rsidRPr="00AE15DA">
        <w:rPr>
          <w:rFonts w:asciiTheme="minorHAnsi" w:hAnsiTheme="minorHAnsi"/>
          <w:sz w:val="22"/>
          <w:szCs w:val="22"/>
        </w:rPr>
        <w:t>*</w:t>
      </w:r>
      <w:r w:rsidR="00A63798" w:rsidRPr="00A63798">
        <w:t xml:space="preserve"> </w:t>
      </w:r>
      <w:r w:rsidR="00A63798" w:rsidRPr="00A63798">
        <w:rPr>
          <w:rFonts w:asciiTheme="minorHAnsi" w:hAnsiTheme="minorHAnsi"/>
          <w:i/>
          <w:sz w:val="22"/>
          <w:szCs w:val="22"/>
        </w:rPr>
        <w:t>W przypadku bólu związanego z chorobą zwyrodnieniową stawów i bólu prostego (ukł</w:t>
      </w:r>
      <w:proofErr w:type="gramStart"/>
      <w:r w:rsidR="00A63798" w:rsidRPr="00A63798">
        <w:rPr>
          <w:rFonts w:asciiTheme="minorHAnsi" w:hAnsiTheme="minorHAnsi"/>
          <w:i/>
          <w:sz w:val="22"/>
          <w:szCs w:val="22"/>
        </w:rPr>
        <w:t>ad mi</w:t>
      </w:r>
      <w:proofErr w:type="gramEnd"/>
      <w:r w:rsidR="00A63798" w:rsidRPr="00A63798">
        <w:rPr>
          <w:rFonts w:asciiTheme="minorHAnsi" w:hAnsiTheme="minorHAnsi"/>
          <w:i/>
          <w:sz w:val="22"/>
          <w:szCs w:val="22"/>
        </w:rPr>
        <w:t>ęśniowo-szkieletowy, ból głowy itp.) w pierwszej kolejności należy zastosować leczenie paracetamolem (można rozważyć skojarzenie leczenia paracetamolem z metamizolem, kod</w:t>
      </w:r>
      <w:r w:rsidR="00A63798">
        <w:rPr>
          <w:rFonts w:asciiTheme="minorHAnsi" w:hAnsiTheme="minorHAnsi"/>
          <w:i/>
          <w:sz w:val="22"/>
          <w:szCs w:val="22"/>
        </w:rPr>
        <w:t>eina w małych dawkach/tramadol).</w:t>
      </w:r>
    </w:p>
    <w:p w:rsidR="004D50E2" w:rsidRPr="00AE15DA" w:rsidRDefault="00AE67BB" w:rsidP="0043334F">
      <w:pPr>
        <w:contextualSpacing/>
        <w:jc w:val="both"/>
        <w:rPr>
          <w:rFonts w:asciiTheme="minorHAnsi" w:hAnsiTheme="minorHAnsi"/>
          <w:sz w:val="22"/>
          <w:szCs w:val="22"/>
        </w:rPr>
      </w:pPr>
      <w:r w:rsidRPr="00AE15DA">
        <w:rPr>
          <w:rFonts w:asciiTheme="minorHAnsi" w:hAnsiTheme="minorHAnsi"/>
          <w:i/>
          <w:sz w:val="22"/>
          <w:szCs w:val="22"/>
        </w:rPr>
        <w:t>*</w:t>
      </w:r>
      <w:r w:rsidR="00A63798" w:rsidRPr="00A63798">
        <w:t xml:space="preserve"> </w:t>
      </w:r>
      <w:r w:rsidR="00A63798" w:rsidRPr="00A63798">
        <w:rPr>
          <w:rFonts w:asciiTheme="minorHAnsi" w:hAnsiTheme="minorHAnsi"/>
          <w:i/>
          <w:sz w:val="22"/>
          <w:szCs w:val="22"/>
        </w:rPr>
        <w:t xml:space="preserve">Przypadki stosowania </w:t>
      </w:r>
      <w:r w:rsidR="00A63798">
        <w:rPr>
          <w:rFonts w:asciiTheme="minorHAnsi" w:hAnsiTheme="minorHAnsi"/>
          <w:i/>
          <w:sz w:val="22"/>
          <w:szCs w:val="22"/>
        </w:rPr>
        <w:t>NSAII</w:t>
      </w:r>
      <w:r w:rsidR="00A63798" w:rsidRPr="00A63798">
        <w:rPr>
          <w:rFonts w:asciiTheme="minorHAnsi" w:hAnsiTheme="minorHAnsi"/>
          <w:i/>
          <w:sz w:val="22"/>
          <w:szCs w:val="22"/>
        </w:rPr>
        <w:t xml:space="preserve"> powinny być ściśle obserwowane pod kątem dzia</w:t>
      </w:r>
      <w:r w:rsidR="00A63798">
        <w:rPr>
          <w:rFonts w:asciiTheme="minorHAnsi" w:hAnsiTheme="minorHAnsi"/>
          <w:i/>
          <w:sz w:val="22"/>
          <w:szCs w:val="22"/>
        </w:rPr>
        <w:t>łań niepożądanych (nefropatia, H</w:t>
      </w:r>
      <w:r w:rsidR="00A63798" w:rsidRPr="00A63798">
        <w:rPr>
          <w:rFonts w:asciiTheme="minorHAnsi" w:hAnsiTheme="minorHAnsi"/>
          <w:i/>
          <w:sz w:val="22"/>
          <w:szCs w:val="22"/>
        </w:rPr>
        <w:t>T, niewydolność serca, incydent sercowo-naczyniowy)</w:t>
      </w:r>
      <w:r w:rsidRPr="00AE15DA">
        <w:rPr>
          <w:rFonts w:asciiTheme="minorHAnsi" w:hAnsiTheme="minorHAnsi"/>
          <w:sz w:val="22"/>
          <w:szCs w:val="22"/>
        </w:rPr>
        <w:t xml:space="preserve">. </w:t>
      </w:r>
    </w:p>
    <w:p w:rsidR="00AE67BB" w:rsidRPr="00AE15DA" w:rsidRDefault="00AE67BB" w:rsidP="0043334F">
      <w:pPr>
        <w:contextualSpacing/>
        <w:jc w:val="both"/>
        <w:rPr>
          <w:rFonts w:asciiTheme="minorHAnsi" w:hAnsiTheme="minorHAnsi"/>
          <w:i/>
          <w:sz w:val="22"/>
          <w:szCs w:val="22"/>
        </w:rPr>
      </w:pPr>
      <w:r w:rsidRPr="00AE15DA">
        <w:rPr>
          <w:rFonts w:asciiTheme="minorHAnsi" w:hAnsiTheme="minorHAnsi"/>
          <w:sz w:val="22"/>
          <w:szCs w:val="22"/>
        </w:rPr>
        <w:t>*</w:t>
      </w:r>
      <w:r w:rsidR="00A63798" w:rsidRPr="00A63798">
        <w:t xml:space="preserve"> </w:t>
      </w:r>
      <w:r w:rsidR="00A63798" w:rsidRPr="00A63798">
        <w:rPr>
          <w:rFonts w:asciiTheme="minorHAnsi" w:hAnsiTheme="minorHAnsi"/>
          <w:i/>
          <w:sz w:val="22"/>
          <w:szCs w:val="22"/>
        </w:rPr>
        <w:t xml:space="preserve">Indometacyna nie powinna być preferowana w przypadku stosowania </w:t>
      </w:r>
      <w:r w:rsidR="00A63798">
        <w:rPr>
          <w:rFonts w:asciiTheme="minorHAnsi" w:hAnsiTheme="minorHAnsi"/>
          <w:i/>
          <w:sz w:val="22"/>
          <w:szCs w:val="22"/>
        </w:rPr>
        <w:t>NSAII</w:t>
      </w:r>
      <w:r w:rsidR="00A63798" w:rsidRPr="00A63798">
        <w:rPr>
          <w:rFonts w:asciiTheme="minorHAnsi" w:hAnsiTheme="minorHAnsi"/>
          <w:i/>
          <w:sz w:val="22"/>
          <w:szCs w:val="22"/>
        </w:rPr>
        <w:t xml:space="preserve"> (więcej działań niepożądanych na </w:t>
      </w:r>
      <w:r w:rsidR="00A63798">
        <w:rPr>
          <w:rFonts w:asciiTheme="minorHAnsi" w:hAnsiTheme="minorHAnsi"/>
          <w:i/>
          <w:sz w:val="22"/>
          <w:szCs w:val="22"/>
        </w:rPr>
        <w:t>MMS</w:t>
      </w:r>
      <w:r w:rsidR="00A63798" w:rsidRPr="00A63798">
        <w:rPr>
          <w:rFonts w:asciiTheme="minorHAnsi" w:hAnsiTheme="minorHAnsi"/>
          <w:i/>
          <w:sz w:val="22"/>
          <w:szCs w:val="22"/>
        </w:rPr>
        <w:t xml:space="preserve"> i inne układowe działania niepożądane u osób starszych w porównaniu z innymi </w:t>
      </w:r>
      <w:r w:rsidR="00A63798">
        <w:rPr>
          <w:rFonts w:asciiTheme="minorHAnsi" w:hAnsiTheme="minorHAnsi"/>
          <w:i/>
          <w:sz w:val="22"/>
          <w:szCs w:val="22"/>
        </w:rPr>
        <w:t>NSAII</w:t>
      </w:r>
      <w:r w:rsidR="00A63798" w:rsidRPr="00A63798">
        <w:rPr>
          <w:rFonts w:asciiTheme="minorHAnsi" w:hAnsiTheme="minorHAnsi"/>
          <w:i/>
          <w:sz w:val="22"/>
          <w:szCs w:val="22"/>
        </w:rPr>
        <w:t>)</w:t>
      </w:r>
    </w:p>
    <w:p w:rsidR="00B40EEF" w:rsidRPr="00A63798" w:rsidRDefault="004D36A2" w:rsidP="00A63798">
      <w:pPr>
        <w:contextualSpacing/>
        <w:jc w:val="both"/>
        <w:rPr>
          <w:rFonts w:asciiTheme="minorHAnsi" w:hAnsiTheme="minorHAnsi"/>
          <w:i/>
          <w:sz w:val="22"/>
          <w:szCs w:val="22"/>
        </w:rPr>
      </w:pPr>
      <w:r w:rsidRPr="00AE15DA">
        <w:rPr>
          <w:rFonts w:asciiTheme="minorHAnsi" w:hAnsiTheme="minorHAnsi"/>
          <w:i/>
          <w:sz w:val="22"/>
          <w:szCs w:val="22"/>
        </w:rPr>
        <w:t>*</w:t>
      </w:r>
      <w:r w:rsidR="00A63798" w:rsidRPr="00A63798">
        <w:t xml:space="preserve"> </w:t>
      </w:r>
      <w:r w:rsidR="00A63798" w:rsidRPr="00A63798">
        <w:rPr>
          <w:rFonts w:asciiTheme="minorHAnsi" w:hAnsiTheme="minorHAnsi"/>
          <w:i/>
          <w:sz w:val="22"/>
          <w:szCs w:val="22"/>
        </w:rPr>
        <w:t xml:space="preserve">W przypadkach, w których wymagane jest przewlekłe stosowanie </w:t>
      </w:r>
      <w:r w:rsidR="00A63798">
        <w:rPr>
          <w:rFonts w:asciiTheme="minorHAnsi" w:hAnsiTheme="minorHAnsi"/>
          <w:i/>
          <w:sz w:val="22"/>
          <w:szCs w:val="22"/>
        </w:rPr>
        <w:t>NSAII</w:t>
      </w:r>
      <w:r w:rsidR="00A63798" w:rsidRPr="00A63798">
        <w:rPr>
          <w:rFonts w:asciiTheme="minorHAnsi" w:hAnsiTheme="minorHAnsi"/>
          <w:i/>
          <w:sz w:val="22"/>
          <w:szCs w:val="22"/>
        </w:rPr>
        <w:t xml:space="preserve">, oprócz </w:t>
      </w:r>
      <w:r w:rsidR="00A63798">
        <w:rPr>
          <w:rFonts w:asciiTheme="minorHAnsi" w:hAnsiTheme="minorHAnsi"/>
          <w:i/>
          <w:sz w:val="22"/>
          <w:szCs w:val="22"/>
        </w:rPr>
        <w:t>NSAII</w:t>
      </w:r>
      <w:r w:rsidR="00A63798" w:rsidRPr="00A63798">
        <w:rPr>
          <w:rFonts w:asciiTheme="minorHAnsi" w:hAnsiTheme="minorHAnsi"/>
          <w:i/>
          <w:sz w:val="22"/>
          <w:szCs w:val="22"/>
        </w:rPr>
        <w:t xml:space="preserve"> </w:t>
      </w:r>
      <w:r w:rsidR="00A63798">
        <w:rPr>
          <w:rFonts w:asciiTheme="minorHAnsi" w:hAnsiTheme="minorHAnsi"/>
          <w:i/>
          <w:sz w:val="22"/>
          <w:szCs w:val="22"/>
        </w:rPr>
        <w:t>należy stosować PPI/mizoprostol</w:t>
      </w:r>
      <w:r w:rsidR="004816D3" w:rsidRPr="00AE15DA">
        <w:rPr>
          <w:rFonts w:asciiTheme="minorHAnsi" w:hAnsiTheme="minorHAnsi"/>
          <w:i/>
          <w:sz w:val="22"/>
          <w:szCs w:val="22"/>
        </w:rPr>
        <w:t xml:space="preserve">. </w:t>
      </w:r>
    </w:p>
    <w:p w:rsidR="004816D3" w:rsidRPr="00AE15DA" w:rsidRDefault="004816D3"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E2. </w:t>
      </w:r>
      <w:r w:rsidR="00A63798">
        <w:rPr>
          <w:rFonts w:asciiTheme="minorHAnsi" w:hAnsiTheme="minorHAnsi"/>
          <w:b/>
          <w:sz w:val="22"/>
          <w:szCs w:val="22"/>
        </w:rPr>
        <w:t>NSAII</w:t>
      </w:r>
      <w:r w:rsidR="00A63798" w:rsidRPr="00A63798">
        <w:rPr>
          <w:rFonts w:asciiTheme="minorHAnsi" w:hAnsiTheme="minorHAnsi"/>
          <w:b/>
          <w:sz w:val="22"/>
          <w:szCs w:val="22"/>
        </w:rPr>
        <w:t xml:space="preserve"> nie są odpowiednie do stosowania u pacjentów z GFR &lt; 50 ml/min/1,73 m2 (ryzyko pogorszenia czynności nerek)</w:t>
      </w:r>
      <w:r w:rsidRPr="00AE15DA">
        <w:rPr>
          <w:rFonts w:asciiTheme="minorHAnsi" w:hAnsiTheme="minorHAnsi"/>
          <w:b/>
          <w:sz w:val="22"/>
          <w:szCs w:val="22"/>
        </w:rPr>
        <w:t xml:space="preserve"> </w:t>
      </w:r>
    </w:p>
    <w:p w:rsidR="00642443" w:rsidRPr="00AE15DA" w:rsidRDefault="00642443" w:rsidP="0043334F">
      <w:pPr>
        <w:spacing w:before="100" w:beforeAutospacing="1" w:after="100" w:afterAutospacing="1"/>
        <w:contextualSpacing/>
        <w:jc w:val="both"/>
        <w:rPr>
          <w:rFonts w:asciiTheme="minorHAnsi" w:hAnsiTheme="minorHAnsi"/>
          <w:b/>
          <w:sz w:val="22"/>
          <w:szCs w:val="22"/>
        </w:rPr>
      </w:pPr>
    </w:p>
    <w:p w:rsidR="00642443" w:rsidRPr="00AE15DA" w:rsidRDefault="0096255B"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E3</w:t>
      </w:r>
      <w:r w:rsidR="00DA3647" w:rsidRPr="00AE15DA">
        <w:rPr>
          <w:rFonts w:asciiTheme="minorHAnsi" w:hAnsiTheme="minorHAnsi"/>
          <w:b/>
          <w:sz w:val="22"/>
          <w:szCs w:val="22"/>
        </w:rPr>
        <w:t xml:space="preserve">. </w:t>
      </w:r>
      <w:r w:rsidR="00A63798" w:rsidRPr="00A63798">
        <w:rPr>
          <w:rFonts w:asciiTheme="minorHAnsi" w:hAnsiTheme="minorHAnsi"/>
          <w:b/>
          <w:sz w:val="22"/>
          <w:szCs w:val="22"/>
        </w:rPr>
        <w:t>Ogólnoustrojowe stosowanie steroidów nie jest odpowiednie w leczeniu choroby zwyrodnieniowej stawów (ryzyko działań niepożądanych związanych z ogólnoustrojowymi kortykosteroidami)</w:t>
      </w:r>
      <w:r w:rsidR="00DA3647" w:rsidRPr="00AE15DA">
        <w:rPr>
          <w:rFonts w:asciiTheme="minorHAnsi" w:hAnsiTheme="minorHAnsi"/>
          <w:b/>
          <w:sz w:val="22"/>
          <w:szCs w:val="22"/>
        </w:rPr>
        <w:t xml:space="preserve"> </w:t>
      </w:r>
    </w:p>
    <w:p w:rsidR="00642443" w:rsidRPr="00AE15DA" w:rsidRDefault="00642443" w:rsidP="0043334F">
      <w:pPr>
        <w:spacing w:before="100" w:beforeAutospacing="1" w:after="100" w:afterAutospacing="1"/>
        <w:contextualSpacing/>
        <w:jc w:val="both"/>
        <w:rPr>
          <w:rFonts w:asciiTheme="minorHAnsi" w:hAnsiTheme="minorHAnsi"/>
          <w:b/>
          <w:sz w:val="22"/>
          <w:szCs w:val="22"/>
        </w:rPr>
      </w:pPr>
    </w:p>
    <w:p w:rsidR="0036490F" w:rsidRPr="00AE15DA" w:rsidRDefault="0096255B"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E4</w:t>
      </w:r>
      <w:r w:rsidR="004816D3" w:rsidRPr="00AE15DA">
        <w:rPr>
          <w:rFonts w:asciiTheme="minorHAnsi" w:hAnsiTheme="minorHAnsi"/>
          <w:b/>
          <w:sz w:val="22"/>
          <w:szCs w:val="22"/>
        </w:rPr>
        <w:t xml:space="preserve">. </w:t>
      </w:r>
      <w:r w:rsidR="00A63798" w:rsidRPr="00A63798">
        <w:rPr>
          <w:rFonts w:asciiTheme="minorHAnsi" w:hAnsiTheme="minorHAnsi"/>
          <w:b/>
          <w:sz w:val="22"/>
          <w:szCs w:val="22"/>
        </w:rPr>
        <w:t>Stosowanie kortykosteroidów w monoterapii przez ponad 3 miesiące w reumatoidalnym zapaleniu stawów nie jest właściwe (ryzyko wystąpienia działań niepożądanych związanych z kortykosteroidami ogólnoustrojowymi)</w:t>
      </w:r>
      <w:r w:rsidR="0036490F" w:rsidRPr="00AE15DA">
        <w:rPr>
          <w:rFonts w:asciiTheme="minorHAnsi" w:hAnsiTheme="minorHAnsi"/>
          <w:b/>
          <w:sz w:val="22"/>
          <w:szCs w:val="22"/>
        </w:rPr>
        <w:t xml:space="preserve"> </w:t>
      </w:r>
    </w:p>
    <w:p w:rsidR="00B40EEF" w:rsidRPr="00AE15DA" w:rsidRDefault="00B40EEF" w:rsidP="0043334F">
      <w:pPr>
        <w:contextualSpacing/>
        <w:rPr>
          <w:rFonts w:asciiTheme="minorHAnsi" w:hAnsiTheme="minorHAnsi"/>
          <w:sz w:val="22"/>
          <w:szCs w:val="22"/>
        </w:rPr>
      </w:pPr>
    </w:p>
    <w:p w:rsidR="00884CE4" w:rsidRPr="00AE15DA" w:rsidRDefault="00DA3647"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color w:val="000000"/>
          <w:sz w:val="22"/>
          <w:szCs w:val="22"/>
        </w:rPr>
        <w:t xml:space="preserve">E5. </w:t>
      </w:r>
      <w:r w:rsidR="00A63798" w:rsidRPr="00A63798">
        <w:rPr>
          <w:rFonts w:asciiTheme="minorHAnsi" w:hAnsiTheme="minorHAnsi"/>
          <w:b/>
          <w:color w:val="000000"/>
          <w:sz w:val="22"/>
          <w:szCs w:val="22"/>
        </w:rPr>
        <w:t xml:space="preserve">Długotrwałe stosowanie </w:t>
      </w:r>
      <w:r w:rsidR="00A63798">
        <w:rPr>
          <w:rFonts w:asciiTheme="minorHAnsi" w:hAnsiTheme="minorHAnsi"/>
          <w:b/>
          <w:color w:val="000000"/>
          <w:sz w:val="22"/>
          <w:szCs w:val="22"/>
        </w:rPr>
        <w:t>NSAII</w:t>
      </w:r>
      <w:r w:rsidR="00A63798" w:rsidRPr="00A63798">
        <w:rPr>
          <w:rFonts w:asciiTheme="minorHAnsi" w:hAnsiTheme="minorHAnsi"/>
          <w:b/>
          <w:color w:val="000000"/>
          <w:sz w:val="22"/>
          <w:szCs w:val="22"/>
        </w:rPr>
        <w:t xml:space="preserve"> lub kolchicyny nie jest właściwe w przewlekłym leczeniu dny moczanowej, chyba że stosowanie inhibitorów oksydazy ksantynowej </w:t>
      </w:r>
      <w:proofErr w:type="gramStart"/>
      <w:r w:rsidR="00A63798" w:rsidRPr="00A63798">
        <w:rPr>
          <w:rFonts w:asciiTheme="minorHAnsi" w:hAnsiTheme="minorHAnsi"/>
          <w:b/>
          <w:color w:val="000000"/>
          <w:sz w:val="22"/>
          <w:szCs w:val="22"/>
        </w:rPr>
        <w:t>(</w:t>
      </w:r>
      <w:proofErr w:type="gramEnd"/>
      <w:r w:rsidR="00A63798" w:rsidRPr="00A63798">
        <w:rPr>
          <w:rFonts w:asciiTheme="minorHAnsi" w:hAnsiTheme="minorHAnsi"/>
          <w:b/>
          <w:color w:val="000000"/>
          <w:sz w:val="22"/>
          <w:szCs w:val="22"/>
        </w:rPr>
        <w:t>np. allopurynolu, febuksostatu</w:t>
      </w:r>
      <w:proofErr w:type="gramStart"/>
      <w:r w:rsidR="00A63798" w:rsidRPr="00A63798">
        <w:rPr>
          <w:rFonts w:asciiTheme="minorHAnsi" w:hAnsiTheme="minorHAnsi"/>
          <w:b/>
          <w:color w:val="000000"/>
          <w:sz w:val="22"/>
          <w:szCs w:val="22"/>
        </w:rPr>
        <w:t>)</w:t>
      </w:r>
      <w:proofErr w:type="gramEnd"/>
      <w:r w:rsidR="00A63798" w:rsidRPr="00A63798">
        <w:rPr>
          <w:rFonts w:asciiTheme="minorHAnsi" w:hAnsiTheme="minorHAnsi"/>
          <w:b/>
          <w:color w:val="000000"/>
          <w:sz w:val="22"/>
          <w:szCs w:val="22"/>
        </w:rPr>
        <w:t xml:space="preserve"> jest przeciwwskazane (inhibitory oksydazy ksantynowej są lekami pierwszego wyboru w profilaktyce dny moczanowej)</w:t>
      </w:r>
    </w:p>
    <w:p w:rsidR="00642443" w:rsidRPr="00AE15DA" w:rsidRDefault="00642443" w:rsidP="0043334F">
      <w:pPr>
        <w:spacing w:before="100" w:beforeAutospacing="1" w:after="100" w:afterAutospacing="1"/>
        <w:contextualSpacing/>
        <w:jc w:val="both"/>
        <w:rPr>
          <w:rFonts w:asciiTheme="minorHAnsi" w:hAnsiTheme="minorHAnsi"/>
          <w:b/>
          <w:sz w:val="22"/>
          <w:szCs w:val="22"/>
        </w:rPr>
      </w:pPr>
    </w:p>
    <w:p w:rsidR="00DA3647" w:rsidRPr="00AE15DA" w:rsidRDefault="0096255B"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E6</w:t>
      </w:r>
      <w:r w:rsidR="00DA3647" w:rsidRPr="00AE15DA">
        <w:rPr>
          <w:rFonts w:asciiTheme="minorHAnsi" w:hAnsiTheme="minorHAnsi"/>
          <w:b/>
          <w:sz w:val="22"/>
          <w:szCs w:val="22"/>
        </w:rPr>
        <w:t xml:space="preserve">. </w:t>
      </w:r>
      <w:r w:rsidR="00A63798" w:rsidRPr="00A63798">
        <w:rPr>
          <w:rFonts w:asciiTheme="minorHAnsi" w:hAnsiTheme="minorHAnsi"/>
          <w:b/>
          <w:sz w:val="22"/>
          <w:szCs w:val="22"/>
        </w:rPr>
        <w:t>Kolchicyna nie jest odpowiednia do stosowania u pacjentów z GFR &lt; 10 ml/min/1,73 m2 (ryzyko toksyczności kolchicyny)</w:t>
      </w:r>
      <w:r w:rsidR="00DA3647" w:rsidRPr="00AE15DA">
        <w:rPr>
          <w:rFonts w:asciiTheme="minorHAnsi" w:hAnsiTheme="minorHAnsi"/>
          <w:b/>
          <w:sz w:val="22"/>
          <w:szCs w:val="22"/>
        </w:rPr>
        <w:t xml:space="preserve">  </w:t>
      </w:r>
    </w:p>
    <w:p w:rsidR="00B40EEF" w:rsidRPr="00AE15DA" w:rsidRDefault="00B40EEF" w:rsidP="0043334F">
      <w:pPr>
        <w:contextualSpacing/>
        <w:jc w:val="both"/>
        <w:rPr>
          <w:rFonts w:asciiTheme="minorHAnsi" w:hAnsiTheme="minorHAnsi"/>
          <w:b/>
          <w:sz w:val="22"/>
          <w:szCs w:val="22"/>
        </w:rPr>
      </w:pPr>
    </w:p>
    <w:p w:rsidR="00EE6325" w:rsidRPr="00AE15DA" w:rsidRDefault="00994461" w:rsidP="0043334F">
      <w:pPr>
        <w:contextualSpacing/>
        <w:jc w:val="both"/>
        <w:rPr>
          <w:rFonts w:asciiTheme="minorHAnsi" w:hAnsiTheme="minorHAnsi"/>
          <w:b/>
          <w:sz w:val="22"/>
          <w:szCs w:val="22"/>
        </w:rPr>
      </w:pPr>
      <w:r w:rsidRPr="00AE15DA">
        <w:rPr>
          <w:rFonts w:asciiTheme="minorHAnsi" w:hAnsiTheme="minorHAnsi"/>
          <w:b/>
          <w:sz w:val="22"/>
          <w:szCs w:val="22"/>
        </w:rPr>
        <w:t>E</w:t>
      </w:r>
      <w:r w:rsidR="004D36A2" w:rsidRPr="00AE15DA">
        <w:rPr>
          <w:rFonts w:asciiTheme="minorHAnsi" w:hAnsiTheme="minorHAnsi"/>
          <w:b/>
          <w:sz w:val="22"/>
          <w:szCs w:val="22"/>
        </w:rPr>
        <w:t>7</w:t>
      </w:r>
      <w:r w:rsidRPr="00AE15DA">
        <w:rPr>
          <w:rFonts w:asciiTheme="minorHAnsi" w:hAnsiTheme="minorHAnsi"/>
          <w:b/>
          <w:sz w:val="22"/>
          <w:szCs w:val="22"/>
        </w:rPr>
        <w:t xml:space="preserve">. </w:t>
      </w:r>
      <w:r w:rsidR="00A63798" w:rsidRPr="00A63798">
        <w:rPr>
          <w:rFonts w:asciiTheme="minorHAnsi" w:hAnsiTheme="minorHAnsi"/>
          <w:b/>
          <w:sz w:val="22"/>
          <w:szCs w:val="22"/>
        </w:rPr>
        <w:t>Metotreksat nie jest odpowiedni do stosowania u pacjentów z GFR &lt; 30 ml/min/1,73 m2</w:t>
      </w:r>
    </w:p>
    <w:p w:rsidR="00D536CC" w:rsidRPr="00AE15DA" w:rsidRDefault="00D536CC" w:rsidP="0043334F">
      <w:pPr>
        <w:contextualSpacing/>
        <w:jc w:val="both"/>
        <w:rPr>
          <w:rFonts w:asciiTheme="minorHAnsi" w:hAnsiTheme="minorHAnsi"/>
          <w:b/>
          <w:sz w:val="22"/>
          <w:szCs w:val="22"/>
        </w:rPr>
      </w:pPr>
    </w:p>
    <w:p w:rsidR="004816D3" w:rsidRPr="00AE15DA" w:rsidRDefault="004816D3" w:rsidP="0043334F">
      <w:pPr>
        <w:contextualSpacing/>
        <w:jc w:val="both"/>
        <w:rPr>
          <w:rFonts w:asciiTheme="minorHAnsi" w:hAnsiTheme="minorHAnsi"/>
          <w:b/>
          <w:color w:val="000000"/>
          <w:sz w:val="22"/>
          <w:szCs w:val="22"/>
        </w:rPr>
      </w:pPr>
      <w:r w:rsidRPr="00AE15DA">
        <w:rPr>
          <w:rFonts w:asciiTheme="minorHAnsi" w:hAnsiTheme="minorHAnsi"/>
          <w:b/>
          <w:color w:val="000000"/>
          <w:sz w:val="22"/>
          <w:szCs w:val="22"/>
        </w:rPr>
        <w:t>E</w:t>
      </w:r>
      <w:r w:rsidR="004D36A2" w:rsidRPr="00AE15DA">
        <w:rPr>
          <w:rFonts w:asciiTheme="minorHAnsi" w:hAnsiTheme="minorHAnsi"/>
          <w:b/>
          <w:color w:val="000000"/>
          <w:sz w:val="22"/>
          <w:szCs w:val="22"/>
        </w:rPr>
        <w:t>8</w:t>
      </w:r>
      <w:r w:rsidRPr="00AE15DA">
        <w:rPr>
          <w:rFonts w:asciiTheme="minorHAnsi" w:hAnsiTheme="minorHAnsi"/>
          <w:b/>
          <w:color w:val="000000"/>
          <w:sz w:val="22"/>
          <w:szCs w:val="22"/>
        </w:rPr>
        <w:t xml:space="preserve">. </w:t>
      </w:r>
      <w:r w:rsidR="00A63798" w:rsidRPr="00A63798">
        <w:rPr>
          <w:rFonts w:asciiTheme="minorHAnsi" w:hAnsiTheme="minorHAnsi"/>
          <w:b/>
          <w:color w:val="000000"/>
          <w:sz w:val="22"/>
          <w:szCs w:val="22"/>
        </w:rPr>
        <w:t xml:space="preserve">Stosowanie meperydyny nie nadaje się do leczenia bólu </w:t>
      </w:r>
      <w:proofErr w:type="gramStart"/>
      <w:r w:rsidR="00A63798" w:rsidRPr="00A63798">
        <w:rPr>
          <w:rFonts w:asciiTheme="minorHAnsi" w:hAnsiTheme="minorHAnsi"/>
          <w:b/>
          <w:color w:val="000000"/>
          <w:sz w:val="22"/>
          <w:szCs w:val="22"/>
        </w:rPr>
        <w:t>(</w:t>
      </w:r>
      <w:proofErr w:type="gramEnd"/>
      <w:r w:rsidR="00A63798" w:rsidRPr="00A63798">
        <w:rPr>
          <w:rFonts w:asciiTheme="minorHAnsi" w:hAnsiTheme="minorHAnsi"/>
          <w:b/>
          <w:color w:val="000000"/>
          <w:sz w:val="22"/>
          <w:szCs w:val="22"/>
        </w:rPr>
        <w:t>podwyższona neurotoksyczność, ryzyko majaczenia w porównaniu z innymi opioidami; istnieją bardziej niezawodne alternatywy. Jej stosowanie jest ryzykowne, zwłaszcza w przypadku niewydolności nerek</w:t>
      </w:r>
      <w:proofErr w:type="gramStart"/>
      <w:r w:rsidR="00A63798" w:rsidRPr="00A63798">
        <w:rPr>
          <w:rFonts w:asciiTheme="minorHAnsi" w:hAnsiTheme="minorHAnsi"/>
          <w:b/>
          <w:color w:val="000000"/>
          <w:sz w:val="22"/>
          <w:szCs w:val="22"/>
        </w:rPr>
        <w:t>)</w:t>
      </w:r>
      <w:proofErr w:type="gramEnd"/>
      <w:r w:rsidRPr="00AE15DA">
        <w:rPr>
          <w:rFonts w:asciiTheme="minorHAnsi" w:hAnsiTheme="minorHAnsi"/>
          <w:b/>
          <w:color w:val="000000"/>
          <w:sz w:val="22"/>
          <w:szCs w:val="22"/>
        </w:rPr>
        <w:t xml:space="preserve"> </w:t>
      </w:r>
    </w:p>
    <w:p w:rsidR="00071CA0" w:rsidRPr="00AE15DA" w:rsidRDefault="00071CA0" w:rsidP="0043334F">
      <w:pPr>
        <w:pStyle w:val="HTMLncedenBiimlendirilmi"/>
        <w:contextualSpacing/>
        <w:jc w:val="both"/>
        <w:rPr>
          <w:rFonts w:asciiTheme="minorHAnsi" w:hAnsiTheme="minorHAnsi" w:cstheme="minorHAnsi"/>
          <w:sz w:val="22"/>
          <w:szCs w:val="22"/>
        </w:rPr>
      </w:pPr>
    </w:p>
    <w:p w:rsidR="00991613" w:rsidRPr="00AE15DA" w:rsidRDefault="00991613"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E</w:t>
      </w:r>
      <w:r w:rsidR="004D36A2" w:rsidRPr="00AE15DA">
        <w:rPr>
          <w:rFonts w:asciiTheme="minorHAnsi" w:hAnsiTheme="minorHAnsi"/>
          <w:b/>
          <w:color w:val="000000"/>
          <w:sz w:val="22"/>
          <w:szCs w:val="22"/>
        </w:rPr>
        <w:t>9</w:t>
      </w:r>
      <w:r w:rsidRPr="00AE15DA">
        <w:rPr>
          <w:rFonts w:asciiTheme="minorHAnsi" w:hAnsiTheme="minorHAnsi"/>
          <w:b/>
          <w:color w:val="000000"/>
          <w:sz w:val="22"/>
          <w:szCs w:val="22"/>
        </w:rPr>
        <w:t xml:space="preserve">. </w:t>
      </w:r>
      <w:r w:rsidR="00A63798" w:rsidRPr="00A63798">
        <w:rPr>
          <w:rFonts w:asciiTheme="minorHAnsi" w:hAnsiTheme="minorHAnsi"/>
          <w:b/>
          <w:color w:val="000000"/>
          <w:sz w:val="22"/>
          <w:szCs w:val="22"/>
        </w:rPr>
        <w:t>Tramadol o przedłużonym uwalnianiu nie jest odpowiedni do stosowania u pacjentów z GFR &lt; 30 ml/min/1,7 m2</w:t>
      </w:r>
    </w:p>
    <w:p w:rsidR="00071CA0" w:rsidRPr="00A63798" w:rsidRDefault="00991613" w:rsidP="00A63798">
      <w:pPr>
        <w:spacing w:after="100" w:afterAutospacing="1"/>
        <w:contextualSpacing/>
        <w:jc w:val="both"/>
        <w:rPr>
          <w:rFonts w:asciiTheme="minorHAnsi" w:hAnsiTheme="minorHAnsi"/>
          <w:i/>
          <w:sz w:val="22"/>
          <w:szCs w:val="22"/>
        </w:rPr>
      </w:pPr>
      <w:r w:rsidRPr="00AE15DA">
        <w:rPr>
          <w:rFonts w:asciiTheme="minorHAnsi" w:hAnsiTheme="minorHAnsi"/>
          <w:i/>
          <w:sz w:val="22"/>
          <w:szCs w:val="22"/>
        </w:rPr>
        <w:t>*</w:t>
      </w:r>
      <w:r w:rsidR="00A63798" w:rsidRPr="00A63798">
        <w:t xml:space="preserve"> </w:t>
      </w:r>
      <w:r w:rsidR="00A63798" w:rsidRPr="00A63798">
        <w:rPr>
          <w:rFonts w:asciiTheme="minorHAnsi" w:hAnsiTheme="minorHAnsi"/>
          <w:i/>
          <w:sz w:val="22"/>
          <w:szCs w:val="22"/>
        </w:rPr>
        <w:t>Należy zmniejszyć dawkę tramadolu o natychmiastowym uwalnianiu</w:t>
      </w:r>
      <w:r w:rsidR="0086661D" w:rsidRPr="00AE15DA">
        <w:rPr>
          <w:rFonts w:asciiTheme="minorHAnsi" w:hAnsiTheme="minorHAnsi"/>
          <w:i/>
          <w:sz w:val="22"/>
          <w:szCs w:val="22"/>
        </w:rPr>
        <w:t>.</w:t>
      </w:r>
    </w:p>
    <w:p w:rsidR="00991613" w:rsidRPr="00AE15DA" w:rsidRDefault="0096255B"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E</w:t>
      </w:r>
      <w:r w:rsidR="004D36A2" w:rsidRPr="00AE15DA">
        <w:rPr>
          <w:rFonts w:asciiTheme="minorHAnsi" w:hAnsiTheme="minorHAnsi"/>
          <w:b/>
          <w:color w:val="000000"/>
          <w:sz w:val="22"/>
          <w:szCs w:val="22"/>
        </w:rPr>
        <w:t>10</w:t>
      </w:r>
      <w:r w:rsidR="00991613" w:rsidRPr="00AE15DA">
        <w:rPr>
          <w:rFonts w:asciiTheme="minorHAnsi" w:hAnsiTheme="minorHAnsi"/>
          <w:b/>
          <w:color w:val="000000"/>
          <w:sz w:val="22"/>
          <w:szCs w:val="22"/>
        </w:rPr>
        <w:t xml:space="preserve">. </w:t>
      </w:r>
      <w:r w:rsidR="00A63798" w:rsidRPr="00A63798">
        <w:rPr>
          <w:rFonts w:asciiTheme="minorHAnsi" w:hAnsiTheme="minorHAnsi"/>
          <w:b/>
          <w:color w:val="000000"/>
          <w:sz w:val="22"/>
          <w:szCs w:val="22"/>
        </w:rPr>
        <w:t>Opioidy nie nadają się do długotrwałego stosowania bez jednoczesnego podawania środków przeczyszczających (ryzyko ciężkich zaparć)</w:t>
      </w:r>
      <w:r w:rsidR="00991613" w:rsidRPr="00AE15DA">
        <w:rPr>
          <w:rFonts w:asciiTheme="minorHAnsi" w:hAnsiTheme="minorHAnsi"/>
          <w:b/>
          <w:sz w:val="22"/>
          <w:szCs w:val="22"/>
        </w:rPr>
        <w:t xml:space="preserve"> </w:t>
      </w:r>
    </w:p>
    <w:p w:rsidR="00642443" w:rsidRPr="00AE15DA" w:rsidRDefault="0064244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lang w:eastAsia="en-GB"/>
        </w:rPr>
      </w:pPr>
    </w:p>
    <w:p w:rsidR="00071CA0" w:rsidRPr="00AE15DA" w:rsidRDefault="00071CA0" w:rsidP="0043334F">
      <w:pPr>
        <w:contextualSpacing/>
        <w:rPr>
          <w:rFonts w:asciiTheme="minorHAnsi" w:hAnsiTheme="minorHAnsi"/>
          <w:b/>
          <w:sz w:val="22"/>
          <w:szCs w:val="22"/>
        </w:rPr>
      </w:pPr>
    </w:p>
    <w:p w:rsidR="001633D3" w:rsidRPr="00AE15DA" w:rsidRDefault="0096255B" w:rsidP="0043334F">
      <w:pPr>
        <w:contextualSpacing/>
        <w:rPr>
          <w:rFonts w:asciiTheme="minorHAnsi" w:hAnsiTheme="minorHAnsi"/>
          <w:b/>
          <w:sz w:val="22"/>
          <w:szCs w:val="22"/>
        </w:rPr>
      </w:pPr>
      <w:r w:rsidRPr="00AE15DA">
        <w:rPr>
          <w:rFonts w:asciiTheme="minorHAnsi" w:hAnsiTheme="minorHAnsi"/>
          <w:b/>
          <w:sz w:val="22"/>
          <w:szCs w:val="22"/>
        </w:rPr>
        <w:lastRenderedPageBreak/>
        <w:t>E1</w:t>
      </w:r>
      <w:r w:rsidR="004D36A2" w:rsidRPr="00AE15DA">
        <w:rPr>
          <w:rFonts w:asciiTheme="minorHAnsi" w:hAnsiTheme="minorHAnsi"/>
          <w:b/>
          <w:sz w:val="22"/>
          <w:szCs w:val="22"/>
        </w:rPr>
        <w:t>1</w:t>
      </w:r>
      <w:r w:rsidR="004816D3" w:rsidRPr="00AE15DA">
        <w:rPr>
          <w:rFonts w:asciiTheme="minorHAnsi" w:hAnsiTheme="minorHAnsi"/>
          <w:b/>
          <w:sz w:val="22"/>
          <w:szCs w:val="22"/>
        </w:rPr>
        <w:t xml:space="preserve">. </w:t>
      </w:r>
      <w:r w:rsidR="00BE26DA" w:rsidRPr="00BE26DA">
        <w:rPr>
          <w:rFonts w:asciiTheme="minorHAnsi" w:hAnsiTheme="minorHAnsi"/>
          <w:b/>
          <w:sz w:val="22"/>
          <w:szCs w:val="22"/>
        </w:rPr>
        <w:t xml:space="preserve">Stosowanie ogólnoustrojowych środków zwiotczających mięśnie (mięśnie szkieletowe) </w:t>
      </w:r>
      <w:proofErr w:type="gramStart"/>
      <w:r w:rsidR="00BE26DA" w:rsidRPr="00BE26DA">
        <w:rPr>
          <w:rFonts w:asciiTheme="minorHAnsi" w:hAnsiTheme="minorHAnsi"/>
          <w:b/>
          <w:sz w:val="22"/>
          <w:szCs w:val="22"/>
        </w:rPr>
        <w:t>(</w:t>
      </w:r>
      <w:proofErr w:type="gramEnd"/>
      <w:r w:rsidR="00BE26DA" w:rsidRPr="00BE26DA">
        <w:rPr>
          <w:rFonts w:asciiTheme="minorHAnsi" w:hAnsiTheme="minorHAnsi"/>
          <w:b/>
          <w:sz w:val="22"/>
          <w:szCs w:val="22"/>
        </w:rPr>
        <w:t>tiokolchikozyd, tyzanidyna, chlorzoksazon, karizoprodol, karbaminian chlorfenezyny, cyklobenzapryna, metaksalon, metokarbamol i orfenadryna… itd.) nie jest odpowiednie w przypadku bólu mięśniowo-szkieletowego. (z powodu uspokojenia, senności, zawrotów głowy, suchości w ustach, zaparć, poznawczych skutków ubocznych)</w:t>
      </w:r>
      <w:r w:rsidR="004816D3" w:rsidRPr="00AE15DA">
        <w:rPr>
          <w:rFonts w:asciiTheme="minorHAnsi" w:hAnsiTheme="minorHAnsi"/>
          <w:b/>
          <w:sz w:val="22"/>
          <w:szCs w:val="22"/>
        </w:rPr>
        <w:t xml:space="preserve">  </w:t>
      </w:r>
    </w:p>
    <w:p w:rsidR="00071CA0" w:rsidRPr="00AE15DA" w:rsidRDefault="005E45E4" w:rsidP="0043334F">
      <w:pPr>
        <w:spacing w:after="100" w:afterAutospacing="1"/>
        <w:contextualSpacing/>
        <w:jc w:val="both"/>
        <w:rPr>
          <w:rFonts w:asciiTheme="minorHAnsi" w:hAnsiTheme="minorHAnsi"/>
          <w:i/>
          <w:color w:val="000000" w:themeColor="text1"/>
          <w:sz w:val="22"/>
          <w:szCs w:val="22"/>
        </w:rPr>
      </w:pPr>
      <w:r w:rsidRPr="00AE15DA">
        <w:rPr>
          <w:rFonts w:asciiTheme="minorHAnsi" w:hAnsiTheme="minorHAnsi"/>
          <w:color w:val="000000" w:themeColor="text1"/>
          <w:sz w:val="22"/>
          <w:szCs w:val="22"/>
        </w:rPr>
        <w:t>*</w:t>
      </w:r>
      <w:r w:rsidR="00BE26DA" w:rsidRPr="00BE26DA">
        <w:t xml:space="preserve"> </w:t>
      </w:r>
      <w:r w:rsidR="00BE26DA" w:rsidRPr="00BE26DA">
        <w:rPr>
          <w:rFonts w:asciiTheme="minorHAnsi" w:hAnsiTheme="minorHAnsi"/>
          <w:i/>
          <w:color w:val="000000" w:themeColor="text1"/>
          <w:sz w:val="22"/>
          <w:szCs w:val="22"/>
        </w:rPr>
        <w:t>Ryzyko niedociśnienia podczas stosowania tyzanid</w:t>
      </w:r>
      <w:r w:rsidR="00BE26DA">
        <w:rPr>
          <w:rFonts w:asciiTheme="minorHAnsi" w:hAnsiTheme="minorHAnsi"/>
          <w:i/>
          <w:color w:val="000000" w:themeColor="text1"/>
          <w:sz w:val="22"/>
          <w:szCs w:val="22"/>
        </w:rPr>
        <w:t>yny jest również bardzo wyraźne</w:t>
      </w:r>
      <w:r w:rsidRPr="00AE15DA">
        <w:rPr>
          <w:rFonts w:asciiTheme="minorHAnsi" w:hAnsiTheme="minorHAnsi"/>
          <w:i/>
          <w:color w:val="000000" w:themeColor="text1"/>
          <w:sz w:val="22"/>
          <w:szCs w:val="22"/>
        </w:rPr>
        <w:t>.</w:t>
      </w:r>
    </w:p>
    <w:p w:rsidR="00071CA0" w:rsidRPr="00AE15DA" w:rsidRDefault="00071CA0" w:rsidP="0043334F">
      <w:pPr>
        <w:contextualSpacing/>
        <w:jc w:val="both"/>
        <w:rPr>
          <w:rFonts w:asciiTheme="minorHAnsi" w:hAnsiTheme="minorHAnsi" w:cstheme="minorHAnsi"/>
          <w:sz w:val="22"/>
          <w:szCs w:val="22"/>
        </w:rPr>
      </w:pPr>
    </w:p>
    <w:p w:rsidR="00415CD8" w:rsidRPr="00AE15DA" w:rsidRDefault="00C6392A" w:rsidP="0043334F">
      <w:pPr>
        <w:contextualSpacing/>
        <w:jc w:val="both"/>
        <w:rPr>
          <w:rFonts w:asciiTheme="minorHAnsi" w:hAnsiTheme="minorHAnsi"/>
          <w:b/>
          <w:color w:val="000000"/>
          <w:sz w:val="22"/>
          <w:szCs w:val="22"/>
        </w:rPr>
      </w:pPr>
      <w:r>
        <w:rPr>
          <w:rFonts w:ascii="Calibri" w:hAnsi="Calibri" w:cs="Calibri"/>
          <w:b/>
          <w:sz w:val="22"/>
          <w:szCs w:val="22"/>
        </w:rPr>
        <w:t>#</w:t>
      </w:r>
      <w:r w:rsidR="00415CD8" w:rsidRPr="00AE15DA">
        <w:rPr>
          <w:rFonts w:asciiTheme="minorHAnsi" w:hAnsiTheme="minorHAnsi"/>
          <w:b/>
          <w:color w:val="000000"/>
          <w:sz w:val="22"/>
          <w:szCs w:val="22"/>
        </w:rPr>
        <w:t>E1</w:t>
      </w:r>
      <w:r w:rsidR="004D36A2" w:rsidRPr="00AE15DA">
        <w:rPr>
          <w:rFonts w:asciiTheme="minorHAnsi" w:hAnsiTheme="minorHAnsi"/>
          <w:b/>
          <w:color w:val="000000"/>
          <w:sz w:val="22"/>
          <w:szCs w:val="22"/>
        </w:rPr>
        <w:t>2</w:t>
      </w:r>
      <w:r w:rsidR="00415CD8" w:rsidRPr="00AE15DA">
        <w:rPr>
          <w:rFonts w:asciiTheme="minorHAnsi" w:hAnsiTheme="minorHAnsi"/>
          <w:b/>
          <w:color w:val="000000"/>
          <w:sz w:val="22"/>
          <w:szCs w:val="22"/>
        </w:rPr>
        <w:t xml:space="preserve">. </w:t>
      </w:r>
      <w:r w:rsidR="00BE26DA" w:rsidRPr="00BE26DA">
        <w:rPr>
          <w:rFonts w:asciiTheme="minorHAnsi" w:hAnsiTheme="minorHAnsi"/>
          <w:b/>
          <w:color w:val="000000"/>
          <w:sz w:val="22"/>
          <w:szCs w:val="22"/>
        </w:rPr>
        <w:t>Nie należy rozpoczynać leczenia osteoporozy bez wyklu</w:t>
      </w:r>
      <w:r w:rsidR="00BE26DA">
        <w:rPr>
          <w:rFonts w:asciiTheme="minorHAnsi" w:hAnsiTheme="minorHAnsi"/>
          <w:b/>
          <w:color w:val="000000"/>
          <w:sz w:val="22"/>
          <w:szCs w:val="22"/>
        </w:rPr>
        <w:t>czenia rozpoznania osteomalacji</w:t>
      </w:r>
      <w:r w:rsidR="00415CD8" w:rsidRPr="00AE15DA">
        <w:rPr>
          <w:rFonts w:asciiTheme="minorHAnsi" w:hAnsiTheme="minorHAnsi"/>
          <w:b/>
          <w:color w:val="000000"/>
          <w:sz w:val="22"/>
          <w:szCs w:val="22"/>
        </w:rPr>
        <w:t xml:space="preserve">  </w:t>
      </w:r>
    </w:p>
    <w:p w:rsidR="00CE7E93" w:rsidRPr="00AE15DA" w:rsidRDefault="00CE7E93" w:rsidP="0043334F">
      <w:pPr>
        <w:contextualSpacing/>
        <w:jc w:val="both"/>
        <w:rPr>
          <w:rFonts w:asciiTheme="minorHAnsi" w:hAnsiTheme="minorHAnsi"/>
          <w:b/>
          <w:color w:val="000000"/>
          <w:sz w:val="22"/>
          <w:szCs w:val="22"/>
        </w:rPr>
      </w:pPr>
    </w:p>
    <w:p w:rsidR="00415CD8" w:rsidRPr="00AE15DA" w:rsidRDefault="00415CD8" w:rsidP="0043334F">
      <w:pPr>
        <w:contextualSpacing/>
        <w:jc w:val="both"/>
        <w:rPr>
          <w:rFonts w:asciiTheme="minorHAnsi" w:hAnsiTheme="minorHAnsi"/>
          <w:sz w:val="22"/>
          <w:szCs w:val="22"/>
        </w:rPr>
      </w:pPr>
      <w:r w:rsidRPr="00AE15DA">
        <w:rPr>
          <w:rFonts w:asciiTheme="minorHAnsi" w:hAnsiTheme="minorHAnsi"/>
          <w:b/>
          <w:color w:val="000000"/>
          <w:sz w:val="22"/>
          <w:szCs w:val="22"/>
        </w:rPr>
        <w:t>E1</w:t>
      </w:r>
      <w:r w:rsidR="004D36A2" w:rsidRPr="00AE15DA">
        <w:rPr>
          <w:rFonts w:asciiTheme="minorHAnsi" w:hAnsiTheme="minorHAnsi"/>
          <w:b/>
          <w:color w:val="000000"/>
          <w:sz w:val="22"/>
          <w:szCs w:val="22"/>
        </w:rPr>
        <w:t>3</w:t>
      </w:r>
      <w:r w:rsidRPr="00AE15DA">
        <w:rPr>
          <w:rFonts w:asciiTheme="minorHAnsi" w:hAnsiTheme="minorHAnsi"/>
          <w:b/>
          <w:color w:val="000000"/>
          <w:sz w:val="22"/>
          <w:szCs w:val="22"/>
        </w:rPr>
        <w:t xml:space="preserve">. </w:t>
      </w:r>
      <w:r w:rsidR="005F1C49" w:rsidRPr="005F1C49">
        <w:rPr>
          <w:rFonts w:asciiTheme="minorHAnsi" w:hAnsiTheme="minorHAnsi"/>
          <w:b/>
          <w:color w:val="000000"/>
          <w:sz w:val="22"/>
          <w:szCs w:val="22"/>
        </w:rPr>
        <w:t>Sporadyczne, konwencjonalne stosowanie witaminy D w dużych dawkach (300 000 IU) nie jest odpowiednie w terapii podtrzymującej witaminą D (zwiększone ryzyko upadków, brak dodatkowych korzyści dla układu mięśniowo-szkieletowego)</w:t>
      </w:r>
    </w:p>
    <w:p w:rsidR="00C139FE" w:rsidRPr="00AE15DA" w:rsidRDefault="005F1C49" w:rsidP="0043334F">
      <w:pPr>
        <w:contextualSpacing/>
        <w:jc w:val="both"/>
        <w:rPr>
          <w:rFonts w:asciiTheme="minorHAnsi" w:hAnsiTheme="minorHAnsi"/>
          <w:i/>
          <w:sz w:val="22"/>
          <w:szCs w:val="22"/>
        </w:rPr>
      </w:pPr>
      <w:r>
        <w:rPr>
          <w:rFonts w:asciiTheme="minorHAnsi" w:hAnsiTheme="minorHAnsi"/>
          <w:i/>
          <w:sz w:val="22"/>
          <w:szCs w:val="22"/>
        </w:rPr>
        <w:t>*</w:t>
      </w:r>
      <w:r w:rsidRPr="005F1C49">
        <w:rPr>
          <w:rFonts w:asciiTheme="minorHAnsi" w:hAnsiTheme="minorHAnsi"/>
          <w:i/>
          <w:sz w:val="22"/>
          <w:szCs w:val="22"/>
        </w:rPr>
        <w:t>Wykazano niekorzystne skutki stosowania wysokodawkowej konwencjonalnej witami</w:t>
      </w:r>
      <w:r>
        <w:rPr>
          <w:rFonts w:asciiTheme="minorHAnsi" w:hAnsiTheme="minorHAnsi"/>
          <w:i/>
          <w:sz w:val="22"/>
          <w:szCs w:val="22"/>
        </w:rPr>
        <w:t>ny D w terapii „podtrzymującej”</w:t>
      </w:r>
      <w:r w:rsidR="00A90924" w:rsidRPr="00AE15DA">
        <w:rPr>
          <w:rFonts w:asciiTheme="minorHAnsi" w:hAnsiTheme="minorHAnsi"/>
          <w:i/>
          <w:sz w:val="22"/>
          <w:szCs w:val="22"/>
        </w:rPr>
        <w:t xml:space="preserve">. </w:t>
      </w:r>
    </w:p>
    <w:p w:rsidR="00071CA0" w:rsidRPr="00010808" w:rsidRDefault="005F1C49" w:rsidP="00010808">
      <w:pPr>
        <w:spacing w:after="100" w:afterAutospacing="1"/>
        <w:contextualSpacing/>
        <w:jc w:val="both"/>
        <w:rPr>
          <w:rFonts w:asciiTheme="minorHAnsi" w:hAnsiTheme="minorHAnsi"/>
          <w:i/>
          <w:sz w:val="22"/>
          <w:szCs w:val="22"/>
        </w:rPr>
      </w:pPr>
      <w:r w:rsidRPr="005F1C49">
        <w:rPr>
          <w:rFonts w:asciiTheme="minorHAnsi" w:hAnsiTheme="minorHAnsi"/>
          <w:i/>
          <w:sz w:val="22"/>
          <w:szCs w:val="22"/>
        </w:rPr>
        <w:t xml:space="preserve">*Nie zgłoszono negatywnych wyników związanych z wysokimi dawkami konwencjonalnej witaminy D stosowanej w terapii „zastępczej”. Jednak ze względu na zasadę „powoli rozpoczynać od niskiego wzrostu”, która ogólnie obowiązuje w przypadku zażywania narkotyków u osób starszych, właściwe może być stopniowe stosowanie </w:t>
      </w:r>
      <w:r>
        <w:rPr>
          <w:rFonts w:asciiTheme="minorHAnsi" w:hAnsiTheme="minorHAnsi"/>
          <w:i/>
          <w:sz w:val="22"/>
          <w:szCs w:val="22"/>
        </w:rPr>
        <w:t>„zastępczej” terapii witaminą D</w:t>
      </w:r>
      <w:r w:rsidR="00010808">
        <w:rPr>
          <w:rFonts w:asciiTheme="minorHAnsi" w:hAnsiTheme="minorHAnsi"/>
          <w:i/>
          <w:sz w:val="22"/>
          <w:szCs w:val="22"/>
        </w:rPr>
        <w:t>.</w:t>
      </w:r>
    </w:p>
    <w:p w:rsidR="00994461" w:rsidRPr="00AE15DA" w:rsidRDefault="00994461" w:rsidP="0043334F">
      <w:pPr>
        <w:pStyle w:val="HTMLncedenBiimlendirilmi"/>
        <w:contextualSpacing/>
        <w:jc w:val="both"/>
        <w:rPr>
          <w:rFonts w:asciiTheme="minorHAnsi" w:hAnsiTheme="minorHAnsi" w:cstheme="minorHAnsi"/>
          <w:b/>
          <w:bCs/>
          <w:color w:val="000000" w:themeColor="text1"/>
          <w:sz w:val="22"/>
          <w:szCs w:val="22"/>
        </w:rPr>
      </w:pPr>
      <w:r w:rsidRPr="00AE15DA">
        <w:rPr>
          <w:rFonts w:asciiTheme="minorHAnsi" w:hAnsiTheme="minorHAnsi" w:cs="Times New Roman"/>
          <w:b/>
          <w:bCs/>
          <w:color w:val="000000" w:themeColor="text1"/>
          <w:sz w:val="22"/>
          <w:szCs w:val="22"/>
        </w:rPr>
        <w:t>E1</w:t>
      </w:r>
      <w:r w:rsidR="004D36A2" w:rsidRPr="00AE15DA">
        <w:rPr>
          <w:rFonts w:asciiTheme="minorHAnsi" w:hAnsiTheme="minorHAnsi" w:cs="Times New Roman"/>
          <w:b/>
          <w:bCs/>
          <w:color w:val="000000" w:themeColor="text1"/>
          <w:sz w:val="22"/>
          <w:szCs w:val="22"/>
        </w:rPr>
        <w:t>4</w:t>
      </w:r>
      <w:r w:rsidR="00AD6BB0" w:rsidRPr="00AE15DA">
        <w:rPr>
          <w:rFonts w:asciiTheme="minorHAnsi" w:hAnsiTheme="minorHAnsi" w:cs="Times New Roman"/>
          <w:b/>
          <w:bCs/>
          <w:color w:val="000000" w:themeColor="text1"/>
          <w:sz w:val="22"/>
          <w:szCs w:val="22"/>
        </w:rPr>
        <w:t>.</w:t>
      </w:r>
      <w:r w:rsidRPr="00AE15DA">
        <w:rPr>
          <w:rFonts w:asciiTheme="minorHAnsi" w:hAnsiTheme="minorHAnsi" w:cs="Times New Roman"/>
          <w:b/>
          <w:bCs/>
          <w:color w:val="000000" w:themeColor="text1"/>
          <w:sz w:val="22"/>
          <w:szCs w:val="22"/>
        </w:rPr>
        <w:t xml:space="preserve"> </w:t>
      </w:r>
      <w:r w:rsidR="005F1C49" w:rsidRPr="005F1C49">
        <w:rPr>
          <w:rFonts w:asciiTheme="minorHAnsi" w:hAnsiTheme="minorHAnsi" w:cs="Times New Roman"/>
          <w:b/>
          <w:bCs/>
          <w:color w:val="000000" w:themeColor="text1"/>
          <w:sz w:val="22"/>
          <w:szCs w:val="22"/>
        </w:rPr>
        <w:t>W przypadku hiperfosfatemii i/lub hiperkalcemii stosowanie aktywnej (kalcytriol) (1-25(OH)2cholekalcyferol) lub konwencjonalnej (25(OH) cholekalcyfero</w:t>
      </w:r>
      <w:r w:rsidR="005F1C49">
        <w:rPr>
          <w:rFonts w:asciiTheme="minorHAnsi" w:hAnsiTheme="minorHAnsi" w:cs="Times New Roman"/>
          <w:b/>
          <w:bCs/>
          <w:color w:val="000000" w:themeColor="text1"/>
          <w:sz w:val="22"/>
          <w:szCs w:val="22"/>
        </w:rPr>
        <w:t>l) witaminy D nie jest właściwe</w:t>
      </w:r>
    </w:p>
    <w:p w:rsidR="007C70E3" w:rsidRPr="00AE15DA" w:rsidRDefault="007C70E3" w:rsidP="0043334F">
      <w:pPr>
        <w:contextualSpacing/>
        <w:jc w:val="both"/>
        <w:rPr>
          <w:rFonts w:asciiTheme="minorHAnsi" w:hAnsiTheme="minorHAnsi"/>
          <w:b/>
          <w:sz w:val="22"/>
          <w:szCs w:val="22"/>
        </w:rPr>
      </w:pPr>
    </w:p>
    <w:p w:rsidR="007C09E9" w:rsidRPr="00AE15DA" w:rsidRDefault="00415CD8" w:rsidP="0043334F">
      <w:pPr>
        <w:contextualSpacing/>
        <w:jc w:val="both"/>
        <w:rPr>
          <w:rFonts w:asciiTheme="minorHAnsi" w:hAnsiTheme="minorHAnsi"/>
          <w:b/>
          <w:sz w:val="22"/>
          <w:szCs w:val="22"/>
        </w:rPr>
      </w:pPr>
      <w:r w:rsidRPr="00AE15DA">
        <w:rPr>
          <w:rFonts w:asciiTheme="minorHAnsi" w:hAnsiTheme="minorHAnsi"/>
          <w:b/>
          <w:sz w:val="22"/>
          <w:szCs w:val="22"/>
        </w:rPr>
        <w:t>E1</w:t>
      </w:r>
      <w:r w:rsidR="004D36A2" w:rsidRPr="00AE15DA">
        <w:rPr>
          <w:rFonts w:asciiTheme="minorHAnsi" w:hAnsiTheme="minorHAnsi"/>
          <w:b/>
          <w:sz w:val="22"/>
          <w:szCs w:val="22"/>
        </w:rPr>
        <w:t>5</w:t>
      </w:r>
      <w:r w:rsidRPr="00AE15DA">
        <w:rPr>
          <w:rFonts w:asciiTheme="minorHAnsi" w:hAnsiTheme="minorHAnsi"/>
          <w:b/>
          <w:sz w:val="22"/>
          <w:szCs w:val="22"/>
        </w:rPr>
        <w:t xml:space="preserve">. </w:t>
      </w:r>
      <w:r w:rsidR="005F1C49" w:rsidRPr="005F1C49">
        <w:rPr>
          <w:rFonts w:asciiTheme="minorHAnsi" w:hAnsiTheme="minorHAnsi"/>
          <w:b/>
          <w:sz w:val="22"/>
          <w:szCs w:val="22"/>
        </w:rPr>
        <w:t xml:space="preserve">Doustne podawanie bisfosfonianów nie jest właściwe u pacjentów z chorobą górnego odcinka przewodu pokarmowego w wywiadzie </w:t>
      </w:r>
      <w:proofErr w:type="gramStart"/>
      <w:r w:rsidR="005F1C49" w:rsidRPr="005F1C49">
        <w:rPr>
          <w:rFonts w:asciiTheme="minorHAnsi" w:hAnsiTheme="minorHAnsi"/>
          <w:b/>
          <w:sz w:val="22"/>
          <w:szCs w:val="22"/>
        </w:rPr>
        <w:t>(</w:t>
      </w:r>
      <w:proofErr w:type="gramEnd"/>
      <w:r w:rsidR="005F1C49" w:rsidRPr="005F1C49">
        <w:rPr>
          <w:rFonts w:asciiTheme="minorHAnsi" w:hAnsiTheme="minorHAnsi"/>
          <w:b/>
          <w:sz w:val="22"/>
          <w:szCs w:val="22"/>
        </w:rPr>
        <w:t>np. dysfagia, zapalenie przełyku, wrzód trawienny, krwawienie z górnego odc</w:t>
      </w:r>
      <w:r w:rsidR="00010808">
        <w:rPr>
          <w:rFonts w:asciiTheme="minorHAnsi" w:hAnsiTheme="minorHAnsi"/>
          <w:b/>
          <w:sz w:val="22"/>
          <w:szCs w:val="22"/>
        </w:rPr>
        <w:t>inka przewodu pokarmowego lub GO</w:t>
      </w:r>
      <w:r w:rsidR="005F1C49" w:rsidRPr="005F1C49">
        <w:rPr>
          <w:rFonts w:asciiTheme="minorHAnsi" w:hAnsiTheme="minorHAnsi"/>
          <w:b/>
          <w:sz w:val="22"/>
          <w:szCs w:val="22"/>
        </w:rPr>
        <w:t>R niekontrolowany przez leczenie</w:t>
      </w:r>
      <w:proofErr w:type="gramStart"/>
      <w:r w:rsidR="005F1C49" w:rsidRPr="005F1C49">
        <w:rPr>
          <w:rFonts w:asciiTheme="minorHAnsi" w:hAnsiTheme="minorHAnsi"/>
          <w:b/>
          <w:sz w:val="22"/>
          <w:szCs w:val="22"/>
        </w:rPr>
        <w:t>)</w:t>
      </w:r>
      <w:proofErr w:type="gramEnd"/>
      <w:r w:rsidR="005F1C49" w:rsidRPr="005F1C49">
        <w:rPr>
          <w:rFonts w:asciiTheme="minorHAnsi" w:hAnsiTheme="minorHAnsi"/>
          <w:b/>
          <w:sz w:val="22"/>
          <w:szCs w:val="22"/>
        </w:rPr>
        <w:t xml:space="preserve"> i/lub u pacjentów, którzy fizycznie nie są w stanie stać prosto (zapalenie przełyku, wrzód, nawrót budowy przełyku/ryzyko zaostrzenia)</w:t>
      </w:r>
    </w:p>
    <w:p w:rsidR="00F11DEE" w:rsidRPr="00AE15DA" w:rsidRDefault="00F11DEE" w:rsidP="0043334F">
      <w:pPr>
        <w:contextualSpacing/>
        <w:jc w:val="both"/>
        <w:rPr>
          <w:rFonts w:asciiTheme="minorHAnsi" w:hAnsiTheme="minorHAnsi"/>
          <w:i/>
          <w:sz w:val="22"/>
          <w:szCs w:val="22"/>
        </w:rPr>
      </w:pPr>
      <w:r w:rsidRPr="00AE15DA">
        <w:rPr>
          <w:rFonts w:asciiTheme="minorHAnsi" w:hAnsiTheme="minorHAnsi"/>
          <w:i/>
          <w:sz w:val="22"/>
          <w:szCs w:val="22"/>
        </w:rPr>
        <w:t>*</w:t>
      </w:r>
      <w:r w:rsidR="00010808" w:rsidRPr="00010808">
        <w:t xml:space="preserve"> </w:t>
      </w:r>
      <w:r w:rsidR="00010808" w:rsidRPr="00010808">
        <w:rPr>
          <w:rFonts w:asciiTheme="minorHAnsi" w:hAnsiTheme="minorHAnsi"/>
          <w:i/>
          <w:sz w:val="22"/>
          <w:szCs w:val="22"/>
        </w:rPr>
        <w:t>Bisfosfoniany doustne można stosować ostrożnie w przy</w:t>
      </w:r>
      <w:r w:rsidR="00010808">
        <w:rPr>
          <w:rFonts w:asciiTheme="minorHAnsi" w:hAnsiTheme="minorHAnsi"/>
          <w:i/>
          <w:sz w:val="22"/>
          <w:szCs w:val="22"/>
        </w:rPr>
        <w:t>padku dobrze kontrolowanego GOR</w:t>
      </w:r>
      <w:r w:rsidRPr="00AE15DA">
        <w:rPr>
          <w:rFonts w:asciiTheme="minorHAnsi" w:hAnsiTheme="minorHAnsi"/>
          <w:i/>
          <w:sz w:val="22"/>
          <w:szCs w:val="22"/>
        </w:rPr>
        <w:t>.</w:t>
      </w:r>
    </w:p>
    <w:p w:rsidR="00364C7E" w:rsidRPr="00AE15DA" w:rsidRDefault="00364C7E" w:rsidP="0043334F">
      <w:pPr>
        <w:contextualSpacing/>
        <w:jc w:val="both"/>
        <w:rPr>
          <w:rFonts w:asciiTheme="minorHAnsi" w:hAnsiTheme="minorHAnsi"/>
          <w:b/>
          <w:sz w:val="22"/>
          <w:szCs w:val="22"/>
        </w:rPr>
      </w:pPr>
    </w:p>
    <w:p w:rsidR="00F11DEE" w:rsidRPr="00AE15DA" w:rsidRDefault="00415CD8" w:rsidP="0043334F">
      <w:pPr>
        <w:contextualSpacing/>
        <w:jc w:val="both"/>
        <w:rPr>
          <w:rFonts w:asciiTheme="minorHAnsi" w:hAnsiTheme="minorHAnsi"/>
          <w:color w:val="000000"/>
          <w:sz w:val="22"/>
          <w:szCs w:val="22"/>
          <w:vertAlign w:val="superscript"/>
        </w:rPr>
      </w:pPr>
      <w:r w:rsidRPr="00AE15DA">
        <w:rPr>
          <w:rFonts w:asciiTheme="minorHAnsi" w:hAnsiTheme="minorHAnsi"/>
          <w:b/>
          <w:sz w:val="22"/>
          <w:szCs w:val="22"/>
        </w:rPr>
        <w:t>E1</w:t>
      </w:r>
      <w:r w:rsidR="004D36A2" w:rsidRPr="00AE15DA">
        <w:rPr>
          <w:rFonts w:asciiTheme="minorHAnsi" w:hAnsiTheme="minorHAnsi"/>
          <w:b/>
          <w:sz w:val="22"/>
          <w:szCs w:val="22"/>
        </w:rPr>
        <w:t>6</w:t>
      </w:r>
      <w:r w:rsidRPr="00AE15DA">
        <w:rPr>
          <w:rFonts w:asciiTheme="minorHAnsi" w:hAnsiTheme="minorHAnsi"/>
          <w:b/>
          <w:sz w:val="22"/>
          <w:szCs w:val="22"/>
        </w:rPr>
        <w:t xml:space="preserve">. </w:t>
      </w:r>
      <w:r w:rsidR="00010808" w:rsidRPr="00010808">
        <w:rPr>
          <w:rFonts w:asciiTheme="minorHAnsi" w:hAnsiTheme="minorHAnsi"/>
          <w:b/>
          <w:sz w:val="22"/>
          <w:szCs w:val="22"/>
        </w:rPr>
        <w:t>Bisfosfoniany nie są odpowiednie do stosowania u pacjentów z GFR &lt; 30 ml/min/1,73 m2 (zwiększone ryzyko ostrej niewydolności nerek)</w:t>
      </w:r>
    </w:p>
    <w:p w:rsidR="00364C7E" w:rsidRPr="00010808" w:rsidRDefault="00F11DEE" w:rsidP="00010808">
      <w:pPr>
        <w:contextualSpacing/>
        <w:jc w:val="both"/>
        <w:rPr>
          <w:rFonts w:asciiTheme="minorHAnsi" w:hAnsiTheme="minorHAnsi"/>
          <w:i/>
          <w:sz w:val="22"/>
          <w:szCs w:val="22"/>
        </w:rPr>
      </w:pPr>
      <w:r w:rsidRPr="00AE15DA">
        <w:rPr>
          <w:rFonts w:asciiTheme="minorHAnsi" w:hAnsiTheme="minorHAnsi"/>
          <w:i/>
          <w:sz w:val="22"/>
          <w:szCs w:val="22"/>
        </w:rPr>
        <w:t>*</w:t>
      </w:r>
      <w:r w:rsidR="00010808" w:rsidRPr="00010808">
        <w:t xml:space="preserve"> </w:t>
      </w:r>
      <w:r w:rsidR="00010808" w:rsidRPr="00010808">
        <w:rPr>
          <w:rFonts w:asciiTheme="minorHAnsi" w:hAnsiTheme="minorHAnsi"/>
          <w:i/>
          <w:sz w:val="22"/>
          <w:szCs w:val="22"/>
        </w:rPr>
        <w:t>Próg GFR jest wyższy dla zoledronianu i alendronianu (&lt;35 ml/min/1,73 m2).</w:t>
      </w:r>
    </w:p>
    <w:p w:rsidR="00C80C53" w:rsidRPr="00010808" w:rsidRDefault="00415CD8" w:rsidP="0043334F">
      <w:pPr>
        <w:contextualSpacing/>
        <w:jc w:val="both"/>
        <w:rPr>
          <w:rFonts w:asciiTheme="minorHAnsi" w:hAnsiTheme="minorHAnsi"/>
          <w:b/>
          <w:color w:val="000000"/>
          <w:sz w:val="22"/>
          <w:szCs w:val="22"/>
        </w:rPr>
      </w:pPr>
      <w:r w:rsidRPr="00AE15DA">
        <w:rPr>
          <w:rFonts w:asciiTheme="minorHAnsi" w:hAnsiTheme="minorHAnsi"/>
          <w:b/>
          <w:color w:val="000000"/>
          <w:sz w:val="22"/>
          <w:szCs w:val="22"/>
        </w:rPr>
        <w:t>E1</w:t>
      </w:r>
      <w:r w:rsidR="00371D89" w:rsidRPr="00AE15DA">
        <w:rPr>
          <w:rFonts w:asciiTheme="minorHAnsi" w:hAnsiTheme="minorHAnsi"/>
          <w:b/>
          <w:color w:val="000000"/>
          <w:sz w:val="22"/>
          <w:szCs w:val="22"/>
        </w:rPr>
        <w:t>7</w:t>
      </w:r>
      <w:r w:rsidRPr="00AE15DA">
        <w:rPr>
          <w:rFonts w:asciiTheme="minorHAnsi" w:hAnsiTheme="minorHAnsi"/>
          <w:b/>
          <w:color w:val="000000"/>
          <w:sz w:val="22"/>
          <w:szCs w:val="22"/>
        </w:rPr>
        <w:t xml:space="preserve">. </w:t>
      </w:r>
      <w:r w:rsidR="00010808" w:rsidRPr="00010808">
        <w:rPr>
          <w:rFonts w:asciiTheme="minorHAnsi" w:hAnsiTheme="minorHAnsi"/>
          <w:b/>
          <w:color w:val="000000"/>
          <w:sz w:val="22"/>
          <w:szCs w:val="22"/>
        </w:rPr>
        <w:t>Stosowanie zoledronianu, denosumabu lub teryparatydu nie jest właściwe bez określenia stężenia wapnia w surowicy przed leczeniem i zapewnienia odpowi</w:t>
      </w:r>
      <w:r w:rsidR="00010808">
        <w:rPr>
          <w:rFonts w:asciiTheme="minorHAnsi" w:hAnsiTheme="minorHAnsi"/>
          <w:b/>
          <w:color w:val="000000"/>
          <w:sz w:val="22"/>
          <w:szCs w:val="22"/>
        </w:rPr>
        <w:t>edniej podaży wapnia/witaminy D</w:t>
      </w:r>
      <w:r w:rsidRPr="00AE15DA">
        <w:rPr>
          <w:rFonts w:asciiTheme="minorHAnsi" w:hAnsiTheme="minorHAnsi"/>
          <w:b/>
          <w:color w:val="000000"/>
          <w:sz w:val="22"/>
          <w:szCs w:val="22"/>
        </w:rPr>
        <w:t xml:space="preserve"> </w:t>
      </w:r>
    </w:p>
    <w:p w:rsidR="00F327A4" w:rsidRPr="00010808" w:rsidRDefault="007C70E3" w:rsidP="0043334F">
      <w:pPr>
        <w:contextualSpacing/>
        <w:jc w:val="both"/>
        <w:rPr>
          <w:rFonts w:asciiTheme="minorHAnsi" w:hAnsiTheme="minorHAnsi"/>
          <w:b/>
          <w:sz w:val="28"/>
          <w:szCs w:val="28"/>
        </w:rPr>
      </w:pPr>
      <w:r w:rsidRPr="00AE15DA">
        <w:rPr>
          <w:rFonts w:asciiTheme="minorHAnsi" w:hAnsiTheme="minorHAnsi"/>
          <w:b/>
          <w:sz w:val="28"/>
          <w:szCs w:val="28"/>
        </w:rPr>
        <w:t xml:space="preserve">F: </w:t>
      </w:r>
      <w:r w:rsidR="00010808" w:rsidRPr="00010808">
        <w:rPr>
          <w:rFonts w:asciiTheme="minorHAnsi" w:hAnsiTheme="minorHAnsi"/>
          <w:b/>
          <w:sz w:val="28"/>
          <w:szCs w:val="28"/>
        </w:rPr>
        <w:t>Kryteria układu moczowo-płciowego</w:t>
      </w:r>
      <w:r w:rsidRPr="00AE15DA">
        <w:rPr>
          <w:rFonts w:asciiTheme="minorHAnsi" w:hAnsiTheme="minorHAnsi"/>
          <w:b/>
          <w:sz w:val="28"/>
          <w:szCs w:val="28"/>
        </w:rPr>
        <w:t>.</w:t>
      </w:r>
    </w:p>
    <w:p w:rsidR="00236CC7" w:rsidRPr="00AE15DA" w:rsidRDefault="00415CD8" w:rsidP="0043334F">
      <w:pPr>
        <w:pStyle w:val="AklamaMetni"/>
        <w:spacing w:after="0"/>
        <w:contextualSpacing/>
        <w:jc w:val="both"/>
        <w:rPr>
          <w:rStyle w:val="AklamaBavurusu"/>
          <w:rFonts w:cs="Times New Roman"/>
          <w:b/>
          <w:sz w:val="22"/>
          <w:szCs w:val="22"/>
        </w:rPr>
      </w:pPr>
      <w:r w:rsidRPr="00AE15DA">
        <w:rPr>
          <w:rFonts w:cs="Times New Roman"/>
          <w:b/>
          <w:sz w:val="22"/>
          <w:szCs w:val="22"/>
        </w:rPr>
        <w:t xml:space="preserve">F1. </w:t>
      </w:r>
      <w:r w:rsidR="00010808" w:rsidRPr="00010808">
        <w:rPr>
          <w:rFonts w:cs="Times New Roman"/>
          <w:b/>
          <w:sz w:val="22"/>
          <w:szCs w:val="22"/>
        </w:rPr>
        <w:t>U mężczyzn z objawami LUTS spowodowanymi łagodnym przerostem gruczołu krokowego, jeśli PMR wynosi &gt;150 ml, leki antycholinergiczne na pęcherz nie są odpowiednie</w:t>
      </w:r>
    </w:p>
    <w:p w:rsidR="00E85274" w:rsidRPr="00E85274" w:rsidRDefault="00F11DEE" w:rsidP="00E85274">
      <w:pPr>
        <w:pStyle w:val="AklamaMetni"/>
        <w:contextualSpacing/>
        <w:jc w:val="both"/>
        <w:rPr>
          <w:rFonts w:eastAsia="Times New Roman" w:cs="Times New Roman"/>
          <w:i/>
          <w:color w:val="000000" w:themeColor="text1"/>
          <w:sz w:val="22"/>
          <w:szCs w:val="22"/>
        </w:rPr>
      </w:pPr>
      <w:r w:rsidRPr="00AE15DA">
        <w:rPr>
          <w:rFonts w:eastAsia="Times New Roman" w:cs="Times New Roman"/>
          <w:i/>
          <w:color w:val="000000" w:themeColor="text1"/>
          <w:sz w:val="22"/>
          <w:szCs w:val="22"/>
        </w:rPr>
        <w:t>*</w:t>
      </w:r>
      <w:r w:rsidR="00010808" w:rsidRPr="00010808">
        <w:t xml:space="preserve"> </w:t>
      </w:r>
      <w:r w:rsidR="00010808" w:rsidRPr="00010808">
        <w:rPr>
          <w:rFonts w:eastAsia="Times New Roman" w:cs="Times New Roman"/>
          <w:i/>
          <w:color w:val="000000" w:themeColor="text1"/>
          <w:sz w:val="22"/>
          <w:szCs w:val="22"/>
        </w:rPr>
        <w:t>U starszych mężczyzn, przed przepisaniem leków przeciwcholinergicznych kierowanych do pęcherza moczowego do leczenia pęcherza nadreaktywnego, we wszystkich przypadkach należy zakwestion</w:t>
      </w:r>
      <w:r w:rsidR="00010808">
        <w:rPr>
          <w:rFonts w:eastAsia="Times New Roman" w:cs="Times New Roman"/>
          <w:i/>
          <w:color w:val="000000" w:themeColor="text1"/>
          <w:sz w:val="22"/>
          <w:szCs w:val="22"/>
        </w:rPr>
        <w:t>ować objawy LUTS i określić PMR</w:t>
      </w:r>
      <w:r w:rsidRPr="00AE15DA">
        <w:rPr>
          <w:rFonts w:eastAsia="Times New Roman" w:cs="Times New Roman"/>
          <w:i/>
          <w:color w:val="000000" w:themeColor="text1"/>
          <w:sz w:val="22"/>
          <w:szCs w:val="22"/>
        </w:rPr>
        <w:t>.</w:t>
      </w:r>
    </w:p>
    <w:p w:rsidR="006C2A94" w:rsidRPr="00AE15DA" w:rsidRDefault="00415CD8"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 xml:space="preserve">F2. </w:t>
      </w:r>
      <w:r w:rsidR="00010808" w:rsidRPr="00010808">
        <w:rPr>
          <w:rFonts w:asciiTheme="minorHAnsi" w:hAnsiTheme="minorHAnsi"/>
          <w:b/>
          <w:sz w:val="22"/>
          <w:szCs w:val="22"/>
        </w:rPr>
        <w:t>Leki antycholinergiczne kierowane do pęcherza moczowego nie są odpowiednie dla pacjentów z przewlekłą jas</w:t>
      </w:r>
      <w:r w:rsidR="00010808">
        <w:rPr>
          <w:rFonts w:asciiTheme="minorHAnsi" w:hAnsiTheme="minorHAnsi"/>
          <w:b/>
          <w:sz w:val="22"/>
          <w:szCs w:val="22"/>
        </w:rPr>
        <w:t>krą z wąskim kątem przesączania</w:t>
      </w:r>
    </w:p>
    <w:p w:rsidR="006C2A94" w:rsidRPr="00AE15DA" w:rsidRDefault="00F11DEE" w:rsidP="0043334F">
      <w:pPr>
        <w:contextualSpacing/>
        <w:jc w:val="both"/>
        <w:rPr>
          <w:rFonts w:asciiTheme="minorHAnsi" w:hAnsiTheme="minorHAnsi"/>
          <w:i/>
          <w:color w:val="000000" w:themeColor="text1"/>
          <w:sz w:val="22"/>
          <w:szCs w:val="22"/>
        </w:rPr>
      </w:pPr>
      <w:r w:rsidRPr="00AE15DA">
        <w:rPr>
          <w:rFonts w:asciiTheme="minorHAnsi" w:hAnsiTheme="minorHAnsi"/>
          <w:i/>
          <w:sz w:val="22"/>
          <w:szCs w:val="22"/>
        </w:rPr>
        <w:t>*</w:t>
      </w:r>
      <w:r w:rsidR="00010808" w:rsidRPr="00010808">
        <w:t xml:space="preserve"> </w:t>
      </w:r>
      <w:r w:rsidR="00010808" w:rsidRPr="00010808">
        <w:rPr>
          <w:rFonts w:asciiTheme="minorHAnsi" w:hAnsiTheme="minorHAnsi"/>
          <w:i/>
          <w:sz w:val="22"/>
          <w:szCs w:val="22"/>
        </w:rPr>
        <w:t>Przed rozpoczęciem stosowania leków przeciwcholinergicznych na pęcherz należy zakwestionować historię jaskry</w:t>
      </w:r>
      <w:r w:rsidRPr="00AE15DA">
        <w:rPr>
          <w:rFonts w:asciiTheme="minorHAnsi" w:hAnsiTheme="minorHAnsi"/>
          <w:i/>
          <w:color w:val="000000" w:themeColor="text1"/>
          <w:sz w:val="22"/>
          <w:szCs w:val="22"/>
        </w:rPr>
        <w:t xml:space="preserve">. </w:t>
      </w:r>
    </w:p>
    <w:p w:rsidR="006C2A94" w:rsidRPr="00AE15DA" w:rsidRDefault="00F11DEE" w:rsidP="0043334F">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010808" w:rsidRPr="00010808">
        <w:t xml:space="preserve"> </w:t>
      </w:r>
      <w:r w:rsidR="00010808" w:rsidRPr="00010808">
        <w:rPr>
          <w:rFonts w:asciiTheme="minorHAnsi" w:hAnsiTheme="minorHAnsi"/>
          <w:i/>
          <w:color w:val="000000" w:themeColor="text1"/>
          <w:sz w:val="22"/>
          <w:szCs w:val="22"/>
        </w:rPr>
        <w:t>Leki przeciwcholinergiczne skierowane na pęcherz nie są przeciwwskazane, jeśli jaskra z wąskim kątem b</w:t>
      </w:r>
      <w:r w:rsidR="00010808">
        <w:rPr>
          <w:rFonts w:asciiTheme="minorHAnsi" w:hAnsiTheme="minorHAnsi"/>
          <w:i/>
          <w:color w:val="000000" w:themeColor="text1"/>
          <w:sz w:val="22"/>
          <w:szCs w:val="22"/>
        </w:rPr>
        <w:t>yła leczona irydotomią laserową</w:t>
      </w:r>
      <w:r w:rsidR="006C2A94" w:rsidRPr="00AE15DA">
        <w:rPr>
          <w:rFonts w:asciiTheme="minorHAnsi" w:hAnsiTheme="minorHAnsi"/>
          <w:i/>
          <w:color w:val="000000" w:themeColor="text1"/>
          <w:sz w:val="22"/>
          <w:szCs w:val="22"/>
        </w:rPr>
        <w:t>.</w:t>
      </w:r>
    </w:p>
    <w:p w:rsidR="00F11DEE" w:rsidRPr="00AE15DA" w:rsidRDefault="006C2A94" w:rsidP="0043334F">
      <w:pPr>
        <w:contextualSpacing/>
        <w:jc w:val="both"/>
        <w:rPr>
          <w:rFonts w:asciiTheme="minorHAnsi" w:hAnsiTheme="minorHAnsi"/>
          <w:i/>
          <w:color w:val="000000" w:themeColor="text1"/>
          <w:sz w:val="22"/>
          <w:szCs w:val="22"/>
        </w:rPr>
      </w:pPr>
      <w:r w:rsidRPr="00AE15DA">
        <w:rPr>
          <w:rFonts w:asciiTheme="minorHAnsi" w:hAnsiTheme="minorHAnsi"/>
          <w:i/>
          <w:sz w:val="22"/>
          <w:szCs w:val="22"/>
        </w:rPr>
        <w:t>*</w:t>
      </w:r>
      <w:r w:rsidR="00010808" w:rsidRPr="00010808">
        <w:t xml:space="preserve"> </w:t>
      </w:r>
      <w:r w:rsidR="00010808" w:rsidRPr="00010808">
        <w:rPr>
          <w:rFonts w:asciiTheme="minorHAnsi" w:hAnsiTheme="minorHAnsi"/>
          <w:i/>
          <w:sz w:val="22"/>
          <w:szCs w:val="22"/>
        </w:rPr>
        <w:t>Leki antycholinergiczne na pęcherz również nie są przeciwwskazane w jaskrze otwartego kąta</w:t>
      </w:r>
      <w:r w:rsidRPr="00AE15DA">
        <w:rPr>
          <w:rFonts w:asciiTheme="minorHAnsi" w:hAnsiTheme="minorHAnsi"/>
          <w:i/>
          <w:color w:val="000000" w:themeColor="text1"/>
          <w:sz w:val="22"/>
          <w:szCs w:val="22"/>
        </w:rPr>
        <w:t>.</w:t>
      </w:r>
    </w:p>
    <w:p w:rsidR="006C2A94" w:rsidRPr="00AE15DA" w:rsidRDefault="006C2A9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b/>
          <w:color w:val="000000" w:themeColor="text1"/>
          <w:sz w:val="22"/>
          <w:szCs w:val="22"/>
        </w:rPr>
      </w:pPr>
    </w:p>
    <w:p w:rsidR="00080395" w:rsidRPr="00AE15DA" w:rsidRDefault="0008039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sz w:val="22"/>
          <w:szCs w:val="22"/>
        </w:rPr>
      </w:pPr>
    </w:p>
    <w:p w:rsidR="00415CD8" w:rsidRPr="00AE15DA" w:rsidRDefault="00415CD8"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color w:val="000000"/>
          <w:sz w:val="22"/>
          <w:szCs w:val="22"/>
        </w:rPr>
        <w:t xml:space="preserve">F3. </w:t>
      </w:r>
      <w:proofErr w:type="gramStart"/>
      <w:r w:rsidR="00244FF3" w:rsidRPr="00244FF3">
        <w:rPr>
          <w:rFonts w:asciiTheme="minorHAnsi" w:hAnsiTheme="minorHAnsi"/>
          <w:b/>
          <w:color w:val="000000"/>
          <w:sz w:val="22"/>
          <w:szCs w:val="22"/>
        </w:rPr>
        <w:t>Stosowanie leków antycholinergicznych na pęcherz nie jest właściwe bez określenia PMR (ryzyko zatrzymania moczu i pozanerkowej niewydolności nerek) u osób w podeszłym wieku z przerostem prostaty (ryzyko niedrożności) lub powikłaniami cukrzycy (ryzyko neurogennego pęcherza) lub słabymi osobami w podeszłym wieku (zmniejszone ryzyko kurczliwości z wypieraczem nadpobudliwość)</w:t>
      </w:r>
      <w:proofErr w:type="gramEnd"/>
    </w:p>
    <w:p w:rsidR="00E456DB" w:rsidRPr="00AE15DA" w:rsidRDefault="00E456DB" w:rsidP="0043334F">
      <w:pPr>
        <w:spacing w:before="100" w:beforeAutospacing="1" w:after="100" w:afterAutospacing="1"/>
        <w:contextualSpacing/>
        <w:jc w:val="both"/>
        <w:rPr>
          <w:rFonts w:asciiTheme="minorHAnsi" w:hAnsiTheme="minorHAnsi" w:cstheme="minorHAnsi"/>
          <w:color w:val="000000"/>
          <w:sz w:val="22"/>
          <w:szCs w:val="22"/>
        </w:rPr>
      </w:pPr>
    </w:p>
    <w:p w:rsidR="00316725" w:rsidRPr="00AE15DA" w:rsidRDefault="00415CD8"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F4. </w:t>
      </w:r>
      <w:r w:rsidR="00244FF3" w:rsidRPr="00244FF3">
        <w:rPr>
          <w:rFonts w:asciiTheme="minorHAnsi" w:hAnsiTheme="minorHAnsi"/>
          <w:b/>
          <w:sz w:val="22"/>
          <w:szCs w:val="22"/>
        </w:rPr>
        <w:t xml:space="preserve">Stosowanie inhibitorów fosfodiesterazy typu 5 </w:t>
      </w:r>
      <w:proofErr w:type="gramStart"/>
      <w:r w:rsidR="00244FF3" w:rsidRPr="00244FF3">
        <w:rPr>
          <w:rFonts w:asciiTheme="minorHAnsi" w:hAnsiTheme="minorHAnsi"/>
          <w:b/>
          <w:sz w:val="22"/>
          <w:szCs w:val="22"/>
        </w:rPr>
        <w:t>(</w:t>
      </w:r>
      <w:proofErr w:type="gramEnd"/>
      <w:r w:rsidR="00244FF3" w:rsidRPr="00244FF3">
        <w:rPr>
          <w:rFonts w:asciiTheme="minorHAnsi" w:hAnsiTheme="minorHAnsi"/>
          <w:b/>
          <w:sz w:val="22"/>
          <w:szCs w:val="22"/>
        </w:rPr>
        <w:t>np. sildenafilu, tadalafilu, wardenafilu</w:t>
      </w:r>
      <w:proofErr w:type="gramStart"/>
      <w:r w:rsidR="00244FF3" w:rsidRPr="00244FF3">
        <w:rPr>
          <w:rFonts w:asciiTheme="minorHAnsi" w:hAnsiTheme="minorHAnsi"/>
          <w:b/>
          <w:sz w:val="22"/>
          <w:szCs w:val="22"/>
        </w:rPr>
        <w:t>)</w:t>
      </w:r>
      <w:proofErr w:type="gramEnd"/>
      <w:r w:rsidR="00244FF3" w:rsidRPr="00244FF3">
        <w:rPr>
          <w:rFonts w:asciiTheme="minorHAnsi" w:hAnsiTheme="minorHAnsi"/>
          <w:b/>
          <w:sz w:val="22"/>
          <w:szCs w:val="22"/>
        </w:rPr>
        <w:t xml:space="preserve"> nie jest wskazane u następujących pacjentów: Pacjenci z ciśnieniem krwi &lt;90/50 mmHg lub &gt;170/100 mmHg, pacjenci z niestabilną dławic</w:t>
      </w:r>
      <w:r w:rsidR="00AA39DE">
        <w:rPr>
          <w:rFonts w:asciiTheme="minorHAnsi" w:hAnsiTheme="minorHAnsi"/>
          <w:b/>
          <w:sz w:val="22"/>
          <w:szCs w:val="22"/>
        </w:rPr>
        <w:t>ą piersiową, pacjenci z dusznic</w:t>
      </w:r>
      <w:r w:rsidR="00AA39DE" w:rsidRPr="00244FF3">
        <w:rPr>
          <w:rFonts w:asciiTheme="minorHAnsi" w:hAnsiTheme="minorHAnsi"/>
          <w:b/>
          <w:sz w:val="22"/>
          <w:szCs w:val="22"/>
        </w:rPr>
        <w:t>ą</w:t>
      </w:r>
      <w:r w:rsidR="00AA39DE">
        <w:rPr>
          <w:rFonts w:asciiTheme="minorHAnsi" w:hAnsiTheme="minorHAnsi"/>
          <w:b/>
          <w:sz w:val="22"/>
          <w:szCs w:val="22"/>
        </w:rPr>
        <w:t xml:space="preserve"> bolesn</w:t>
      </w:r>
      <w:r w:rsidR="00AA39DE" w:rsidRPr="00244FF3">
        <w:rPr>
          <w:rFonts w:asciiTheme="minorHAnsi" w:hAnsiTheme="minorHAnsi"/>
          <w:b/>
          <w:sz w:val="22"/>
          <w:szCs w:val="22"/>
        </w:rPr>
        <w:t>ą</w:t>
      </w:r>
      <w:r w:rsidR="00244FF3" w:rsidRPr="00244FF3">
        <w:rPr>
          <w:rFonts w:asciiTheme="minorHAnsi" w:hAnsiTheme="minorHAnsi"/>
          <w:b/>
          <w:sz w:val="22"/>
          <w:szCs w:val="22"/>
        </w:rPr>
        <w:t xml:space="preserve"> podczas stosunku, pacjenci NYHA z niewydolnością serca 4 klasy, pacjenci leczeni azotanami z powodu dusznicy bolesnej, pacjenci leczeni alfa-1-adrenolitykami, pacjenci po zawale serca (&lt;3 miesięcy), pacjenci po przebyt</w:t>
      </w:r>
      <w:r w:rsidR="00244FF3">
        <w:rPr>
          <w:rFonts w:asciiTheme="minorHAnsi" w:hAnsiTheme="minorHAnsi"/>
          <w:b/>
          <w:sz w:val="22"/>
          <w:szCs w:val="22"/>
        </w:rPr>
        <w:t>ym udarze mózgu (&lt;6 miesięcy)</w:t>
      </w:r>
      <w:r w:rsidRPr="00AE15DA">
        <w:rPr>
          <w:rFonts w:asciiTheme="minorHAnsi" w:hAnsiTheme="minorHAnsi"/>
          <w:b/>
          <w:sz w:val="22"/>
          <w:szCs w:val="22"/>
        </w:rPr>
        <w:t xml:space="preserve"> </w:t>
      </w:r>
    </w:p>
    <w:p w:rsidR="00967AEF" w:rsidRPr="00AE15DA" w:rsidRDefault="00967AEF" w:rsidP="0043334F">
      <w:pPr>
        <w:autoSpaceDE w:val="0"/>
        <w:autoSpaceDN w:val="0"/>
        <w:adjustRightInd w:val="0"/>
        <w:contextualSpacing/>
        <w:jc w:val="both"/>
        <w:rPr>
          <w:rStyle w:val="Kpr"/>
          <w:rFonts w:asciiTheme="minorHAnsi" w:eastAsiaTheme="majorEastAsia" w:hAnsiTheme="minorHAnsi" w:cstheme="minorHAnsi"/>
          <w:color w:val="000000" w:themeColor="text1"/>
          <w:sz w:val="22"/>
          <w:szCs w:val="22"/>
          <w:u w:val="none"/>
        </w:rPr>
      </w:pPr>
    </w:p>
    <w:p w:rsidR="00632179" w:rsidRPr="00AE15DA" w:rsidRDefault="00632179"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 xml:space="preserve">F5. </w:t>
      </w:r>
      <w:r w:rsidR="00B13D8E" w:rsidRPr="00B13D8E">
        <w:rPr>
          <w:rFonts w:asciiTheme="minorHAnsi" w:hAnsiTheme="minorHAnsi"/>
          <w:b/>
          <w:sz w:val="22"/>
          <w:szCs w:val="22"/>
        </w:rPr>
        <w:t xml:space="preserve">Nieuroselektywne leki blokujące receptory alfa 1 </w:t>
      </w:r>
      <w:proofErr w:type="gramStart"/>
      <w:r w:rsidR="00B13D8E" w:rsidRPr="00B13D8E">
        <w:rPr>
          <w:rFonts w:asciiTheme="minorHAnsi" w:hAnsiTheme="minorHAnsi"/>
          <w:b/>
          <w:sz w:val="22"/>
          <w:szCs w:val="22"/>
        </w:rPr>
        <w:t>(</w:t>
      </w:r>
      <w:proofErr w:type="gramEnd"/>
      <w:r w:rsidR="00B13D8E" w:rsidRPr="00B13D8E">
        <w:rPr>
          <w:rFonts w:asciiTheme="minorHAnsi" w:hAnsiTheme="minorHAnsi"/>
          <w:b/>
          <w:sz w:val="22"/>
          <w:szCs w:val="22"/>
        </w:rPr>
        <w:t>np. doxazosin, terazosin</w:t>
      </w:r>
      <w:proofErr w:type="gramStart"/>
      <w:r w:rsidR="00B13D8E" w:rsidRPr="00B13D8E">
        <w:rPr>
          <w:rFonts w:asciiTheme="minorHAnsi" w:hAnsiTheme="minorHAnsi"/>
          <w:b/>
          <w:sz w:val="22"/>
          <w:szCs w:val="22"/>
        </w:rPr>
        <w:t>)</w:t>
      </w:r>
      <w:proofErr w:type="gramEnd"/>
      <w:r w:rsidR="00B13D8E" w:rsidRPr="00B13D8E">
        <w:rPr>
          <w:rFonts w:asciiTheme="minorHAnsi" w:hAnsiTheme="minorHAnsi"/>
          <w:b/>
          <w:sz w:val="22"/>
          <w:szCs w:val="22"/>
        </w:rPr>
        <w:t xml:space="preserve"> nie są odpowiednie do leczenia objawów LUTS z powodu łagodnego rozrostu gruczołu krokowego u pacjentów z </w:t>
      </w:r>
      <w:r w:rsidR="00B13D8E">
        <w:rPr>
          <w:rFonts w:asciiTheme="minorHAnsi" w:hAnsiTheme="minorHAnsi"/>
          <w:b/>
          <w:sz w:val="22"/>
          <w:szCs w:val="22"/>
        </w:rPr>
        <w:t>hipotoni</w:t>
      </w:r>
      <w:r w:rsidR="00B13D8E" w:rsidRPr="00244FF3">
        <w:rPr>
          <w:rFonts w:asciiTheme="minorHAnsi" w:hAnsiTheme="minorHAnsi"/>
          <w:b/>
          <w:sz w:val="22"/>
          <w:szCs w:val="22"/>
        </w:rPr>
        <w:t>ą</w:t>
      </w:r>
      <w:r w:rsidR="00B13D8E" w:rsidRPr="00B13D8E">
        <w:rPr>
          <w:rFonts w:asciiTheme="minorHAnsi" w:hAnsiTheme="minorHAnsi"/>
          <w:b/>
          <w:sz w:val="22"/>
          <w:szCs w:val="22"/>
        </w:rPr>
        <w:t xml:space="preserve"> ortost</w:t>
      </w:r>
      <w:r w:rsidR="00B13D8E">
        <w:rPr>
          <w:rFonts w:asciiTheme="minorHAnsi" w:hAnsiTheme="minorHAnsi"/>
          <w:b/>
          <w:sz w:val="22"/>
          <w:szCs w:val="22"/>
        </w:rPr>
        <w:t>atyczn</w:t>
      </w:r>
      <w:r w:rsidR="00B13D8E" w:rsidRPr="00244FF3">
        <w:rPr>
          <w:rFonts w:asciiTheme="minorHAnsi" w:hAnsiTheme="minorHAnsi"/>
          <w:b/>
          <w:sz w:val="22"/>
          <w:szCs w:val="22"/>
        </w:rPr>
        <w:t>ą</w:t>
      </w:r>
      <w:r w:rsidR="00B13D8E" w:rsidRPr="00B13D8E">
        <w:rPr>
          <w:rFonts w:asciiTheme="minorHAnsi" w:hAnsiTheme="minorHAnsi"/>
          <w:b/>
          <w:sz w:val="22"/>
          <w:szCs w:val="22"/>
        </w:rPr>
        <w:t xml:space="preserve"> </w:t>
      </w:r>
      <w:r w:rsidR="00B13D8E">
        <w:rPr>
          <w:rFonts w:asciiTheme="minorHAnsi" w:hAnsiTheme="minorHAnsi"/>
          <w:b/>
          <w:sz w:val="22"/>
          <w:szCs w:val="22"/>
        </w:rPr>
        <w:t>(nasilonej</w:t>
      </w:r>
      <w:r w:rsidR="00B13D8E" w:rsidRPr="00B13D8E">
        <w:rPr>
          <w:rFonts w:asciiTheme="minorHAnsi" w:hAnsiTheme="minorHAnsi"/>
          <w:b/>
          <w:sz w:val="22"/>
          <w:szCs w:val="22"/>
        </w:rPr>
        <w:t xml:space="preserve"> </w:t>
      </w:r>
      <w:r w:rsidR="00B13D8E">
        <w:rPr>
          <w:rFonts w:asciiTheme="minorHAnsi" w:hAnsiTheme="minorHAnsi"/>
          <w:b/>
          <w:sz w:val="22"/>
          <w:szCs w:val="22"/>
        </w:rPr>
        <w:t>hipotoni</w:t>
      </w:r>
      <w:r w:rsidR="00B13D8E" w:rsidRPr="00244FF3">
        <w:rPr>
          <w:rFonts w:asciiTheme="minorHAnsi" w:hAnsiTheme="minorHAnsi"/>
          <w:b/>
          <w:sz w:val="22"/>
          <w:szCs w:val="22"/>
        </w:rPr>
        <w:t>ą</w:t>
      </w:r>
      <w:r w:rsidR="00B13D8E" w:rsidRPr="00B13D8E">
        <w:rPr>
          <w:rFonts w:asciiTheme="minorHAnsi" w:hAnsiTheme="minorHAnsi"/>
          <w:b/>
          <w:sz w:val="22"/>
          <w:szCs w:val="22"/>
        </w:rPr>
        <w:t xml:space="preserve"> ortost</w:t>
      </w:r>
      <w:r w:rsidR="00B13D8E">
        <w:rPr>
          <w:rFonts w:asciiTheme="minorHAnsi" w:hAnsiTheme="minorHAnsi"/>
          <w:b/>
          <w:sz w:val="22"/>
          <w:szCs w:val="22"/>
        </w:rPr>
        <w:t>atyczn</w:t>
      </w:r>
      <w:r w:rsidR="00B13D8E" w:rsidRPr="00244FF3">
        <w:rPr>
          <w:rFonts w:asciiTheme="minorHAnsi" w:hAnsiTheme="minorHAnsi"/>
          <w:b/>
          <w:sz w:val="22"/>
          <w:szCs w:val="22"/>
        </w:rPr>
        <w:t>ą</w:t>
      </w:r>
      <w:r w:rsidR="00B13D8E">
        <w:rPr>
          <w:rFonts w:asciiTheme="minorHAnsi" w:hAnsiTheme="minorHAnsi"/>
          <w:b/>
          <w:sz w:val="22"/>
          <w:szCs w:val="22"/>
        </w:rPr>
        <w:t>, omdleniami i upadkami)</w:t>
      </w:r>
      <w:r w:rsidRPr="00AE15DA">
        <w:rPr>
          <w:rFonts w:asciiTheme="minorHAnsi" w:hAnsiTheme="minorHAnsi"/>
          <w:b/>
          <w:sz w:val="22"/>
          <w:szCs w:val="22"/>
        </w:rPr>
        <w:t xml:space="preserve"> </w:t>
      </w:r>
    </w:p>
    <w:p w:rsidR="00967AEF" w:rsidRPr="00AE15DA" w:rsidRDefault="00967AEF" w:rsidP="0043334F">
      <w:pPr>
        <w:contextualSpacing/>
        <w:jc w:val="both"/>
        <w:rPr>
          <w:rFonts w:asciiTheme="minorHAnsi" w:hAnsiTheme="minorHAnsi"/>
          <w:i/>
          <w:color w:val="000000" w:themeColor="text1"/>
          <w:sz w:val="22"/>
          <w:szCs w:val="22"/>
        </w:rPr>
      </w:pPr>
      <w:r w:rsidRPr="00AE15DA">
        <w:rPr>
          <w:rFonts w:asciiTheme="minorHAnsi" w:hAnsiTheme="minorHAnsi"/>
          <w:i/>
          <w:color w:val="000000" w:themeColor="text1"/>
          <w:sz w:val="22"/>
          <w:szCs w:val="22"/>
        </w:rPr>
        <w:t>*</w:t>
      </w:r>
      <w:r w:rsidR="00B13D8E" w:rsidRPr="00B13D8E">
        <w:t xml:space="preserve"> </w:t>
      </w:r>
      <w:r w:rsidR="00B13D8E" w:rsidRPr="00B13D8E">
        <w:rPr>
          <w:rFonts w:asciiTheme="minorHAnsi" w:hAnsiTheme="minorHAnsi"/>
          <w:i/>
          <w:color w:val="000000" w:themeColor="text1"/>
          <w:sz w:val="22"/>
          <w:szCs w:val="22"/>
        </w:rPr>
        <w:t>Środek uroselektywny o najniższym ryzyku hipotonii ortostatycznej to sylodosyna; uważany za podobny do placebo</w:t>
      </w:r>
      <w:r w:rsidRPr="00AE15DA">
        <w:rPr>
          <w:rFonts w:asciiTheme="minorHAnsi" w:hAnsiTheme="minorHAnsi"/>
          <w:i/>
          <w:color w:val="000000" w:themeColor="text1"/>
          <w:sz w:val="22"/>
          <w:szCs w:val="22"/>
        </w:rPr>
        <w:t xml:space="preserve">. </w:t>
      </w:r>
    </w:p>
    <w:p w:rsidR="00F11DEE" w:rsidRPr="00AE15DA" w:rsidRDefault="00F11DEE" w:rsidP="0043334F">
      <w:pPr>
        <w:spacing w:after="100" w:afterAutospacing="1"/>
        <w:contextualSpacing/>
        <w:jc w:val="both"/>
        <w:rPr>
          <w:rFonts w:asciiTheme="minorHAnsi" w:hAnsiTheme="minorHAnsi"/>
          <w:i/>
          <w:sz w:val="22"/>
          <w:szCs w:val="22"/>
        </w:rPr>
      </w:pPr>
      <w:r w:rsidRPr="00AE15DA">
        <w:rPr>
          <w:rFonts w:asciiTheme="minorHAnsi" w:hAnsiTheme="minorHAnsi"/>
          <w:i/>
          <w:sz w:val="22"/>
          <w:szCs w:val="22"/>
        </w:rPr>
        <w:t>*</w:t>
      </w:r>
      <w:r w:rsidR="00B13D8E" w:rsidRPr="00B13D8E">
        <w:t xml:space="preserve"> </w:t>
      </w:r>
      <w:r w:rsidR="00B13D8E" w:rsidRPr="00B13D8E">
        <w:rPr>
          <w:rFonts w:asciiTheme="minorHAnsi" w:hAnsiTheme="minorHAnsi"/>
          <w:i/>
          <w:sz w:val="22"/>
          <w:szCs w:val="22"/>
        </w:rPr>
        <w:t xml:space="preserve">Pacjenci w podeszłym wieku leczeni nieuroselektywnymi alfa-1-adrenolitykami powinni zostać poinformowani o ryzyku wystąpienia </w:t>
      </w:r>
      <w:r w:rsidR="00B13D8E" w:rsidRPr="00B13D8E">
        <w:rPr>
          <w:rFonts w:asciiTheme="minorHAnsi" w:hAnsiTheme="minorHAnsi"/>
          <w:i/>
          <w:color w:val="000000" w:themeColor="text1"/>
          <w:sz w:val="22"/>
          <w:szCs w:val="22"/>
        </w:rPr>
        <w:t>hipotonii ortostatycznej</w:t>
      </w:r>
      <w:r w:rsidRPr="00AE15DA">
        <w:rPr>
          <w:rFonts w:asciiTheme="minorHAnsi" w:hAnsiTheme="minorHAnsi"/>
          <w:i/>
          <w:sz w:val="22"/>
          <w:szCs w:val="22"/>
        </w:rPr>
        <w:t>.</w:t>
      </w:r>
    </w:p>
    <w:p w:rsidR="00E456DB" w:rsidRDefault="00E456DB"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rsidR="00E85274" w:rsidRPr="00AE15DA" w:rsidRDefault="00E85274"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415CD8" w:rsidRPr="00AE15DA" w:rsidRDefault="00415CD8" w:rsidP="0043334F">
      <w:pPr>
        <w:contextualSpacing/>
        <w:jc w:val="both"/>
        <w:rPr>
          <w:rFonts w:asciiTheme="minorHAnsi" w:hAnsiTheme="minorHAnsi"/>
          <w:b/>
          <w:sz w:val="22"/>
          <w:szCs w:val="22"/>
        </w:rPr>
      </w:pPr>
      <w:r w:rsidRPr="00AE15DA">
        <w:rPr>
          <w:rFonts w:asciiTheme="minorHAnsi" w:hAnsiTheme="minorHAnsi"/>
          <w:b/>
          <w:sz w:val="22"/>
          <w:szCs w:val="22"/>
        </w:rPr>
        <w:t xml:space="preserve">F6. </w:t>
      </w:r>
      <w:r w:rsidR="00B13D8E" w:rsidRPr="00B13D8E">
        <w:rPr>
          <w:rFonts w:asciiTheme="minorHAnsi" w:hAnsiTheme="minorHAnsi"/>
          <w:b/>
          <w:sz w:val="22"/>
          <w:szCs w:val="22"/>
        </w:rPr>
        <w:t>Stosowanie antybiotyków nie jest właściwe w przypadku bezobjawowej bakteriomoczu, z wyjątkiem interwencji urologicznych, któ</w:t>
      </w:r>
      <w:r w:rsidR="00B13D8E">
        <w:rPr>
          <w:rFonts w:asciiTheme="minorHAnsi" w:hAnsiTheme="minorHAnsi"/>
          <w:b/>
          <w:sz w:val="22"/>
          <w:szCs w:val="22"/>
        </w:rPr>
        <w:t>re mogą uszkodzić błonę śluzową</w:t>
      </w:r>
      <w:r w:rsidRPr="00AE15DA">
        <w:rPr>
          <w:rFonts w:asciiTheme="minorHAnsi" w:hAnsiTheme="minorHAnsi"/>
          <w:b/>
          <w:sz w:val="22"/>
          <w:szCs w:val="22"/>
        </w:rPr>
        <w:t xml:space="preserve"> </w:t>
      </w:r>
    </w:p>
    <w:p w:rsidR="00F11DEE" w:rsidRPr="00AE15DA" w:rsidRDefault="00F11DEE" w:rsidP="0043334F">
      <w:pPr>
        <w:contextualSpacing/>
        <w:jc w:val="both"/>
        <w:rPr>
          <w:rFonts w:asciiTheme="minorHAnsi" w:hAnsiTheme="minorHAnsi"/>
          <w:i/>
          <w:sz w:val="22"/>
          <w:szCs w:val="22"/>
        </w:rPr>
      </w:pPr>
      <w:r w:rsidRPr="00AE15DA">
        <w:rPr>
          <w:rStyle w:val="nowrap"/>
          <w:rFonts w:asciiTheme="minorHAnsi" w:hAnsiTheme="minorHAnsi"/>
          <w:i/>
          <w:sz w:val="22"/>
          <w:szCs w:val="22"/>
          <w:shd w:val="clear" w:color="auto" w:fill="FFFFFF"/>
        </w:rPr>
        <w:t>*</w:t>
      </w:r>
      <w:r w:rsidR="00B13D8E" w:rsidRPr="00B13D8E">
        <w:t xml:space="preserve"> </w:t>
      </w:r>
      <w:r w:rsidR="00B13D8E" w:rsidRPr="00B13D8E">
        <w:rPr>
          <w:rFonts w:asciiTheme="minorHAnsi" w:hAnsiTheme="minorHAnsi"/>
          <w:i/>
          <w:sz w:val="22"/>
          <w:szCs w:val="22"/>
        </w:rPr>
        <w:t>Bakteriurię bezobjawową należy zbadać i leczyć przed zabiegami urologicznymi, któr</w:t>
      </w:r>
      <w:r w:rsidR="00B13D8E">
        <w:rPr>
          <w:rFonts w:asciiTheme="minorHAnsi" w:hAnsiTheme="minorHAnsi"/>
          <w:i/>
          <w:sz w:val="22"/>
          <w:szCs w:val="22"/>
        </w:rPr>
        <w:t>e mogą uszkodzić błonę śluzową</w:t>
      </w:r>
      <w:r w:rsidRPr="00AE15DA">
        <w:rPr>
          <w:rFonts w:asciiTheme="minorHAnsi" w:hAnsiTheme="minorHAnsi"/>
          <w:i/>
          <w:sz w:val="22"/>
          <w:szCs w:val="22"/>
        </w:rPr>
        <w:t xml:space="preserve">. </w:t>
      </w:r>
    </w:p>
    <w:p w:rsidR="00F11DEE" w:rsidRPr="00AE15DA" w:rsidRDefault="00F11DEE" w:rsidP="0043334F">
      <w:pPr>
        <w:contextualSpacing/>
        <w:jc w:val="both"/>
        <w:rPr>
          <w:rStyle w:val="nowrap"/>
          <w:rFonts w:asciiTheme="minorHAnsi" w:hAnsiTheme="minorHAnsi"/>
          <w:i/>
          <w:sz w:val="22"/>
          <w:szCs w:val="22"/>
          <w:shd w:val="clear" w:color="auto" w:fill="FFFFFF"/>
        </w:rPr>
      </w:pPr>
      <w:r w:rsidRPr="00AE15DA">
        <w:rPr>
          <w:rStyle w:val="nowrap"/>
          <w:rFonts w:asciiTheme="minorHAnsi" w:hAnsiTheme="minorHAnsi"/>
          <w:i/>
          <w:sz w:val="22"/>
          <w:szCs w:val="22"/>
          <w:shd w:val="clear" w:color="auto" w:fill="FFFFFF"/>
        </w:rPr>
        <w:t>*</w:t>
      </w:r>
      <w:r w:rsidR="00B13D8E" w:rsidRPr="00B13D8E">
        <w:t xml:space="preserve"> </w:t>
      </w:r>
      <w:r w:rsidR="00B13D8E" w:rsidRPr="00B13D8E">
        <w:rPr>
          <w:rStyle w:val="nowrap"/>
          <w:rFonts w:asciiTheme="minorHAnsi" w:hAnsiTheme="minorHAnsi"/>
          <w:i/>
          <w:sz w:val="22"/>
          <w:szCs w:val="22"/>
          <w:shd w:val="clear" w:color="auto" w:fill="FFFFFF"/>
        </w:rPr>
        <w:t xml:space="preserve">Nie zaleca się badań przesiewowych i/lub leczenia bezobjawowego bakteriomoczu w </w:t>
      </w:r>
      <w:r w:rsidR="00B13D8E">
        <w:rPr>
          <w:rStyle w:val="nowrap"/>
          <w:rFonts w:asciiTheme="minorHAnsi" w:hAnsiTheme="minorHAnsi"/>
          <w:i/>
          <w:sz w:val="22"/>
          <w:szCs w:val="22"/>
          <w:shd w:val="clear" w:color="auto" w:fill="FFFFFF"/>
        </w:rPr>
        <w:t>następujących grupach pacjentów</w:t>
      </w:r>
      <w:r w:rsidRPr="00AE15DA">
        <w:rPr>
          <w:rStyle w:val="nowrap"/>
          <w:rFonts w:asciiTheme="minorHAnsi" w:hAnsiTheme="minorHAnsi"/>
          <w:i/>
          <w:sz w:val="22"/>
          <w:szCs w:val="22"/>
          <w:shd w:val="clear" w:color="auto" w:fill="FFFFFF"/>
        </w:rPr>
        <w:t>:</w:t>
      </w:r>
    </w:p>
    <w:p w:rsidR="00B13D8E" w:rsidRPr="00B13D8E" w:rsidRDefault="00B13D8E" w:rsidP="00B13D8E">
      <w:pPr>
        <w:ind w:firstLine="708"/>
        <w:contextualSpacing/>
        <w:jc w:val="both"/>
        <w:rPr>
          <w:rStyle w:val="nowrap"/>
          <w:rFonts w:asciiTheme="minorHAnsi" w:hAnsiTheme="minorHAnsi"/>
          <w:i/>
          <w:sz w:val="22"/>
          <w:szCs w:val="22"/>
          <w:shd w:val="clear" w:color="auto" w:fill="FFFFFF"/>
        </w:rPr>
      </w:pPr>
      <w:r w:rsidRPr="00B13D8E">
        <w:rPr>
          <w:rStyle w:val="nowrap"/>
          <w:rFonts w:asciiTheme="minorHAnsi" w:hAnsiTheme="minorHAnsi"/>
          <w:i/>
          <w:sz w:val="22"/>
          <w:szCs w:val="22"/>
          <w:shd w:val="clear" w:color="auto" w:fill="FFFFFF"/>
        </w:rPr>
        <w:t>Pacjenci bez czynników ryzyka</w:t>
      </w:r>
    </w:p>
    <w:p w:rsidR="00B13D8E" w:rsidRPr="00B13D8E" w:rsidRDefault="00B13D8E" w:rsidP="00B13D8E">
      <w:pPr>
        <w:ind w:firstLine="708"/>
        <w:contextualSpacing/>
        <w:jc w:val="both"/>
        <w:rPr>
          <w:rStyle w:val="nowrap"/>
          <w:rFonts w:asciiTheme="minorHAnsi" w:hAnsiTheme="minorHAnsi"/>
          <w:i/>
          <w:sz w:val="22"/>
          <w:szCs w:val="22"/>
          <w:shd w:val="clear" w:color="auto" w:fill="FFFFFF"/>
        </w:rPr>
      </w:pPr>
      <w:r w:rsidRPr="00B13D8E">
        <w:rPr>
          <w:rStyle w:val="nowrap"/>
          <w:rFonts w:asciiTheme="minorHAnsi" w:hAnsiTheme="minorHAnsi"/>
          <w:i/>
          <w:sz w:val="22"/>
          <w:szCs w:val="22"/>
          <w:shd w:val="clear" w:color="auto" w:fill="FFFFFF"/>
        </w:rPr>
        <w:t>Pacjenci z dobrze uregulowaną cukrzycą</w:t>
      </w:r>
    </w:p>
    <w:p w:rsidR="00B13D8E" w:rsidRPr="00B13D8E" w:rsidRDefault="00B13D8E" w:rsidP="00B13D8E">
      <w:pPr>
        <w:ind w:firstLine="708"/>
        <w:contextualSpacing/>
        <w:jc w:val="both"/>
        <w:rPr>
          <w:rStyle w:val="nowrap"/>
          <w:rFonts w:asciiTheme="minorHAnsi" w:hAnsiTheme="minorHAnsi"/>
          <w:i/>
          <w:sz w:val="22"/>
          <w:szCs w:val="22"/>
          <w:shd w:val="clear" w:color="auto" w:fill="FFFFFF"/>
        </w:rPr>
      </w:pPr>
      <w:r w:rsidRPr="00B13D8E">
        <w:rPr>
          <w:rStyle w:val="nowrap"/>
          <w:rFonts w:asciiTheme="minorHAnsi" w:hAnsiTheme="minorHAnsi"/>
          <w:i/>
          <w:sz w:val="22"/>
          <w:szCs w:val="22"/>
          <w:shd w:val="clear" w:color="auto" w:fill="FFFFFF"/>
        </w:rPr>
        <w:t>Pacjenci mieszkający w domu opieki</w:t>
      </w:r>
    </w:p>
    <w:p w:rsidR="00B13D8E" w:rsidRPr="00B13D8E" w:rsidRDefault="00B13D8E" w:rsidP="00B13D8E">
      <w:pPr>
        <w:ind w:firstLine="708"/>
        <w:contextualSpacing/>
        <w:jc w:val="both"/>
        <w:rPr>
          <w:rStyle w:val="nowrap"/>
          <w:rFonts w:asciiTheme="minorHAnsi" w:hAnsiTheme="minorHAnsi"/>
          <w:i/>
          <w:sz w:val="22"/>
          <w:szCs w:val="22"/>
          <w:shd w:val="clear" w:color="auto" w:fill="FFFFFF"/>
        </w:rPr>
      </w:pPr>
      <w:r w:rsidRPr="00B13D8E">
        <w:rPr>
          <w:rStyle w:val="nowrap"/>
          <w:rFonts w:asciiTheme="minorHAnsi" w:hAnsiTheme="minorHAnsi"/>
          <w:i/>
          <w:sz w:val="22"/>
          <w:szCs w:val="22"/>
          <w:shd w:val="clear" w:color="auto" w:fill="FFFFFF"/>
        </w:rPr>
        <w:t>Pacjenci z dysfunkcją/rekonstrukcją dolnych dróg moczowych</w:t>
      </w:r>
    </w:p>
    <w:p w:rsidR="00B13D8E" w:rsidRPr="00B13D8E" w:rsidRDefault="00B13D8E" w:rsidP="00B13D8E">
      <w:pPr>
        <w:ind w:firstLine="708"/>
        <w:contextualSpacing/>
        <w:jc w:val="both"/>
        <w:rPr>
          <w:rStyle w:val="nowrap"/>
          <w:rFonts w:asciiTheme="minorHAnsi" w:hAnsiTheme="minorHAnsi"/>
          <w:i/>
          <w:sz w:val="22"/>
          <w:szCs w:val="22"/>
          <w:shd w:val="clear" w:color="auto" w:fill="FFFFFF"/>
        </w:rPr>
      </w:pPr>
      <w:r w:rsidRPr="00B13D8E">
        <w:rPr>
          <w:rStyle w:val="nowrap"/>
          <w:rFonts w:asciiTheme="minorHAnsi" w:hAnsiTheme="minorHAnsi"/>
          <w:i/>
          <w:sz w:val="22"/>
          <w:szCs w:val="22"/>
          <w:shd w:val="clear" w:color="auto" w:fill="FFFFFF"/>
        </w:rPr>
        <w:t>Pacjenci z nawracającymi infekcjami dróg moczowych</w:t>
      </w:r>
    </w:p>
    <w:p w:rsidR="00B13D8E" w:rsidRPr="00B13D8E" w:rsidRDefault="00B13D8E" w:rsidP="00B13D8E">
      <w:pPr>
        <w:ind w:firstLine="708"/>
        <w:contextualSpacing/>
        <w:jc w:val="both"/>
        <w:rPr>
          <w:rStyle w:val="nowrap"/>
          <w:rFonts w:asciiTheme="minorHAnsi" w:hAnsiTheme="minorHAnsi"/>
          <w:i/>
          <w:sz w:val="22"/>
          <w:szCs w:val="22"/>
          <w:shd w:val="clear" w:color="auto" w:fill="FFFFFF"/>
        </w:rPr>
      </w:pPr>
      <w:r w:rsidRPr="00B13D8E">
        <w:rPr>
          <w:rStyle w:val="nowrap"/>
          <w:rFonts w:asciiTheme="minorHAnsi" w:hAnsiTheme="minorHAnsi"/>
          <w:i/>
          <w:sz w:val="22"/>
          <w:szCs w:val="22"/>
          <w:shd w:val="clear" w:color="auto" w:fill="FFFFFF"/>
        </w:rPr>
        <w:t>Przed zabiegami endoprotezoplastyki</w:t>
      </w:r>
    </w:p>
    <w:p w:rsidR="00A11150" w:rsidRPr="00AE15DA" w:rsidRDefault="00B13D8E" w:rsidP="00B13D8E">
      <w:pPr>
        <w:ind w:firstLine="708"/>
        <w:contextualSpacing/>
        <w:jc w:val="both"/>
        <w:rPr>
          <w:rFonts w:asciiTheme="minorHAnsi" w:hAnsiTheme="minorHAnsi"/>
          <w:i/>
          <w:color w:val="3B3838" w:themeColor="background2" w:themeShade="40"/>
          <w:sz w:val="22"/>
          <w:szCs w:val="22"/>
          <w:shd w:val="clear" w:color="auto" w:fill="FFFFFF"/>
        </w:rPr>
      </w:pPr>
      <w:r w:rsidRPr="00B13D8E">
        <w:rPr>
          <w:rStyle w:val="nowrap"/>
          <w:rFonts w:asciiTheme="minorHAnsi" w:hAnsiTheme="minorHAnsi"/>
          <w:i/>
          <w:sz w:val="22"/>
          <w:szCs w:val="22"/>
          <w:shd w:val="clear" w:color="auto" w:fill="FFFFFF"/>
        </w:rPr>
        <w:t>Pacjenci z cewnikiem moczowym</w:t>
      </w:r>
    </w:p>
    <w:p w:rsidR="00992E12" w:rsidRPr="00AE15DA" w:rsidRDefault="00992E12" w:rsidP="0043334F">
      <w:pPr>
        <w:contextualSpacing/>
        <w:jc w:val="both"/>
        <w:rPr>
          <w:rFonts w:asciiTheme="minorHAnsi" w:hAnsiTheme="minorHAnsi"/>
          <w:b/>
          <w:sz w:val="22"/>
          <w:szCs w:val="22"/>
        </w:rPr>
      </w:pPr>
    </w:p>
    <w:p w:rsidR="00F327A4" w:rsidRPr="00AE15DA" w:rsidRDefault="00F327A4" w:rsidP="0043334F">
      <w:pPr>
        <w:contextualSpacing/>
        <w:jc w:val="both"/>
        <w:rPr>
          <w:rFonts w:asciiTheme="minorHAnsi" w:hAnsiTheme="minorHAnsi"/>
          <w:b/>
          <w:color w:val="000000"/>
          <w:sz w:val="22"/>
          <w:szCs w:val="22"/>
        </w:rPr>
      </w:pPr>
    </w:p>
    <w:p w:rsidR="00415CD8" w:rsidRPr="00AE15DA" w:rsidRDefault="00415CD8" w:rsidP="0043334F">
      <w:pPr>
        <w:contextualSpacing/>
        <w:jc w:val="both"/>
        <w:rPr>
          <w:rFonts w:asciiTheme="minorHAnsi" w:hAnsiTheme="minorHAnsi"/>
          <w:color w:val="000000"/>
          <w:sz w:val="22"/>
          <w:szCs w:val="22"/>
        </w:rPr>
      </w:pPr>
      <w:r w:rsidRPr="00AE15DA">
        <w:rPr>
          <w:rFonts w:asciiTheme="minorHAnsi" w:hAnsiTheme="minorHAnsi"/>
          <w:b/>
          <w:color w:val="000000"/>
          <w:sz w:val="22"/>
          <w:szCs w:val="22"/>
        </w:rPr>
        <w:t xml:space="preserve">F7. </w:t>
      </w:r>
      <w:r w:rsidR="00B13D8E" w:rsidRPr="00B13D8E">
        <w:rPr>
          <w:rFonts w:asciiTheme="minorHAnsi" w:hAnsiTheme="minorHAnsi"/>
          <w:b/>
          <w:color w:val="000000"/>
          <w:sz w:val="22"/>
          <w:szCs w:val="22"/>
        </w:rPr>
        <w:t>Nitrofurantoina nie jest odpowiednia do stosowania u pacjentów z GFR &lt; 30 ml/min/1,73 m2</w:t>
      </w:r>
    </w:p>
    <w:p w:rsidR="00415CD8" w:rsidRPr="00AE15DA" w:rsidRDefault="00415CD8" w:rsidP="0043334F">
      <w:pPr>
        <w:autoSpaceDE w:val="0"/>
        <w:autoSpaceDN w:val="0"/>
        <w:adjustRightInd w:val="0"/>
        <w:contextualSpacing/>
        <w:jc w:val="both"/>
        <w:rPr>
          <w:rFonts w:asciiTheme="minorHAnsi" w:hAnsiTheme="minorHAnsi"/>
          <w:i/>
          <w:color w:val="000000"/>
          <w:sz w:val="22"/>
          <w:szCs w:val="22"/>
        </w:rPr>
      </w:pPr>
      <w:r w:rsidRPr="00AE15DA">
        <w:rPr>
          <w:rFonts w:asciiTheme="minorHAnsi" w:hAnsiTheme="minorHAnsi"/>
          <w:color w:val="000000"/>
          <w:sz w:val="22"/>
          <w:szCs w:val="22"/>
        </w:rPr>
        <w:t>*</w:t>
      </w:r>
      <w:r w:rsidR="00B13D8E" w:rsidRPr="00B13D8E">
        <w:t xml:space="preserve"> </w:t>
      </w:r>
      <w:r w:rsidR="00B13D8E" w:rsidRPr="00B13D8E">
        <w:rPr>
          <w:rFonts w:asciiTheme="minorHAnsi" w:hAnsiTheme="minorHAnsi"/>
          <w:i/>
          <w:color w:val="000000"/>
          <w:sz w:val="22"/>
          <w:szCs w:val="22"/>
        </w:rPr>
        <w:t>Długotrwałe stosowanie nitrofurantoiny w leczeniu supresyjnym zakażeń dróg moczowych nie jest odpowiednie u osób starszych (ze względu na ryzyko nieodwracalnego zwłóknienia płuc, toksycznego uszkodzenia wątroby i neuropatii obwodowej przy długotrwa</w:t>
      </w:r>
      <w:r w:rsidR="00B13D8E">
        <w:rPr>
          <w:rFonts w:asciiTheme="minorHAnsi" w:hAnsiTheme="minorHAnsi"/>
          <w:i/>
          <w:color w:val="000000"/>
          <w:sz w:val="22"/>
          <w:szCs w:val="22"/>
        </w:rPr>
        <w:t>łym stosowaniu)</w:t>
      </w:r>
    </w:p>
    <w:p w:rsidR="00FA465E" w:rsidRPr="00AE15DA" w:rsidRDefault="00FA465E" w:rsidP="0043334F">
      <w:pPr>
        <w:autoSpaceDE w:val="0"/>
        <w:autoSpaceDN w:val="0"/>
        <w:adjustRightInd w:val="0"/>
        <w:contextualSpacing/>
        <w:jc w:val="both"/>
        <w:rPr>
          <w:rFonts w:asciiTheme="minorHAnsi" w:hAnsiTheme="minorHAnsi"/>
          <w:i/>
          <w:color w:val="000000"/>
          <w:sz w:val="22"/>
          <w:szCs w:val="22"/>
        </w:rPr>
      </w:pPr>
    </w:p>
    <w:p w:rsidR="002F3D1A" w:rsidRPr="00AE15DA" w:rsidRDefault="002F3D1A" w:rsidP="0043334F">
      <w:pPr>
        <w:contextualSpacing/>
        <w:jc w:val="both"/>
        <w:rPr>
          <w:rFonts w:asciiTheme="minorHAnsi" w:hAnsiTheme="minorHAnsi"/>
          <w:b/>
          <w:i/>
          <w:color w:val="4472C4" w:themeColor="accent5"/>
          <w:sz w:val="22"/>
          <w:szCs w:val="22"/>
          <w:u w:val="single"/>
        </w:rPr>
      </w:pPr>
    </w:p>
    <w:p w:rsidR="004816D3" w:rsidRPr="00AE15DA" w:rsidRDefault="007C70E3" w:rsidP="0043334F">
      <w:pPr>
        <w:contextualSpacing/>
        <w:jc w:val="both"/>
        <w:rPr>
          <w:rFonts w:asciiTheme="minorHAnsi" w:hAnsiTheme="minorHAnsi"/>
          <w:b/>
          <w:sz w:val="28"/>
          <w:szCs w:val="28"/>
        </w:rPr>
      </w:pPr>
      <w:r w:rsidRPr="00AE15DA">
        <w:rPr>
          <w:rFonts w:asciiTheme="minorHAnsi" w:hAnsiTheme="minorHAnsi"/>
          <w:b/>
          <w:sz w:val="28"/>
          <w:szCs w:val="28"/>
        </w:rPr>
        <w:t xml:space="preserve">G: </w:t>
      </w:r>
      <w:r w:rsidR="00B13D8E" w:rsidRPr="00B13D8E">
        <w:rPr>
          <w:rFonts w:asciiTheme="minorHAnsi" w:hAnsiTheme="minorHAnsi"/>
          <w:b/>
          <w:sz w:val="28"/>
          <w:szCs w:val="28"/>
        </w:rPr>
        <w:t>Kryteria układu endokrynologicznego</w:t>
      </w:r>
      <w:r w:rsidRPr="00AE15DA">
        <w:rPr>
          <w:rFonts w:asciiTheme="minorHAnsi" w:hAnsiTheme="minorHAnsi"/>
          <w:b/>
          <w:sz w:val="28"/>
          <w:szCs w:val="28"/>
        </w:rPr>
        <w:t>.</w:t>
      </w:r>
    </w:p>
    <w:p w:rsidR="007C70E3" w:rsidRPr="00AE15DA" w:rsidRDefault="007C70E3" w:rsidP="0043334F">
      <w:pPr>
        <w:contextualSpacing/>
        <w:jc w:val="both"/>
        <w:rPr>
          <w:rFonts w:asciiTheme="minorHAnsi" w:hAnsiTheme="minorHAnsi"/>
          <w:b/>
          <w:sz w:val="28"/>
          <w:szCs w:val="28"/>
        </w:rPr>
      </w:pPr>
    </w:p>
    <w:p w:rsidR="0043334F" w:rsidRPr="00AE15DA" w:rsidRDefault="00415CD8"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t xml:space="preserve">G1. </w:t>
      </w:r>
      <w:r w:rsidR="00B13D8E" w:rsidRPr="00B13D8E">
        <w:rPr>
          <w:rFonts w:asciiTheme="minorHAnsi" w:hAnsiTheme="minorHAnsi"/>
          <w:b/>
          <w:sz w:val="22"/>
          <w:szCs w:val="22"/>
        </w:rPr>
        <w:t>Ścisła kontrola stężenia glukozy we krwi (HbA1C&lt; 7%) nie jest odpowiednia u pacjentów z niską przewidywaną długością życia (&lt;5 lat) lub z historią pogorszenia stanu lub z</w:t>
      </w:r>
      <w:r w:rsidR="00B13D8E">
        <w:rPr>
          <w:rFonts w:asciiTheme="minorHAnsi" w:hAnsiTheme="minorHAnsi"/>
          <w:b/>
          <w:sz w:val="22"/>
          <w:szCs w:val="22"/>
        </w:rPr>
        <w:t>aburzeniami funkcji poznawczych</w:t>
      </w:r>
    </w:p>
    <w:p w:rsidR="00E456DB" w:rsidRPr="00AE15DA" w:rsidRDefault="00E456DB" w:rsidP="0043334F">
      <w:pPr>
        <w:autoSpaceDE w:val="0"/>
        <w:autoSpaceDN w:val="0"/>
        <w:adjustRightInd w:val="0"/>
        <w:contextualSpacing/>
        <w:jc w:val="both"/>
        <w:rPr>
          <w:rFonts w:asciiTheme="minorHAnsi" w:hAnsiTheme="minorHAnsi"/>
          <w:b/>
          <w:sz w:val="22"/>
          <w:szCs w:val="22"/>
        </w:rPr>
      </w:pPr>
    </w:p>
    <w:p w:rsidR="002F3D1A" w:rsidRPr="00AE15DA" w:rsidRDefault="002F3D1A" w:rsidP="0043334F">
      <w:pPr>
        <w:autoSpaceDE w:val="0"/>
        <w:autoSpaceDN w:val="0"/>
        <w:adjustRightInd w:val="0"/>
        <w:contextualSpacing/>
        <w:jc w:val="both"/>
        <w:rPr>
          <w:rFonts w:asciiTheme="minorHAnsi" w:hAnsiTheme="minorHAnsi"/>
          <w:b/>
          <w:sz w:val="22"/>
          <w:szCs w:val="22"/>
        </w:rPr>
      </w:pPr>
    </w:p>
    <w:p w:rsidR="00DF1C70" w:rsidRPr="00AE15DA" w:rsidRDefault="00E66E29" w:rsidP="0043334F">
      <w:pPr>
        <w:autoSpaceDE w:val="0"/>
        <w:autoSpaceDN w:val="0"/>
        <w:adjustRightInd w:val="0"/>
        <w:contextualSpacing/>
        <w:jc w:val="both"/>
        <w:rPr>
          <w:rFonts w:asciiTheme="minorHAnsi" w:hAnsiTheme="minorHAnsi"/>
          <w:b/>
          <w:sz w:val="22"/>
          <w:szCs w:val="22"/>
        </w:rPr>
      </w:pPr>
      <w:r>
        <w:rPr>
          <w:rFonts w:ascii="Calibri" w:hAnsi="Calibri" w:cs="Calibri"/>
          <w:b/>
          <w:sz w:val="22"/>
          <w:szCs w:val="22"/>
        </w:rPr>
        <w:lastRenderedPageBreak/>
        <w:t>#</w:t>
      </w:r>
      <w:r w:rsidR="00415CD8" w:rsidRPr="00AE15DA">
        <w:rPr>
          <w:rFonts w:asciiTheme="minorHAnsi" w:hAnsiTheme="minorHAnsi"/>
          <w:b/>
          <w:sz w:val="22"/>
          <w:szCs w:val="22"/>
        </w:rPr>
        <w:t xml:space="preserve">G2. </w:t>
      </w:r>
      <w:r w:rsidR="00B13D8E" w:rsidRPr="00B13D8E">
        <w:rPr>
          <w:rFonts w:asciiTheme="minorHAnsi" w:hAnsiTheme="minorHAnsi"/>
          <w:b/>
          <w:sz w:val="22"/>
          <w:szCs w:val="22"/>
        </w:rPr>
        <w:t xml:space="preserve">Stosowanie metforminy nie jest właściwe u słabych lub niedożywionych osób starszych (ze względu na żołądkowo-jelitowe skutki uboczne i </w:t>
      </w:r>
      <w:proofErr w:type="gramStart"/>
      <w:r w:rsidR="00B13D8E" w:rsidRPr="00B13D8E">
        <w:rPr>
          <w:rFonts w:asciiTheme="minorHAnsi" w:hAnsiTheme="minorHAnsi"/>
          <w:b/>
          <w:sz w:val="22"/>
          <w:szCs w:val="22"/>
        </w:rPr>
        <w:t>efekt</w:t>
      </w:r>
      <w:proofErr w:type="gramEnd"/>
      <w:r w:rsidR="00B13D8E" w:rsidRPr="00B13D8E">
        <w:rPr>
          <w:rFonts w:asciiTheme="minorHAnsi" w:hAnsiTheme="minorHAnsi"/>
          <w:b/>
          <w:sz w:val="22"/>
          <w:szCs w:val="22"/>
        </w:rPr>
        <w:t xml:space="preserve"> anoreksji metforminy)</w:t>
      </w:r>
    </w:p>
    <w:p w:rsidR="00415CD8" w:rsidRPr="00AE15DA" w:rsidRDefault="00415CD8" w:rsidP="0043334F">
      <w:pPr>
        <w:contextualSpacing/>
        <w:jc w:val="both"/>
        <w:rPr>
          <w:rFonts w:asciiTheme="minorHAnsi" w:hAnsiTheme="minorHAnsi"/>
          <w:i/>
          <w:sz w:val="22"/>
          <w:szCs w:val="22"/>
        </w:rPr>
      </w:pPr>
      <w:r w:rsidRPr="00AE15DA">
        <w:rPr>
          <w:rFonts w:asciiTheme="minorHAnsi" w:hAnsiTheme="minorHAnsi"/>
          <w:i/>
          <w:sz w:val="22"/>
          <w:szCs w:val="22"/>
        </w:rPr>
        <w:t>*</w:t>
      </w:r>
      <w:r w:rsidR="00E45496" w:rsidRPr="00E45496">
        <w:t xml:space="preserve"> </w:t>
      </w:r>
      <w:r w:rsidR="00E45496" w:rsidRPr="00E45496">
        <w:rPr>
          <w:rFonts w:asciiTheme="minorHAnsi" w:hAnsiTheme="minorHAnsi"/>
          <w:i/>
          <w:sz w:val="22"/>
          <w:szCs w:val="22"/>
        </w:rPr>
        <w:t>W przypadkach, w których występuje ryzyko niedożywienia, o zastosowaniu metforminy należy decydować na p</w:t>
      </w:r>
      <w:r w:rsidR="00E45496">
        <w:rPr>
          <w:rFonts w:asciiTheme="minorHAnsi" w:hAnsiTheme="minorHAnsi"/>
          <w:i/>
          <w:sz w:val="22"/>
          <w:szCs w:val="22"/>
        </w:rPr>
        <w:t>odstawie bilansu zysków i strat</w:t>
      </w:r>
      <w:r w:rsidRPr="00AE15DA">
        <w:rPr>
          <w:rFonts w:asciiTheme="minorHAnsi" w:hAnsiTheme="minorHAnsi"/>
          <w:i/>
          <w:sz w:val="22"/>
          <w:szCs w:val="22"/>
        </w:rPr>
        <w:t>.</w:t>
      </w:r>
    </w:p>
    <w:p w:rsidR="002F3D1A" w:rsidRPr="00AE15DA" w:rsidRDefault="002F3D1A" w:rsidP="0043334F">
      <w:pPr>
        <w:autoSpaceDE w:val="0"/>
        <w:autoSpaceDN w:val="0"/>
        <w:adjustRightInd w:val="0"/>
        <w:contextualSpacing/>
        <w:jc w:val="both"/>
        <w:rPr>
          <w:rFonts w:asciiTheme="minorHAnsi" w:hAnsiTheme="minorHAnsi" w:cstheme="minorHAnsi"/>
          <w:color w:val="000000"/>
          <w:sz w:val="22"/>
          <w:szCs w:val="22"/>
        </w:rPr>
      </w:pPr>
    </w:p>
    <w:p w:rsidR="00415CD8" w:rsidRPr="00AE15DA" w:rsidRDefault="00415CD8" w:rsidP="0043334F">
      <w:pPr>
        <w:autoSpaceDE w:val="0"/>
        <w:autoSpaceDN w:val="0"/>
        <w:adjustRightInd w:val="0"/>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G3. </w:t>
      </w:r>
      <w:r w:rsidR="00E45496" w:rsidRPr="00E45496">
        <w:rPr>
          <w:rFonts w:asciiTheme="minorHAnsi" w:hAnsiTheme="minorHAnsi"/>
          <w:b/>
          <w:sz w:val="22"/>
          <w:szCs w:val="22"/>
        </w:rPr>
        <w:t>Metformina nie jest odpowiednia do stosowania u pacjentów z GFR &lt; 30 ml/min/1,73 m2 (ryzyko kwasicy mleczanowej)</w:t>
      </w:r>
      <w:r w:rsidRPr="00AE15DA">
        <w:rPr>
          <w:rFonts w:asciiTheme="minorHAnsi" w:hAnsiTheme="minorHAnsi"/>
          <w:b/>
          <w:sz w:val="22"/>
          <w:szCs w:val="22"/>
        </w:rPr>
        <w:t xml:space="preserve"> </w:t>
      </w:r>
    </w:p>
    <w:p w:rsidR="00415CD8" w:rsidRPr="00AE15DA" w:rsidRDefault="00415CD8" w:rsidP="0043334F">
      <w:pPr>
        <w:contextualSpacing/>
        <w:jc w:val="both"/>
        <w:rPr>
          <w:rFonts w:asciiTheme="minorHAnsi" w:hAnsiTheme="minorHAnsi"/>
          <w:i/>
          <w:sz w:val="22"/>
          <w:szCs w:val="22"/>
        </w:rPr>
      </w:pPr>
      <w:r w:rsidRPr="00AE15DA">
        <w:rPr>
          <w:rFonts w:asciiTheme="minorHAnsi" w:hAnsiTheme="minorHAnsi"/>
          <w:i/>
          <w:sz w:val="22"/>
          <w:szCs w:val="22"/>
        </w:rPr>
        <w:t>*</w:t>
      </w:r>
      <w:r w:rsidR="00E45496" w:rsidRPr="00E45496">
        <w:t xml:space="preserve"> </w:t>
      </w:r>
      <w:r w:rsidR="00E45496" w:rsidRPr="00E45496">
        <w:rPr>
          <w:rFonts w:asciiTheme="minorHAnsi" w:hAnsiTheme="minorHAnsi"/>
          <w:i/>
          <w:sz w:val="22"/>
          <w:szCs w:val="22"/>
        </w:rPr>
        <w:t>Dawkę metforminy należy zmniejszyć o 50% u pacjentów z GFR: 30-45 ml/min/1,73m2</w:t>
      </w:r>
      <w:r w:rsidR="00B81A62" w:rsidRPr="00AE15DA">
        <w:rPr>
          <w:rFonts w:asciiTheme="minorHAnsi" w:hAnsiTheme="minorHAnsi"/>
          <w:i/>
          <w:sz w:val="22"/>
          <w:szCs w:val="22"/>
        </w:rPr>
        <w:t>.</w:t>
      </w:r>
    </w:p>
    <w:p w:rsidR="002F3D1A" w:rsidRPr="00AE15DA" w:rsidRDefault="00EE6325" w:rsidP="0043334F">
      <w:pPr>
        <w:contextualSpacing/>
        <w:jc w:val="both"/>
        <w:rPr>
          <w:rFonts w:asciiTheme="minorHAnsi" w:hAnsiTheme="minorHAnsi"/>
          <w:i/>
          <w:sz w:val="22"/>
          <w:szCs w:val="22"/>
        </w:rPr>
      </w:pPr>
      <w:r w:rsidRPr="00AE15DA">
        <w:rPr>
          <w:rFonts w:asciiTheme="minorHAnsi" w:hAnsiTheme="minorHAnsi"/>
          <w:i/>
          <w:sz w:val="22"/>
          <w:szCs w:val="22"/>
        </w:rPr>
        <w:t>*</w:t>
      </w:r>
      <w:r w:rsidR="00E45496" w:rsidRPr="00E45496">
        <w:t xml:space="preserve"> </w:t>
      </w:r>
      <w:r w:rsidR="00E45496" w:rsidRPr="00E45496">
        <w:rPr>
          <w:rFonts w:asciiTheme="minorHAnsi" w:hAnsiTheme="minorHAnsi"/>
          <w:i/>
          <w:sz w:val="22"/>
          <w:szCs w:val="22"/>
        </w:rPr>
        <w:t>Stosowanie metforminy nie jest również wskazane w innych stanach, które zwiększają ryzyko kwasicy mleczanowej (niewydolność serca, niewydolność wątroby, wstrząs lub trwała niestabilność h</w:t>
      </w:r>
      <w:r w:rsidR="00E45496">
        <w:rPr>
          <w:rFonts w:asciiTheme="minorHAnsi" w:hAnsiTheme="minorHAnsi"/>
          <w:i/>
          <w:sz w:val="22"/>
          <w:szCs w:val="22"/>
        </w:rPr>
        <w:t>emodynamiczna, KOAH, hipoksja)</w:t>
      </w:r>
      <w:r w:rsidRPr="00AE15DA">
        <w:rPr>
          <w:rFonts w:asciiTheme="minorHAnsi" w:hAnsiTheme="minorHAnsi"/>
          <w:i/>
          <w:sz w:val="22"/>
          <w:szCs w:val="22"/>
        </w:rPr>
        <w:t>.</w:t>
      </w:r>
    </w:p>
    <w:p w:rsidR="002F3D1A" w:rsidRPr="00AE15DA" w:rsidRDefault="002F3D1A" w:rsidP="0043334F">
      <w:pPr>
        <w:contextualSpacing/>
        <w:jc w:val="both"/>
        <w:rPr>
          <w:rFonts w:asciiTheme="minorHAnsi" w:hAnsiTheme="minorHAnsi" w:cstheme="minorHAnsi"/>
          <w:color w:val="000000"/>
          <w:sz w:val="22"/>
          <w:szCs w:val="22"/>
        </w:rPr>
      </w:pPr>
    </w:p>
    <w:p w:rsidR="002F3D1A" w:rsidRPr="00AE15DA" w:rsidRDefault="00415CD8" w:rsidP="0043334F">
      <w:pPr>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G4. </w:t>
      </w:r>
      <w:r w:rsidR="00E45496" w:rsidRPr="00E45496">
        <w:rPr>
          <w:rFonts w:asciiTheme="minorHAnsi" w:hAnsiTheme="minorHAnsi"/>
          <w:b/>
          <w:sz w:val="22"/>
          <w:szCs w:val="22"/>
        </w:rPr>
        <w:t xml:space="preserve">Długo działające sulfanimoczniki, takie jak glibenklamid i chlorpropamid, nie są odpowiednie dla pacjentów z </w:t>
      </w:r>
      <w:r w:rsidR="00E45496">
        <w:rPr>
          <w:rFonts w:asciiTheme="minorHAnsi" w:hAnsiTheme="minorHAnsi"/>
          <w:b/>
          <w:sz w:val="22"/>
          <w:szCs w:val="22"/>
        </w:rPr>
        <w:t>DM</w:t>
      </w:r>
      <w:r w:rsidR="00E45496" w:rsidRPr="00E45496">
        <w:rPr>
          <w:rFonts w:asciiTheme="minorHAnsi" w:hAnsiTheme="minorHAnsi"/>
          <w:b/>
          <w:sz w:val="22"/>
          <w:szCs w:val="22"/>
        </w:rPr>
        <w:t xml:space="preserve"> typu 2 (przedłużone ryzyko hipoglikemii)</w:t>
      </w:r>
    </w:p>
    <w:p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2F3D1A" w:rsidRPr="00AE15DA"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sz w:val="22"/>
          <w:szCs w:val="22"/>
        </w:rPr>
        <w:t xml:space="preserve">G5. </w:t>
      </w:r>
      <w:r w:rsidR="00404A18" w:rsidRPr="00404A18">
        <w:rPr>
          <w:rFonts w:asciiTheme="minorHAnsi" w:hAnsiTheme="minorHAnsi"/>
          <w:b/>
          <w:sz w:val="22"/>
          <w:szCs w:val="22"/>
        </w:rPr>
        <w:t>Stosowanie tiazolidynodionów (rozyglitazon, pioglitazon) nie jest właściwe u pacjentów z udokumentowaną niewydolnością serca/wywiadem złamań/podwyższonym ryzykiem złamań/raku pęcherza moczowego w wywiadzie lub leczonych insuliną (pogorszenie niewydolności serca, zwiększone ryzyko złamań i raka pęcherza moczowego)</w:t>
      </w:r>
      <w:r w:rsidRPr="00AE15DA">
        <w:rPr>
          <w:rFonts w:asciiTheme="minorHAnsi" w:hAnsiTheme="minorHAnsi"/>
          <w:b/>
          <w:sz w:val="22"/>
          <w:szCs w:val="22"/>
        </w:rPr>
        <w:t xml:space="preserve"> </w:t>
      </w:r>
    </w:p>
    <w:p w:rsidR="00730686" w:rsidRPr="00AE15DA" w:rsidRDefault="00730686" w:rsidP="0043334F">
      <w:pPr>
        <w:spacing w:before="100" w:beforeAutospacing="1" w:after="100" w:afterAutospacing="1"/>
        <w:contextualSpacing/>
        <w:jc w:val="both"/>
        <w:rPr>
          <w:rFonts w:asciiTheme="minorHAnsi" w:hAnsiTheme="minorHAnsi"/>
          <w:sz w:val="22"/>
          <w:szCs w:val="22"/>
          <w:vertAlign w:val="superscript"/>
        </w:rPr>
      </w:pPr>
    </w:p>
    <w:p w:rsidR="002F3D1A" w:rsidRPr="00AE15DA" w:rsidRDefault="00730686" w:rsidP="0043334F">
      <w:pPr>
        <w:contextualSpacing/>
        <w:rPr>
          <w:rFonts w:asciiTheme="minorHAnsi" w:hAnsiTheme="minorHAnsi"/>
          <w:b/>
          <w:sz w:val="22"/>
          <w:szCs w:val="22"/>
        </w:rPr>
      </w:pPr>
      <w:r w:rsidRPr="00AE15DA">
        <w:rPr>
          <w:rFonts w:asciiTheme="minorHAnsi" w:hAnsiTheme="minorHAnsi"/>
          <w:b/>
          <w:sz w:val="22"/>
          <w:szCs w:val="22"/>
        </w:rPr>
        <w:t xml:space="preserve">G6. </w:t>
      </w:r>
      <w:r w:rsidR="00404A18" w:rsidRPr="00404A18">
        <w:rPr>
          <w:rFonts w:asciiTheme="minorHAnsi" w:hAnsiTheme="minorHAnsi"/>
          <w:b/>
          <w:sz w:val="22"/>
          <w:szCs w:val="22"/>
        </w:rPr>
        <w:t>Stosowanie saksagliptyny nie jest właściwe u p</w:t>
      </w:r>
      <w:r w:rsidR="00404A18">
        <w:rPr>
          <w:rFonts w:asciiTheme="minorHAnsi" w:hAnsiTheme="minorHAnsi"/>
          <w:b/>
          <w:sz w:val="22"/>
          <w:szCs w:val="22"/>
        </w:rPr>
        <w:t>acjentów z niewydolnością serca</w:t>
      </w:r>
    </w:p>
    <w:p w:rsidR="002F3D1A" w:rsidRPr="00AE15DA" w:rsidRDefault="002F3D1A" w:rsidP="0043334F">
      <w:pPr>
        <w:contextualSpacing/>
        <w:rPr>
          <w:rFonts w:asciiTheme="minorHAnsi" w:hAnsiTheme="minorHAnsi"/>
          <w:b/>
          <w:sz w:val="22"/>
          <w:szCs w:val="22"/>
        </w:rPr>
      </w:pPr>
    </w:p>
    <w:p w:rsidR="009D067B" w:rsidRPr="00AE15DA" w:rsidRDefault="009D067B" w:rsidP="0043334F">
      <w:pPr>
        <w:pStyle w:val="HTMLncedenBiimlendirilmi"/>
        <w:contextualSpacing/>
        <w:jc w:val="both"/>
        <w:rPr>
          <w:rFonts w:asciiTheme="minorHAnsi" w:hAnsiTheme="minorHAnsi" w:cstheme="minorHAnsi"/>
          <w:color w:val="000000"/>
          <w:sz w:val="22"/>
          <w:szCs w:val="22"/>
        </w:rPr>
      </w:pPr>
    </w:p>
    <w:p w:rsidR="00730686" w:rsidRPr="00AE15DA" w:rsidRDefault="00730686" w:rsidP="0043334F">
      <w:pPr>
        <w:contextualSpacing/>
        <w:rPr>
          <w:rFonts w:asciiTheme="minorHAnsi" w:hAnsiTheme="minorHAnsi"/>
          <w:b/>
          <w:sz w:val="22"/>
          <w:szCs w:val="22"/>
        </w:rPr>
      </w:pPr>
      <w:r w:rsidRPr="00AE15DA">
        <w:rPr>
          <w:rFonts w:asciiTheme="minorHAnsi" w:hAnsiTheme="minorHAnsi"/>
          <w:b/>
          <w:sz w:val="22"/>
          <w:szCs w:val="22"/>
        </w:rPr>
        <w:t>G7.</w:t>
      </w:r>
      <w:r w:rsidR="006C7F78" w:rsidRPr="00AE15DA">
        <w:rPr>
          <w:rFonts w:asciiTheme="minorHAnsi" w:hAnsiTheme="minorHAnsi"/>
          <w:b/>
          <w:sz w:val="22"/>
          <w:szCs w:val="22"/>
        </w:rPr>
        <w:t xml:space="preserve"> </w:t>
      </w:r>
      <w:r w:rsidR="00404A18" w:rsidRPr="00404A18">
        <w:rPr>
          <w:rFonts w:asciiTheme="minorHAnsi" w:hAnsiTheme="minorHAnsi"/>
          <w:b/>
          <w:sz w:val="22"/>
          <w:szCs w:val="22"/>
        </w:rPr>
        <w:t>Kanagliflozyna nie jest odpowiednia do stosowania u pacjentów z powiązanymi z cukrzycą powikłaniami związanymi z amputacją kończyn dolnych/ciężką chorobą tętnic obwodowych/nawracającym zakażeniem dróg moczowych/zakażeniem układu moczowo-płciowego</w:t>
      </w:r>
    </w:p>
    <w:p w:rsidR="00D0519F" w:rsidRPr="00AE15DA" w:rsidRDefault="00730686" w:rsidP="0043334F">
      <w:pPr>
        <w:contextualSpacing/>
        <w:rPr>
          <w:rFonts w:asciiTheme="minorHAnsi" w:hAnsiTheme="minorHAnsi"/>
          <w:i/>
          <w:sz w:val="22"/>
          <w:szCs w:val="22"/>
        </w:rPr>
      </w:pPr>
      <w:r w:rsidRPr="00AE15DA">
        <w:rPr>
          <w:rFonts w:asciiTheme="minorHAnsi" w:hAnsiTheme="minorHAnsi"/>
          <w:sz w:val="22"/>
          <w:szCs w:val="22"/>
        </w:rPr>
        <w:t>*</w:t>
      </w:r>
      <w:r w:rsidR="00404A18" w:rsidRPr="00404A18">
        <w:t xml:space="preserve"> </w:t>
      </w:r>
      <w:r w:rsidR="00404A18" w:rsidRPr="00404A18">
        <w:rPr>
          <w:rFonts w:asciiTheme="minorHAnsi" w:hAnsiTheme="minorHAnsi"/>
          <w:i/>
          <w:sz w:val="22"/>
          <w:szCs w:val="22"/>
        </w:rPr>
        <w:t>Inhibitory SGLT-2 należy zasadniczo stosować ostrożnie u pacjentów w podeszłym wieku, ponieważ mogą powodować odwodnienie, nietrzymanie parcia nagląceg</w:t>
      </w:r>
      <w:r w:rsidR="00404A18">
        <w:rPr>
          <w:rFonts w:asciiTheme="minorHAnsi" w:hAnsiTheme="minorHAnsi"/>
          <w:i/>
          <w:sz w:val="22"/>
          <w:szCs w:val="22"/>
        </w:rPr>
        <w:t>o i cukrzycową kwasicę ketonową</w:t>
      </w:r>
      <w:r w:rsidRPr="00AE15DA">
        <w:rPr>
          <w:rFonts w:asciiTheme="minorHAnsi" w:hAnsiTheme="minorHAnsi"/>
          <w:i/>
          <w:sz w:val="22"/>
          <w:szCs w:val="22"/>
        </w:rPr>
        <w:t xml:space="preserve">. </w:t>
      </w:r>
    </w:p>
    <w:p w:rsidR="00457080" w:rsidRPr="00AE15DA" w:rsidRDefault="00457080" w:rsidP="0043334F">
      <w:pPr>
        <w:contextualSpacing/>
        <w:rPr>
          <w:rFonts w:asciiTheme="minorHAnsi" w:hAnsiTheme="minorHAnsi"/>
          <w:i/>
          <w:sz w:val="22"/>
          <w:szCs w:val="22"/>
        </w:rPr>
      </w:pPr>
    </w:p>
    <w:p w:rsidR="00457080" w:rsidRPr="00AE15DA" w:rsidRDefault="00457080" w:rsidP="0043334F">
      <w:pPr>
        <w:contextualSpacing/>
        <w:rPr>
          <w:rFonts w:asciiTheme="minorHAnsi" w:hAnsiTheme="minorHAnsi"/>
          <w:i/>
          <w:sz w:val="22"/>
          <w:szCs w:val="22"/>
        </w:rPr>
      </w:pPr>
    </w:p>
    <w:p w:rsidR="00730686" w:rsidRPr="00AE15DA" w:rsidRDefault="00730686" w:rsidP="0043334F">
      <w:pPr>
        <w:autoSpaceDE w:val="0"/>
        <w:autoSpaceDN w:val="0"/>
        <w:adjustRightInd w:val="0"/>
        <w:contextualSpacing/>
        <w:rPr>
          <w:rFonts w:asciiTheme="minorHAnsi" w:hAnsiTheme="minorHAnsi"/>
          <w:b/>
          <w:sz w:val="22"/>
          <w:szCs w:val="22"/>
        </w:rPr>
      </w:pPr>
      <w:r w:rsidRPr="00AE15DA">
        <w:rPr>
          <w:rFonts w:asciiTheme="minorHAnsi" w:hAnsiTheme="minorHAnsi"/>
          <w:b/>
          <w:sz w:val="22"/>
          <w:szCs w:val="22"/>
        </w:rPr>
        <w:t>G8.</w:t>
      </w:r>
      <w:r w:rsidR="00C74D81" w:rsidRPr="00AE15DA">
        <w:rPr>
          <w:rFonts w:asciiTheme="minorHAnsi" w:hAnsiTheme="minorHAnsi"/>
          <w:b/>
          <w:sz w:val="22"/>
          <w:szCs w:val="22"/>
        </w:rPr>
        <w:t xml:space="preserve"> </w:t>
      </w:r>
      <w:r w:rsidR="00404A18" w:rsidRPr="00404A18">
        <w:rPr>
          <w:rFonts w:asciiTheme="minorHAnsi" w:hAnsiTheme="minorHAnsi"/>
          <w:b/>
          <w:sz w:val="22"/>
          <w:szCs w:val="22"/>
        </w:rPr>
        <w:t>Nie należy stosować inhibitorów SGLT-2 w przypadka</w:t>
      </w:r>
      <w:r w:rsidR="00404A18">
        <w:rPr>
          <w:rFonts w:asciiTheme="minorHAnsi" w:hAnsiTheme="minorHAnsi"/>
          <w:b/>
          <w:sz w:val="22"/>
          <w:szCs w:val="22"/>
        </w:rPr>
        <w:t>ch, gdy GFR &lt; 45 ml/min/1,73 m2</w:t>
      </w:r>
    </w:p>
    <w:p w:rsidR="00730686" w:rsidRPr="00AE15DA" w:rsidRDefault="00730686" w:rsidP="0043334F">
      <w:pPr>
        <w:autoSpaceDE w:val="0"/>
        <w:autoSpaceDN w:val="0"/>
        <w:adjustRightInd w:val="0"/>
        <w:contextualSpacing/>
        <w:rPr>
          <w:rFonts w:asciiTheme="minorHAnsi" w:hAnsiTheme="minorHAnsi"/>
          <w:i/>
          <w:sz w:val="22"/>
          <w:szCs w:val="22"/>
        </w:rPr>
      </w:pPr>
      <w:r w:rsidRPr="00AE15DA">
        <w:rPr>
          <w:rFonts w:asciiTheme="minorHAnsi" w:hAnsiTheme="minorHAnsi"/>
          <w:i/>
          <w:sz w:val="22"/>
          <w:szCs w:val="22"/>
        </w:rPr>
        <w:t>*</w:t>
      </w:r>
      <w:r w:rsidR="00404A18" w:rsidRPr="00404A18">
        <w:t xml:space="preserve"> </w:t>
      </w:r>
      <w:r w:rsidR="00404A18" w:rsidRPr="00404A18">
        <w:rPr>
          <w:rFonts w:asciiTheme="minorHAnsi" w:hAnsiTheme="minorHAnsi"/>
          <w:i/>
          <w:sz w:val="22"/>
          <w:szCs w:val="22"/>
        </w:rPr>
        <w:t>Kanagliflozyna, empagliflozyna i ertugliflozyna nie są odpowiednie do stosowania u pacjentów z GFR &lt; 45 ml/min/1,73 m2, głównie ze wzg</w:t>
      </w:r>
      <w:r w:rsidR="00404A18">
        <w:rPr>
          <w:rFonts w:asciiTheme="minorHAnsi" w:hAnsiTheme="minorHAnsi"/>
          <w:i/>
          <w:sz w:val="22"/>
          <w:szCs w:val="22"/>
        </w:rPr>
        <w:t>lędu na zmniejszoną skuteczność</w:t>
      </w:r>
      <w:r w:rsidR="00D360FA" w:rsidRPr="00AE15DA">
        <w:rPr>
          <w:rFonts w:asciiTheme="minorHAnsi" w:hAnsiTheme="minorHAnsi"/>
          <w:i/>
          <w:sz w:val="22"/>
          <w:szCs w:val="22"/>
        </w:rPr>
        <w:t>.</w:t>
      </w:r>
    </w:p>
    <w:p w:rsidR="00730686" w:rsidRPr="00AE15DA" w:rsidRDefault="00A069E4" w:rsidP="0043334F">
      <w:pPr>
        <w:contextualSpacing/>
        <w:rPr>
          <w:rFonts w:asciiTheme="minorHAnsi" w:hAnsiTheme="minorHAnsi"/>
          <w:i/>
          <w:sz w:val="22"/>
          <w:szCs w:val="22"/>
        </w:rPr>
      </w:pPr>
      <w:r w:rsidRPr="00AE15DA">
        <w:rPr>
          <w:rFonts w:asciiTheme="minorHAnsi" w:hAnsiTheme="minorHAnsi"/>
          <w:i/>
          <w:sz w:val="22"/>
          <w:szCs w:val="22"/>
        </w:rPr>
        <w:t>*</w:t>
      </w:r>
      <w:r w:rsidR="00404A18" w:rsidRPr="00404A18">
        <w:t xml:space="preserve"> </w:t>
      </w:r>
      <w:r w:rsidR="00404A18" w:rsidRPr="00404A18">
        <w:rPr>
          <w:rFonts w:asciiTheme="minorHAnsi" w:hAnsiTheme="minorHAnsi"/>
          <w:i/>
          <w:sz w:val="22"/>
          <w:szCs w:val="22"/>
        </w:rPr>
        <w:t>Nie należy stosować dapagliflozyny w przypadkach, gdy GFR &lt;60 ml/min/1,73m2 ze wzglę</w:t>
      </w:r>
      <w:r w:rsidR="00404A18">
        <w:rPr>
          <w:rFonts w:asciiTheme="minorHAnsi" w:hAnsiTheme="minorHAnsi"/>
          <w:i/>
          <w:sz w:val="22"/>
          <w:szCs w:val="22"/>
        </w:rPr>
        <w:t>du na jej zmniejszone działanie</w:t>
      </w:r>
      <w:r w:rsidR="00D360FA" w:rsidRPr="00AE15DA">
        <w:rPr>
          <w:rFonts w:asciiTheme="minorHAnsi" w:hAnsiTheme="minorHAnsi"/>
          <w:i/>
          <w:sz w:val="22"/>
          <w:szCs w:val="22"/>
        </w:rPr>
        <w:t>.</w:t>
      </w:r>
    </w:p>
    <w:p w:rsidR="00E65BB5" w:rsidRPr="00AE15DA" w:rsidRDefault="00325B49" w:rsidP="0043334F">
      <w:pPr>
        <w:contextualSpacing/>
        <w:rPr>
          <w:rFonts w:asciiTheme="minorHAnsi" w:hAnsiTheme="minorHAnsi"/>
          <w:i/>
          <w:sz w:val="22"/>
          <w:szCs w:val="22"/>
        </w:rPr>
      </w:pPr>
      <w:r w:rsidRPr="00AE15DA">
        <w:rPr>
          <w:rFonts w:asciiTheme="minorHAnsi" w:hAnsiTheme="minorHAnsi"/>
          <w:i/>
          <w:sz w:val="22"/>
          <w:szCs w:val="22"/>
        </w:rPr>
        <w:t>*</w:t>
      </w:r>
      <w:r w:rsidR="00D360FA" w:rsidRPr="00AE15DA">
        <w:rPr>
          <w:rFonts w:asciiTheme="minorHAnsi" w:hAnsiTheme="minorHAnsi"/>
          <w:i/>
          <w:sz w:val="22"/>
          <w:szCs w:val="22"/>
        </w:rPr>
        <w:t xml:space="preserve"> </w:t>
      </w:r>
      <w:r w:rsidR="00404A18" w:rsidRPr="00404A18">
        <w:rPr>
          <w:rFonts w:asciiTheme="minorHAnsi" w:hAnsiTheme="minorHAnsi"/>
          <w:i/>
          <w:sz w:val="22"/>
          <w:szCs w:val="22"/>
        </w:rPr>
        <w:t>Stosowanie inhibitorów SGLT-2 można rozważyć w leczeniu nefropatii (wydalanie albuminy z moczem &gt; 300 mg/dobę) u pacje</w:t>
      </w:r>
      <w:r w:rsidR="00404A18">
        <w:rPr>
          <w:rFonts w:asciiTheme="minorHAnsi" w:hAnsiTheme="minorHAnsi"/>
          <w:i/>
          <w:sz w:val="22"/>
          <w:szCs w:val="22"/>
        </w:rPr>
        <w:t>ntów z GFR 30-60 ml/min/1,73 m2</w:t>
      </w:r>
      <w:r w:rsidR="00C94FD6" w:rsidRPr="00AE15DA">
        <w:rPr>
          <w:rFonts w:asciiTheme="minorHAnsi" w:hAnsiTheme="minorHAnsi"/>
          <w:i/>
          <w:sz w:val="22"/>
          <w:szCs w:val="22"/>
        </w:rPr>
        <w:t>.</w:t>
      </w:r>
    </w:p>
    <w:p w:rsidR="002F3D1A" w:rsidRPr="00AE15DA" w:rsidRDefault="002F3D1A" w:rsidP="0043334F">
      <w:pPr>
        <w:tabs>
          <w:tab w:val="left" w:pos="708"/>
        </w:tabs>
        <w:contextualSpacing/>
        <w:jc w:val="both"/>
        <w:rPr>
          <w:rFonts w:asciiTheme="minorHAnsi" w:hAnsiTheme="minorHAnsi" w:cstheme="minorHAnsi"/>
          <w:sz w:val="22"/>
          <w:szCs w:val="22"/>
        </w:rPr>
      </w:pPr>
    </w:p>
    <w:p w:rsidR="002F3D1A" w:rsidRPr="00AE15DA" w:rsidRDefault="002F3D1A" w:rsidP="0043334F">
      <w:pPr>
        <w:tabs>
          <w:tab w:val="left" w:pos="708"/>
        </w:tabs>
        <w:contextualSpacing/>
        <w:jc w:val="both"/>
        <w:rPr>
          <w:rFonts w:asciiTheme="minorHAnsi" w:hAnsiTheme="minorHAnsi" w:cstheme="minorHAnsi"/>
          <w:sz w:val="22"/>
          <w:szCs w:val="22"/>
        </w:rPr>
      </w:pPr>
    </w:p>
    <w:p w:rsidR="00EA06A2" w:rsidRPr="00AE15DA" w:rsidRDefault="00EA06A2" w:rsidP="0043334F">
      <w:pPr>
        <w:tabs>
          <w:tab w:val="left" w:pos="708"/>
        </w:tabs>
        <w:contextualSpacing/>
        <w:jc w:val="both"/>
        <w:rPr>
          <w:rFonts w:asciiTheme="minorHAnsi" w:hAnsiTheme="minorHAnsi" w:cstheme="minorHAnsi"/>
          <w:sz w:val="22"/>
          <w:szCs w:val="22"/>
        </w:rPr>
      </w:pPr>
      <w:r w:rsidRPr="00AE15DA">
        <w:rPr>
          <w:rFonts w:asciiTheme="minorHAnsi" w:hAnsiTheme="minorHAnsi"/>
          <w:b/>
          <w:sz w:val="22"/>
          <w:szCs w:val="22"/>
        </w:rPr>
        <w:t>G</w:t>
      </w:r>
      <w:r w:rsidR="00C5147A" w:rsidRPr="00AE15DA">
        <w:rPr>
          <w:rFonts w:asciiTheme="minorHAnsi" w:hAnsiTheme="minorHAnsi"/>
          <w:b/>
          <w:sz w:val="22"/>
          <w:szCs w:val="22"/>
        </w:rPr>
        <w:t>9</w:t>
      </w:r>
      <w:r w:rsidRPr="00AE15DA">
        <w:rPr>
          <w:rFonts w:asciiTheme="minorHAnsi" w:hAnsiTheme="minorHAnsi"/>
          <w:b/>
          <w:sz w:val="22"/>
          <w:szCs w:val="22"/>
        </w:rPr>
        <w:t xml:space="preserve">. </w:t>
      </w:r>
      <w:r w:rsidR="00404A18" w:rsidRPr="00404A18">
        <w:rPr>
          <w:rFonts w:asciiTheme="minorHAnsi" w:hAnsiTheme="minorHAnsi"/>
          <w:b/>
          <w:sz w:val="22"/>
          <w:szCs w:val="22"/>
        </w:rPr>
        <w:t>Stosowanie androgenów nie jest właściwe w przypadku niskiego poziomu testosteronu w surowicy, któremu nie towarzyszą objawy i oznaki związane z niedoborem androgenów</w:t>
      </w:r>
    </w:p>
    <w:p w:rsidR="002F3D1A" w:rsidRPr="00AE15DA" w:rsidRDefault="008B7591" w:rsidP="0043334F">
      <w:pPr>
        <w:spacing w:after="100" w:afterAutospacing="1"/>
        <w:contextualSpacing/>
        <w:jc w:val="both"/>
        <w:rPr>
          <w:rFonts w:asciiTheme="minorHAnsi" w:hAnsiTheme="minorHAnsi"/>
          <w:i/>
          <w:sz w:val="22"/>
          <w:szCs w:val="22"/>
        </w:rPr>
      </w:pPr>
      <w:r w:rsidRPr="00AE15DA">
        <w:rPr>
          <w:rFonts w:asciiTheme="minorHAnsi" w:hAnsiTheme="minorHAnsi"/>
          <w:sz w:val="22"/>
          <w:szCs w:val="22"/>
        </w:rPr>
        <w:t>*</w:t>
      </w:r>
      <w:r w:rsidR="00404A18" w:rsidRPr="00404A18">
        <w:t xml:space="preserve"> </w:t>
      </w:r>
      <w:r w:rsidR="00404A18" w:rsidRPr="00404A18">
        <w:rPr>
          <w:rFonts w:asciiTheme="minorHAnsi" w:hAnsiTheme="minorHAnsi"/>
          <w:i/>
          <w:sz w:val="22"/>
          <w:szCs w:val="22"/>
        </w:rPr>
        <w:t xml:space="preserve">Rozpoznanie hipogonadyzmu stawia się w obecności utrzymującego się niskiego poziomu testosteronu w surowicy z objawami </w:t>
      </w:r>
      <w:r w:rsidR="00404A18">
        <w:rPr>
          <w:rFonts w:asciiTheme="minorHAnsi" w:hAnsiTheme="minorHAnsi"/>
          <w:i/>
          <w:sz w:val="22"/>
          <w:szCs w:val="22"/>
        </w:rPr>
        <w:t>i oznakami niedoboru androgenów</w:t>
      </w:r>
      <w:r w:rsidR="00EA06A2" w:rsidRPr="00AE15DA">
        <w:rPr>
          <w:rFonts w:asciiTheme="minorHAnsi" w:hAnsiTheme="minorHAnsi"/>
          <w:i/>
          <w:sz w:val="22"/>
          <w:szCs w:val="22"/>
        </w:rPr>
        <w:t>.</w:t>
      </w:r>
    </w:p>
    <w:p w:rsidR="002F3D1A" w:rsidRPr="00AE15DA" w:rsidRDefault="002F3D1A" w:rsidP="0043334F">
      <w:pPr>
        <w:spacing w:before="100" w:beforeAutospacing="1"/>
        <w:contextualSpacing/>
        <w:jc w:val="both"/>
        <w:rPr>
          <w:rFonts w:asciiTheme="minorHAnsi" w:hAnsiTheme="minorHAnsi" w:cstheme="minorHAnsi"/>
          <w:color w:val="000000" w:themeColor="text1"/>
          <w:sz w:val="22"/>
          <w:szCs w:val="22"/>
        </w:rPr>
      </w:pPr>
    </w:p>
    <w:p w:rsidR="00FA7B48" w:rsidRPr="00AE15DA" w:rsidRDefault="00415CD8" w:rsidP="0043334F">
      <w:pPr>
        <w:spacing w:before="100" w:beforeAutospacing="1"/>
        <w:contextualSpacing/>
        <w:jc w:val="both"/>
        <w:rPr>
          <w:rFonts w:asciiTheme="minorHAnsi" w:hAnsiTheme="minorHAnsi"/>
          <w:b/>
          <w:sz w:val="22"/>
          <w:szCs w:val="22"/>
        </w:rPr>
      </w:pPr>
      <w:r w:rsidRPr="00AE15DA">
        <w:rPr>
          <w:rFonts w:asciiTheme="minorHAnsi" w:hAnsiTheme="minorHAnsi"/>
          <w:b/>
          <w:sz w:val="22"/>
          <w:szCs w:val="22"/>
        </w:rPr>
        <w:t>G</w:t>
      </w:r>
      <w:r w:rsidR="00C5147A" w:rsidRPr="00AE15DA">
        <w:rPr>
          <w:rFonts w:asciiTheme="minorHAnsi" w:hAnsiTheme="minorHAnsi"/>
          <w:b/>
          <w:sz w:val="22"/>
          <w:szCs w:val="22"/>
        </w:rPr>
        <w:t>10</w:t>
      </w:r>
      <w:r w:rsidRPr="00AE15DA">
        <w:rPr>
          <w:rFonts w:asciiTheme="minorHAnsi" w:hAnsiTheme="minorHAnsi"/>
          <w:b/>
          <w:sz w:val="22"/>
          <w:szCs w:val="22"/>
        </w:rPr>
        <w:t xml:space="preserve">. </w:t>
      </w:r>
      <w:r w:rsidR="00404A18" w:rsidRPr="00404A18">
        <w:rPr>
          <w:rFonts w:asciiTheme="minorHAnsi" w:hAnsiTheme="minorHAnsi"/>
          <w:b/>
          <w:sz w:val="22"/>
          <w:szCs w:val="22"/>
        </w:rPr>
        <w:t xml:space="preserve">Ogólnoustrojowe stosowanie estrogenów nie jest właściwe u pacjentów z rakiem piersi lub żylną chorobą </w:t>
      </w:r>
      <w:r w:rsidR="00404A18">
        <w:rPr>
          <w:rFonts w:asciiTheme="minorHAnsi" w:hAnsiTheme="minorHAnsi"/>
          <w:b/>
          <w:sz w:val="22"/>
          <w:szCs w:val="22"/>
        </w:rPr>
        <w:t>zakrzepowo-zatorową w wywiadzie</w:t>
      </w:r>
    </w:p>
    <w:p w:rsidR="002F3D1A" w:rsidRPr="00AE15DA" w:rsidRDefault="00D17D20" w:rsidP="0043334F">
      <w:pPr>
        <w:spacing w:after="100" w:afterAutospacing="1"/>
        <w:contextualSpacing/>
        <w:jc w:val="both"/>
        <w:rPr>
          <w:rFonts w:asciiTheme="minorHAnsi" w:hAnsiTheme="minorHAnsi"/>
          <w:bCs/>
          <w:i/>
          <w:sz w:val="22"/>
          <w:szCs w:val="22"/>
        </w:rPr>
      </w:pPr>
      <w:r w:rsidRPr="00AE15DA">
        <w:rPr>
          <w:rFonts w:asciiTheme="minorHAnsi" w:hAnsiTheme="minorHAnsi"/>
          <w:bCs/>
          <w:i/>
          <w:sz w:val="22"/>
          <w:szCs w:val="22"/>
        </w:rPr>
        <w:t>*</w:t>
      </w:r>
      <w:r w:rsidR="00404A18" w:rsidRPr="00404A18">
        <w:rPr>
          <w:rFonts w:asciiTheme="minorHAnsi" w:hAnsiTheme="minorHAnsi"/>
          <w:i/>
          <w:sz w:val="22"/>
          <w:szCs w:val="22"/>
        </w:rPr>
        <w:t>Estrogen dopochwowy u pacjentek z rakiem piersi w wywiadzie lub żylną chorobą zakrzepowo-zatorową; Może być podawany po leczeniu niehormonalnym w leczeniu objawów układu moczowo-płciowego, takich jak zanikowe zapalenie pochwy, z uwzglę</w:t>
      </w:r>
      <w:r w:rsidR="00404A18">
        <w:rPr>
          <w:rFonts w:asciiTheme="minorHAnsi" w:hAnsiTheme="minorHAnsi"/>
          <w:i/>
          <w:sz w:val="22"/>
          <w:szCs w:val="22"/>
        </w:rPr>
        <w:t>dnieniem bilansu zysków i strat</w:t>
      </w:r>
      <w:r w:rsidR="00D360FA" w:rsidRPr="00AE15DA">
        <w:rPr>
          <w:rFonts w:asciiTheme="minorHAnsi" w:hAnsiTheme="minorHAnsi"/>
          <w:bCs/>
          <w:i/>
          <w:sz w:val="22"/>
          <w:szCs w:val="22"/>
        </w:rPr>
        <w:t>.</w:t>
      </w:r>
    </w:p>
    <w:p w:rsidR="0043334F" w:rsidRPr="00AE15DA" w:rsidRDefault="0043334F" w:rsidP="0043334F">
      <w:pPr>
        <w:spacing w:after="100" w:afterAutospacing="1"/>
        <w:contextualSpacing/>
        <w:jc w:val="both"/>
        <w:rPr>
          <w:rFonts w:asciiTheme="minorHAnsi" w:hAnsiTheme="minorHAnsi"/>
          <w:bCs/>
          <w:i/>
          <w:sz w:val="22"/>
          <w:szCs w:val="22"/>
        </w:rPr>
      </w:pPr>
    </w:p>
    <w:p w:rsidR="00D360FA" w:rsidRPr="00AE15DA" w:rsidRDefault="00D360FA" w:rsidP="0043334F">
      <w:pPr>
        <w:spacing w:before="100" w:beforeAutospacing="1" w:after="100" w:afterAutospacing="1"/>
        <w:contextualSpacing/>
        <w:jc w:val="both"/>
        <w:rPr>
          <w:rFonts w:asciiTheme="minorHAnsi" w:hAnsiTheme="minorHAnsi"/>
          <w:b/>
          <w:bCs/>
          <w:i/>
          <w:sz w:val="22"/>
          <w:szCs w:val="22"/>
        </w:rPr>
      </w:pPr>
    </w:p>
    <w:p w:rsidR="002F3D1A" w:rsidRPr="00AE15DA" w:rsidRDefault="00415CD8" w:rsidP="0043334F">
      <w:pPr>
        <w:spacing w:before="100" w:beforeAutospacing="1" w:after="100" w:afterAutospacing="1"/>
        <w:contextualSpacing/>
        <w:jc w:val="both"/>
        <w:rPr>
          <w:rFonts w:asciiTheme="minorHAnsi" w:hAnsiTheme="minorHAnsi"/>
          <w:b/>
          <w:sz w:val="22"/>
          <w:szCs w:val="22"/>
        </w:rPr>
      </w:pPr>
      <w:r w:rsidRPr="00AE15DA">
        <w:rPr>
          <w:rFonts w:asciiTheme="minorHAnsi" w:hAnsiTheme="minorHAnsi"/>
          <w:b/>
          <w:sz w:val="22"/>
          <w:szCs w:val="22"/>
        </w:rPr>
        <w:lastRenderedPageBreak/>
        <w:t>G</w:t>
      </w:r>
      <w:r w:rsidR="00730686" w:rsidRPr="00AE15DA">
        <w:rPr>
          <w:rFonts w:asciiTheme="minorHAnsi" w:hAnsiTheme="minorHAnsi"/>
          <w:b/>
          <w:sz w:val="22"/>
          <w:szCs w:val="22"/>
        </w:rPr>
        <w:t>1</w:t>
      </w:r>
      <w:r w:rsidR="00C5147A" w:rsidRPr="00AE15DA">
        <w:rPr>
          <w:rFonts w:asciiTheme="minorHAnsi" w:hAnsiTheme="minorHAnsi"/>
          <w:b/>
          <w:sz w:val="22"/>
          <w:szCs w:val="22"/>
        </w:rPr>
        <w:t>1</w:t>
      </w:r>
      <w:r w:rsidRPr="00AE15DA">
        <w:rPr>
          <w:rFonts w:asciiTheme="minorHAnsi" w:hAnsiTheme="minorHAnsi"/>
          <w:b/>
          <w:sz w:val="22"/>
          <w:szCs w:val="22"/>
        </w:rPr>
        <w:t xml:space="preserve">. </w:t>
      </w:r>
      <w:r w:rsidR="00404A18" w:rsidRPr="00404A18">
        <w:rPr>
          <w:rFonts w:asciiTheme="minorHAnsi" w:hAnsiTheme="minorHAnsi"/>
          <w:b/>
          <w:sz w:val="22"/>
          <w:szCs w:val="22"/>
        </w:rPr>
        <w:t>Stosowanie estrogenów bez jednoczesnego stosowania progesteronu nie jest właściwe u kobiet z nienaruszoną macicą (ryzyko raka endometrium)</w:t>
      </w:r>
    </w:p>
    <w:p w:rsidR="002F3D1A" w:rsidRPr="00AE15DA" w:rsidRDefault="002F3D1A" w:rsidP="0043334F">
      <w:pPr>
        <w:pStyle w:val="HTMLncedenBiimlendirilmi"/>
        <w:contextualSpacing/>
        <w:jc w:val="both"/>
        <w:rPr>
          <w:rFonts w:asciiTheme="minorHAnsi" w:hAnsiTheme="minorHAnsi" w:cstheme="minorHAnsi"/>
          <w:color w:val="000000"/>
          <w:sz w:val="22"/>
          <w:szCs w:val="22"/>
        </w:rPr>
      </w:pPr>
    </w:p>
    <w:p w:rsidR="00415CD8" w:rsidRPr="00AE15DA" w:rsidRDefault="00415CD8" w:rsidP="0043334F">
      <w:pPr>
        <w:pStyle w:val="HTMLncedenBiimlendirilmi"/>
        <w:contextualSpacing/>
        <w:jc w:val="both"/>
        <w:rPr>
          <w:rFonts w:asciiTheme="minorHAnsi" w:hAnsiTheme="minorHAnsi" w:cstheme="minorHAnsi"/>
          <w:color w:val="000000"/>
          <w:sz w:val="22"/>
          <w:szCs w:val="22"/>
        </w:rPr>
      </w:pPr>
      <w:r w:rsidRPr="00AE15DA">
        <w:rPr>
          <w:rFonts w:asciiTheme="minorHAnsi" w:hAnsiTheme="minorHAnsi"/>
          <w:b/>
          <w:color w:val="000000"/>
          <w:sz w:val="22"/>
          <w:szCs w:val="22"/>
        </w:rPr>
        <w:t>G</w:t>
      </w:r>
      <w:r w:rsidR="00730686" w:rsidRPr="00AE15DA">
        <w:rPr>
          <w:rFonts w:asciiTheme="minorHAnsi" w:hAnsiTheme="minorHAnsi"/>
          <w:b/>
          <w:color w:val="000000"/>
          <w:sz w:val="22"/>
          <w:szCs w:val="22"/>
        </w:rPr>
        <w:t>1</w:t>
      </w:r>
      <w:r w:rsidR="00C5147A" w:rsidRPr="00AE15DA">
        <w:rPr>
          <w:rFonts w:asciiTheme="minorHAnsi" w:hAnsiTheme="minorHAnsi"/>
          <w:b/>
          <w:color w:val="000000"/>
          <w:sz w:val="22"/>
          <w:szCs w:val="22"/>
        </w:rPr>
        <w:t>2</w:t>
      </w:r>
      <w:r w:rsidRPr="00AE15DA">
        <w:rPr>
          <w:rFonts w:asciiTheme="minorHAnsi" w:hAnsiTheme="minorHAnsi"/>
          <w:b/>
          <w:color w:val="000000"/>
          <w:sz w:val="22"/>
          <w:szCs w:val="22"/>
        </w:rPr>
        <w:t xml:space="preserve">. </w:t>
      </w:r>
      <w:r w:rsidR="00C535A9" w:rsidRPr="00C535A9">
        <w:rPr>
          <w:rFonts w:asciiTheme="minorHAnsi" w:hAnsiTheme="minorHAnsi"/>
          <w:b/>
          <w:color w:val="000000"/>
          <w:sz w:val="22"/>
          <w:szCs w:val="22"/>
        </w:rPr>
        <w:t>Stosowanie megestrolu jako środka wzmacniającego apetyt nie jest odpowiednie (minimalny wpływ na wagę, prozakrzepowe skutki uboczne)</w:t>
      </w:r>
      <w:r w:rsidRPr="00AE15DA">
        <w:rPr>
          <w:rFonts w:asciiTheme="minorHAnsi" w:hAnsiTheme="minorHAnsi"/>
          <w:b/>
          <w:sz w:val="22"/>
          <w:szCs w:val="22"/>
        </w:rPr>
        <w:t xml:space="preserve"> </w:t>
      </w:r>
    </w:p>
    <w:p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7528C0" w:rsidRPr="00AE15DA" w:rsidRDefault="00415CD8"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r w:rsidRPr="00AE15DA">
        <w:rPr>
          <w:rFonts w:asciiTheme="minorHAnsi" w:hAnsiTheme="minorHAnsi"/>
          <w:b/>
          <w:sz w:val="22"/>
          <w:szCs w:val="22"/>
          <w:shd w:val="clear" w:color="auto" w:fill="FFFFFF"/>
        </w:rPr>
        <w:t>G</w:t>
      </w:r>
      <w:r w:rsidR="00730686" w:rsidRPr="00AE15DA">
        <w:rPr>
          <w:rFonts w:asciiTheme="minorHAnsi" w:hAnsiTheme="minorHAnsi"/>
          <w:b/>
          <w:sz w:val="22"/>
          <w:szCs w:val="22"/>
          <w:shd w:val="clear" w:color="auto" w:fill="FFFFFF"/>
        </w:rPr>
        <w:t>1</w:t>
      </w:r>
      <w:r w:rsidR="00C5147A" w:rsidRPr="00AE15DA">
        <w:rPr>
          <w:rFonts w:asciiTheme="minorHAnsi" w:hAnsiTheme="minorHAnsi"/>
          <w:b/>
          <w:sz w:val="22"/>
          <w:szCs w:val="22"/>
          <w:shd w:val="clear" w:color="auto" w:fill="FFFFFF"/>
        </w:rPr>
        <w:t>3</w:t>
      </w:r>
      <w:r w:rsidRPr="00AE15DA">
        <w:rPr>
          <w:rFonts w:asciiTheme="minorHAnsi" w:hAnsiTheme="minorHAnsi"/>
          <w:b/>
          <w:sz w:val="22"/>
          <w:szCs w:val="22"/>
          <w:shd w:val="clear" w:color="auto" w:fill="FFFFFF"/>
        </w:rPr>
        <w:t xml:space="preserve">. </w:t>
      </w:r>
      <w:r w:rsidR="00C535A9" w:rsidRPr="00C535A9">
        <w:rPr>
          <w:rFonts w:asciiTheme="minorHAnsi" w:hAnsiTheme="minorHAnsi"/>
          <w:b/>
          <w:sz w:val="22"/>
          <w:szCs w:val="22"/>
          <w:shd w:val="clear" w:color="auto" w:fill="FFFFFF"/>
        </w:rPr>
        <w:t>U osób starszych z subkliniczną niedoczynnością tarczycy (TSH: 4-10 mIU/l; fT4: N) stosowanie hormonów tarczycy nie jest właściwe (brak dodatkowych korzyści, potencjalne ryzyko działań niepożądanych, takich jak migotanie przedsionków i osteoporoza)</w:t>
      </w:r>
    </w:p>
    <w:p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rsidR="002F3D1A" w:rsidRPr="00AE15DA" w:rsidRDefault="007C70E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r w:rsidRPr="00AE15DA">
        <w:rPr>
          <w:rFonts w:asciiTheme="minorHAnsi" w:hAnsiTheme="minorHAnsi"/>
          <w:b/>
          <w:sz w:val="28"/>
          <w:szCs w:val="28"/>
        </w:rPr>
        <w:t xml:space="preserve">H: </w:t>
      </w:r>
      <w:r w:rsidR="00C535A9" w:rsidRPr="00C535A9">
        <w:rPr>
          <w:rFonts w:asciiTheme="minorHAnsi" w:hAnsiTheme="minorHAnsi"/>
          <w:b/>
          <w:sz w:val="28"/>
          <w:szCs w:val="28"/>
        </w:rPr>
        <w:t>Obciążenie antymuskarynowo-antycholinergiczne</w:t>
      </w:r>
    </w:p>
    <w:p w:rsidR="002F3D1A" w:rsidRPr="00AE15DA" w:rsidRDefault="002F3D1A"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p>
    <w:p w:rsidR="004816D3" w:rsidRPr="00AE15DA" w:rsidRDefault="004816D3"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Pr>
        <w:t>H</w:t>
      </w:r>
      <w:r w:rsidR="001E43C4" w:rsidRPr="00AE15DA">
        <w:rPr>
          <w:rFonts w:asciiTheme="minorHAnsi" w:hAnsiTheme="minorHAnsi"/>
          <w:b/>
          <w:sz w:val="22"/>
          <w:szCs w:val="22"/>
        </w:rPr>
        <w:t>1</w:t>
      </w:r>
      <w:r w:rsidRPr="00AE15DA">
        <w:rPr>
          <w:rFonts w:asciiTheme="minorHAnsi" w:hAnsiTheme="minorHAnsi"/>
          <w:b/>
          <w:sz w:val="22"/>
          <w:szCs w:val="22"/>
        </w:rPr>
        <w:t xml:space="preserve">. </w:t>
      </w:r>
      <w:r w:rsidR="00C535A9" w:rsidRPr="00C535A9">
        <w:rPr>
          <w:rFonts w:asciiTheme="minorHAnsi" w:hAnsiTheme="minorHAnsi"/>
          <w:b/>
          <w:sz w:val="22"/>
          <w:szCs w:val="22"/>
        </w:rPr>
        <w:t xml:space="preserve">Stosowanie leków o silnym działaniu antycholinergicznym nie jest wskazane w następujących sytuacjach </w:t>
      </w:r>
      <w:proofErr w:type="gramStart"/>
      <w:r w:rsidR="00C535A9" w:rsidRPr="00C535A9">
        <w:rPr>
          <w:rFonts w:asciiTheme="minorHAnsi" w:hAnsiTheme="minorHAnsi"/>
          <w:b/>
          <w:sz w:val="22"/>
          <w:szCs w:val="22"/>
        </w:rPr>
        <w:t>(</w:t>
      </w:r>
      <w:proofErr w:type="gramEnd"/>
      <w:r w:rsidR="00C535A9" w:rsidRPr="00C535A9">
        <w:rPr>
          <w:rFonts w:asciiTheme="minorHAnsi" w:hAnsiTheme="minorHAnsi"/>
          <w:b/>
          <w:sz w:val="22"/>
          <w:szCs w:val="22"/>
        </w:rPr>
        <w:t xml:space="preserve">trójpierścieniowe leki przeciwdepresyjne, chlorpromazyna, tiorydazyna, klozapina, olanzapina, hioscyna, oksybutynina doustna, leki przeciwhistaminowe pierwszej generacji, np. feniramina, chlorfeniramina, hydroksyzyna, cyproheptadyna, difenhydryna i </w:t>
      </w:r>
      <w:proofErr w:type="gramStart"/>
      <w:r w:rsidR="00C535A9" w:rsidRPr="00C535A9">
        <w:rPr>
          <w:rFonts w:asciiTheme="minorHAnsi" w:hAnsiTheme="minorHAnsi"/>
          <w:b/>
          <w:sz w:val="22"/>
          <w:szCs w:val="22"/>
        </w:rPr>
        <w:t>podobne , meklizyna</w:t>
      </w:r>
      <w:proofErr w:type="gramEnd"/>
      <w:r w:rsidR="00C535A9" w:rsidRPr="00C535A9">
        <w:rPr>
          <w:rFonts w:asciiTheme="minorHAnsi" w:hAnsiTheme="minorHAnsi"/>
          <w:b/>
          <w:sz w:val="22"/>
          <w:szCs w:val="22"/>
        </w:rPr>
        <w:t>)</w:t>
      </w:r>
      <w:r w:rsidR="00C535A9">
        <w:rPr>
          <w:rFonts w:asciiTheme="minorHAnsi" w:hAnsiTheme="minorHAnsi"/>
          <w:b/>
          <w:sz w:val="22"/>
          <w:szCs w:val="22"/>
        </w:rPr>
        <w:t xml:space="preserve">: </w:t>
      </w:r>
    </w:p>
    <w:p w:rsidR="004816D3" w:rsidRPr="00AE15DA" w:rsidRDefault="001E43C4" w:rsidP="0043334F">
      <w:pPr>
        <w:contextualSpacing/>
        <w:rPr>
          <w:rFonts w:asciiTheme="minorHAnsi" w:hAnsiTheme="minorHAnsi"/>
          <w:b/>
          <w:sz w:val="22"/>
          <w:szCs w:val="22"/>
        </w:rPr>
      </w:pPr>
      <w:r w:rsidRPr="00AE15DA">
        <w:rPr>
          <w:rFonts w:asciiTheme="minorHAnsi" w:hAnsiTheme="minorHAnsi"/>
          <w:b/>
          <w:sz w:val="22"/>
          <w:szCs w:val="22"/>
        </w:rPr>
        <w:tab/>
      </w:r>
      <w:r w:rsidR="00C535A9" w:rsidRPr="00C535A9">
        <w:rPr>
          <w:rFonts w:asciiTheme="minorHAnsi" w:hAnsiTheme="minorHAnsi"/>
          <w:b/>
          <w:sz w:val="22"/>
          <w:szCs w:val="22"/>
        </w:rPr>
        <w:t>Upadki/zaparcia/jaskra z wąskim kątem przesączania/demencja/majaczenie/zatrzymanie moczu/obturacyjne objawy LUTS u mężczyzn/jednoczesne stosowanie leków o silnym działaniu antycholinergicznym</w:t>
      </w:r>
    </w:p>
    <w:p w:rsidR="004816D3" w:rsidRPr="00AE15DA" w:rsidRDefault="004816D3" w:rsidP="0043334F">
      <w:pPr>
        <w:contextualSpacing/>
        <w:jc w:val="both"/>
        <w:rPr>
          <w:rFonts w:asciiTheme="minorHAnsi" w:hAnsiTheme="minorHAnsi"/>
          <w:i/>
          <w:sz w:val="22"/>
          <w:szCs w:val="22"/>
          <w:shd w:val="clear" w:color="auto" w:fill="FFFFFF"/>
        </w:rPr>
      </w:pPr>
      <w:r w:rsidRPr="00AE15DA">
        <w:rPr>
          <w:rFonts w:asciiTheme="minorHAnsi" w:hAnsiTheme="minorHAnsi"/>
          <w:i/>
          <w:sz w:val="22"/>
          <w:szCs w:val="22"/>
          <w:shd w:val="clear" w:color="auto" w:fill="FFFFFF"/>
        </w:rPr>
        <w:t>*</w:t>
      </w:r>
      <w:r w:rsidR="00C535A9" w:rsidRPr="00C535A9">
        <w:t xml:space="preserve"> </w:t>
      </w:r>
      <w:r w:rsidR="00C535A9" w:rsidRPr="00C535A9">
        <w:rPr>
          <w:rFonts w:asciiTheme="minorHAnsi" w:hAnsiTheme="minorHAnsi"/>
          <w:i/>
          <w:sz w:val="22"/>
          <w:szCs w:val="22"/>
          <w:shd w:val="clear" w:color="auto" w:fill="FFFFFF"/>
        </w:rPr>
        <w:t>Ogólnie rzecz biorąc, stosowanie leków o silnym działaniu antycholinergicznym nie powinno być preferowane u osób starszych; W przypadku konieczności klinicznej należy uważni</w:t>
      </w:r>
      <w:r w:rsidR="00C535A9">
        <w:rPr>
          <w:rFonts w:asciiTheme="minorHAnsi" w:hAnsiTheme="minorHAnsi"/>
          <w:i/>
          <w:sz w:val="22"/>
          <w:szCs w:val="22"/>
          <w:shd w:val="clear" w:color="auto" w:fill="FFFFFF"/>
        </w:rPr>
        <w:t>e śledzić działania niepożądane</w:t>
      </w:r>
      <w:r w:rsidRPr="00AE15DA">
        <w:rPr>
          <w:rFonts w:asciiTheme="minorHAnsi" w:hAnsiTheme="minorHAnsi"/>
          <w:i/>
          <w:sz w:val="22"/>
          <w:szCs w:val="22"/>
          <w:shd w:val="clear" w:color="auto" w:fill="FFFFFF"/>
        </w:rPr>
        <w:t>.</w:t>
      </w:r>
    </w:p>
    <w:p w:rsidR="002F3D1A" w:rsidRPr="00AE15DA" w:rsidRDefault="001E43C4" w:rsidP="0043334F">
      <w:pPr>
        <w:spacing w:after="100" w:afterAutospacing="1"/>
        <w:contextualSpacing/>
        <w:jc w:val="both"/>
        <w:rPr>
          <w:rFonts w:asciiTheme="minorHAnsi" w:hAnsiTheme="minorHAnsi"/>
          <w:i/>
          <w:sz w:val="22"/>
          <w:szCs w:val="22"/>
        </w:rPr>
      </w:pPr>
      <w:r w:rsidRPr="00AE15DA">
        <w:rPr>
          <w:rFonts w:asciiTheme="minorHAnsi" w:hAnsiTheme="minorHAnsi"/>
          <w:i/>
          <w:sz w:val="22"/>
          <w:szCs w:val="22"/>
        </w:rPr>
        <w:t>*</w:t>
      </w:r>
      <w:r w:rsidR="00C535A9" w:rsidRPr="00C535A9">
        <w:rPr>
          <w:rFonts w:asciiTheme="minorHAnsi" w:hAnsiTheme="minorHAnsi"/>
          <w:i/>
          <w:sz w:val="22"/>
          <w:szCs w:val="22"/>
        </w:rPr>
        <w:t>W przypadku ostrej reakcji alergicznej wskazane jest pozajelitowe stosowanie leków przeciwhi</w:t>
      </w:r>
      <w:r w:rsidR="00C535A9">
        <w:rPr>
          <w:rFonts w:asciiTheme="minorHAnsi" w:hAnsiTheme="minorHAnsi"/>
          <w:i/>
          <w:sz w:val="22"/>
          <w:szCs w:val="22"/>
        </w:rPr>
        <w:t>staminowych pierwszej generacji</w:t>
      </w:r>
      <w:r w:rsidRPr="00AE15DA">
        <w:rPr>
          <w:rFonts w:asciiTheme="minorHAnsi" w:hAnsiTheme="minorHAnsi"/>
          <w:i/>
          <w:sz w:val="22"/>
          <w:szCs w:val="22"/>
        </w:rPr>
        <w:t>.</w:t>
      </w:r>
    </w:p>
    <w:p w:rsidR="002F3D1A" w:rsidRPr="00AE15DA" w:rsidRDefault="002F3D1A" w:rsidP="0043334F">
      <w:pPr>
        <w:contextualSpacing/>
        <w:jc w:val="both"/>
        <w:rPr>
          <w:rFonts w:asciiTheme="minorHAnsi" w:hAnsiTheme="minorHAnsi" w:cstheme="minorHAnsi"/>
          <w:color w:val="000000"/>
          <w:sz w:val="22"/>
          <w:szCs w:val="22"/>
        </w:rPr>
      </w:pPr>
    </w:p>
    <w:p w:rsidR="002F3D1A" w:rsidRPr="00AE15DA" w:rsidRDefault="007C70E3" w:rsidP="0043334F">
      <w:pPr>
        <w:contextualSpacing/>
        <w:jc w:val="both"/>
        <w:rPr>
          <w:rFonts w:asciiTheme="minorHAnsi" w:hAnsiTheme="minorHAnsi"/>
          <w:b/>
          <w:sz w:val="28"/>
          <w:szCs w:val="28"/>
        </w:rPr>
      </w:pPr>
      <w:r w:rsidRPr="00AE15DA">
        <w:rPr>
          <w:rFonts w:asciiTheme="minorHAnsi" w:hAnsiTheme="minorHAnsi"/>
          <w:b/>
          <w:sz w:val="28"/>
          <w:szCs w:val="28"/>
        </w:rPr>
        <w:t xml:space="preserve">J: </w:t>
      </w:r>
      <w:r w:rsidR="00C535A9">
        <w:rPr>
          <w:rFonts w:asciiTheme="minorHAnsi" w:hAnsiTheme="minorHAnsi"/>
          <w:b/>
          <w:sz w:val="28"/>
          <w:szCs w:val="28"/>
        </w:rPr>
        <w:t>S</w:t>
      </w:r>
      <w:r w:rsidR="00C535A9" w:rsidRPr="00C535A9">
        <w:rPr>
          <w:rFonts w:asciiTheme="minorHAnsi" w:hAnsiTheme="minorHAnsi"/>
          <w:b/>
          <w:sz w:val="28"/>
          <w:szCs w:val="28"/>
        </w:rPr>
        <w:t>uplementy</w:t>
      </w:r>
      <w:r w:rsidRPr="00AE15DA">
        <w:rPr>
          <w:rFonts w:asciiTheme="minorHAnsi" w:hAnsiTheme="minorHAnsi"/>
          <w:b/>
          <w:sz w:val="28"/>
          <w:szCs w:val="28"/>
        </w:rPr>
        <w:t>.</w:t>
      </w:r>
    </w:p>
    <w:p w:rsidR="002F3D1A" w:rsidRPr="00AE15DA" w:rsidRDefault="002F3D1A" w:rsidP="0043334F">
      <w:pPr>
        <w:contextualSpacing/>
        <w:jc w:val="both"/>
        <w:rPr>
          <w:rFonts w:asciiTheme="minorHAnsi" w:hAnsiTheme="minorHAnsi"/>
          <w:b/>
          <w:sz w:val="28"/>
          <w:szCs w:val="28"/>
        </w:rPr>
      </w:pPr>
    </w:p>
    <w:p w:rsidR="00D21A73" w:rsidRPr="00AE15DA" w:rsidRDefault="004816D3" w:rsidP="0043334F">
      <w:pPr>
        <w:contextualSpacing/>
        <w:jc w:val="both"/>
        <w:rPr>
          <w:rFonts w:asciiTheme="minorHAnsi" w:hAnsiTheme="minorHAnsi"/>
          <w:b/>
          <w:sz w:val="28"/>
          <w:szCs w:val="28"/>
        </w:rPr>
      </w:pPr>
      <w:r w:rsidRPr="00AE15DA">
        <w:rPr>
          <w:rFonts w:asciiTheme="minorHAnsi" w:hAnsiTheme="minorHAnsi"/>
          <w:b/>
          <w:sz w:val="22"/>
          <w:szCs w:val="22"/>
        </w:rPr>
        <w:t xml:space="preserve">J1. </w:t>
      </w:r>
      <w:r w:rsidR="00C535A9" w:rsidRPr="00C535A9">
        <w:rPr>
          <w:rFonts w:asciiTheme="minorHAnsi" w:hAnsiTheme="minorHAnsi"/>
          <w:b/>
          <w:sz w:val="22"/>
          <w:szCs w:val="22"/>
        </w:rPr>
        <w:t xml:space="preserve">Stosowanie ekstraktu z miłorzębu dwuklapowego nie jest właściwe w przypadkach, w których występuje ryzyko krwawienia (stosowanie leków przeciwzakrzepowych, stosowanie </w:t>
      </w:r>
      <w:r w:rsidR="00C535A9">
        <w:rPr>
          <w:rFonts w:asciiTheme="minorHAnsi" w:hAnsiTheme="minorHAnsi"/>
          <w:b/>
          <w:sz w:val="22"/>
          <w:szCs w:val="22"/>
        </w:rPr>
        <w:t>NSAII, znaczna historia krwawień)</w:t>
      </w:r>
      <w:r w:rsidRPr="00AE15DA">
        <w:rPr>
          <w:rFonts w:asciiTheme="minorHAnsi" w:hAnsiTheme="minorHAnsi"/>
          <w:b/>
          <w:sz w:val="22"/>
          <w:szCs w:val="22"/>
        </w:rPr>
        <w:t xml:space="preserve"> </w:t>
      </w:r>
    </w:p>
    <w:p w:rsidR="002F3D1A" w:rsidRPr="00AE15DA" w:rsidRDefault="00640D00" w:rsidP="0043334F">
      <w:pPr>
        <w:shd w:val="clear" w:color="auto" w:fill="FFFFFF"/>
        <w:spacing w:after="100" w:afterAutospacing="1"/>
        <w:contextualSpacing/>
        <w:jc w:val="both"/>
        <w:rPr>
          <w:rFonts w:asciiTheme="minorHAnsi" w:hAnsiTheme="minorHAnsi"/>
          <w:i/>
          <w:color w:val="000000" w:themeColor="text1"/>
          <w:sz w:val="22"/>
          <w:szCs w:val="22"/>
        </w:rPr>
      </w:pPr>
      <w:r w:rsidRPr="00AE15DA">
        <w:rPr>
          <w:rFonts w:asciiTheme="minorHAnsi" w:hAnsiTheme="minorHAnsi"/>
          <w:color w:val="000000"/>
          <w:sz w:val="22"/>
          <w:szCs w:val="22"/>
        </w:rPr>
        <w:t>*</w:t>
      </w:r>
      <w:r w:rsidR="00C535A9" w:rsidRPr="00C535A9">
        <w:t xml:space="preserve"> </w:t>
      </w:r>
      <w:r w:rsidR="00C535A9" w:rsidRPr="00C535A9">
        <w:rPr>
          <w:rFonts w:asciiTheme="minorHAnsi" w:hAnsiTheme="minorHAnsi"/>
          <w:i/>
          <w:color w:val="000000"/>
          <w:sz w:val="22"/>
          <w:szCs w:val="22"/>
        </w:rPr>
        <w:t>Jednoczesne stosowanie aspiryny z miłorzębem dwuklapowym również zwiększa ryzyko krwawienia; Właściwsze może być niestosowanie ich w połączeniu.</w:t>
      </w:r>
    </w:p>
    <w:p w:rsidR="00F613FF" w:rsidRPr="00AE15DA" w:rsidRDefault="00F613FF"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rsidR="00F613FF" w:rsidRPr="00AE15DA" w:rsidRDefault="00F613FF"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p>
    <w:p w:rsidR="009361B0" w:rsidRPr="00AE15DA" w:rsidRDefault="004816D3" w:rsidP="0043334F">
      <w:pPr>
        <w:shd w:val="clear" w:color="auto" w:fill="FFFFFF"/>
        <w:spacing w:before="100" w:beforeAutospacing="1" w:after="100" w:afterAutospacing="1"/>
        <w:contextualSpacing/>
        <w:jc w:val="both"/>
        <w:rPr>
          <w:rFonts w:asciiTheme="minorHAnsi" w:hAnsiTheme="minorHAnsi" w:cstheme="minorHAnsi"/>
          <w:color w:val="000000" w:themeColor="text1"/>
          <w:sz w:val="22"/>
          <w:szCs w:val="22"/>
        </w:rPr>
      </w:pPr>
      <w:r w:rsidRPr="00AE15DA">
        <w:rPr>
          <w:rFonts w:asciiTheme="minorHAnsi" w:hAnsiTheme="minorHAnsi"/>
          <w:b/>
          <w:sz w:val="22"/>
          <w:szCs w:val="22"/>
        </w:rPr>
        <w:t xml:space="preserve">J2. </w:t>
      </w:r>
      <w:r w:rsidR="00C535A9" w:rsidRPr="00C535A9">
        <w:rPr>
          <w:rFonts w:asciiTheme="minorHAnsi" w:hAnsiTheme="minorHAnsi"/>
          <w:b/>
          <w:sz w:val="22"/>
          <w:szCs w:val="22"/>
        </w:rPr>
        <w:t xml:space="preserve">Ziele dziurawca nie nadaje się do stosowania ogólnoustrojowego u pacjentów stosujących leki przeciwdepresyjne (szczególnie ryzyko wystąpienia zespołu serotoninergicznego z SSRI) oraz u pacjentów stosujących leki metabolizowane przez cytochrom p450 </w:t>
      </w:r>
      <w:proofErr w:type="gramStart"/>
      <w:r w:rsidR="00C535A9" w:rsidRPr="00C535A9">
        <w:rPr>
          <w:rFonts w:asciiTheme="minorHAnsi" w:hAnsiTheme="minorHAnsi"/>
          <w:b/>
          <w:sz w:val="22"/>
          <w:szCs w:val="22"/>
        </w:rPr>
        <w:t>(</w:t>
      </w:r>
      <w:proofErr w:type="gramEnd"/>
      <w:r w:rsidR="00C535A9" w:rsidRPr="00C535A9">
        <w:rPr>
          <w:rFonts w:asciiTheme="minorHAnsi" w:hAnsiTheme="minorHAnsi"/>
          <w:b/>
          <w:sz w:val="22"/>
          <w:szCs w:val="22"/>
        </w:rPr>
        <w:t>np. digoksyna, teofilina, warfaryna, karbamazepina, fenytoina, fenobarbital</w:t>
      </w:r>
      <w:proofErr w:type="gramStart"/>
      <w:r w:rsidR="00C535A9" w:rsidRPr="00C535A9">
        <w:rPr>
          <w:rFonts w:asciiTheme="minorHAnsi" w:hAnsiTheme="minorHAnsi"/>
          <w:b/>
          <w:sz w:val="22"/>
          <w:szCs w:val="22"/>
        </w:rPr>
        <w:t>)</w:t>
      </w:r>
      <w:proofErr w:type="gramEnd"/>
      <w:r w:rsidR="00C535A9" w:rsidRPr="00C535A9">
        <w:rPr>
          <w:rFonts w:asciiTheme="minorHAnsi" w:hAnsiTheme="minorHAnsi"/>
          <w:b/>
          <w:sz w:val="22"/>
          <w:szCs w:val="22"/>
        </w:rPr>
        <w:t xml:space="preserve"> (ziele dziurawca aktywuje cytochrom p450</w:t>
      </w:r>
      <w:r w:rsidR="00C535A9">
        <w:rPr>
          <w:rFonts w:asciiTheme="minorHAnsi" w:hAnsiTheme="minorHAnsi"/>
          <w:b/>
          <w:sz w:val="22"/>
          <w:szCs w:val="22"/>
        </w:rPr>
        <w:t>)</w:t>
      </w:r>
    </w:p>
    <w:p w:rsidR="00A8214A" w:rsidRPr="00AE15DA" w:rsidRDefault="00A8214A" w:rsidP="0043334F">
      <w:pPr>
        <w:contextualSpacing/>
        <w:jc w:val="both"/>
        <w:rPr>
          <w:rFonts w:asciiTheme="minorHAnsi" w:hAnsiTheme="minorHAnsi"/>
          <w:b/>
          <w:color w:val="000000" w:themeColor="text1"/>
          <w:sz w:val="22"/>
          <w:szCs w:val="22"/>
        </w:rPr>
      </w:pPr>
    </w:p>
    <w:p w:rsidR="00A8214A" w:rsidRPr="00AE15DA" w:rsidRDefault="00C6392A" w:rsidP="0043334F">
      <w:pPr>
        <w:contextualSpacing/>
        <w:jc w:val="both"/>
        <w:rPr>
          <w:rFonts w:asciiTheme="minorHAnsi" w:hAnsiTheme="minorHAnsi"/>
          <w:b/>
          <w:color w:val="000000" w:themeColor="text1"/>
          <w:sz w:val="22"/>
          <w:szCs w:val="22"/>
        </w:rPr>
      </w:pPr>
      <w:r>
        <w:rPr>
          <w:rFonts w:ascii="Calibri" w:hAnsi="Calibri" w:cs="Calibri"/>
          <w:b/>
          <w:sz w:val="22"/>
          <w:szCs w:val="22"/>
        </w:rPr>
        <w:t>#</w:t>
      </w:r>
      <w:r w:rsidR="00552087" w:rsidRPr="00AE15DA">
        <w:rPr>
          <w:rFonts w:asciiTheme="minorHAnsi" w:hAnsiTheme="minorHAnsi"/>
          <w:b/>
          <w:color w:val="000000" w:themeColor="text1"/>
          <w:sz w:val="22"/>
          <w:szCs w:val="22"/>
        </w:rPr>
        <w:t>J3.</w:t>
      </w:r>
      <w:r w:rsidR="006C7F78" w:rsidRPr="00AE15DA">
        <w:rPr>
          <w:rFonts w:asciiTheme="minorHAnsi" w:hAnsiTheme="minorHAnsi"/>
          <w:b/>
          <w:color w:val="000000" w:themeColor="text1"/>
          <w:sz w:val="22"/>
          <w:szCs w:val="22"/>
        </w:rPr>
        <w:t xml:space="preserve"> </w:t>
      </w:r>
      <w:r w:rsidR="00463E1D" w:rsidRPr="00463E1D">
        <w:rPr>
          <w:rFonts w:asciiTheme="minorHAnsi" w:hAnsiTheme="minorHAnsi"/>
          <w:b/>
          <w:color w:val="000000" w:themeColor="text1"/>
          <w:sz w:val="22"/>
          <w:szCs w:val="22"/>
        </w:rPr>
        <w:t>Suplementacja nie jest odpowiednia u pacjentów przyjmujących warfarynę (ze względu na możliwe zwiększone ryzyko krwawienia)</w:t>
      </w:r>
    </w:p>
    <w:p w:rsidR="00F613FF" w:rsidRPr="00AE15DA" w:rsidRDefault="00552087" w:rsidP="0043334F">
      <w:pPr>
        <w:contextualSpacing/>
        <w:jc w:val="both"/>
        <w:rPr>
          <w:rFonts w:asciiTheme="minorHAnsi" w:hAnsiTheme="minorHAnsi"/>
          <w:i/>
          <w:color w:val="000000" w:themeColor="text1"/>
          <w:sz w:val="22"/>
          <w:szCs w:val="22"/>
        </w:rPr>
      </w:pPr>
      <w:r w:rsidRPr="00AE15DA">
        <w:rPr>
          <w:rFonts w:asciiTheme="minorHAnsi" w:hAnsiTheme="minorHAnsi"/>
          <w:color w:val="000000" w:themeColor="text1"/>
          <w:sz w:val="22"/>
          <w:szCs w:val="22"/>
        </w:rPr>
        <w:t>*</w:t>
      </w:r>
      <w:r w:rsidR="00463E1D" w:rsidRPr="00463E1D">
        <w:rPr>
          <w:rFonts w:asciiTheme="minorHAnsi" w:hAnsiTheme="minorHAnsi"/>
          <w:i/>
          <w:color w:val="000000" w:themeColor="text1"/>
          <w:sz w:val="22"/>
          <w:szCs w:val="22"/>
        </w:rPr>
        <w:t xml:space="preserve">Wiele suplementów stosowanych doustnie </w:t>
      </w:r>
      <w:proofErr w:type="gramStart"/>
      <w:r w:rsidR="00463E1D" w:rsidRPr="00463E1D">
        <w:rPr>
          <w:rFonts w:asciiTheme="minorHAnsi" w:hAnsiTheme="minorHAnsi"/>
          <w:i/>
          <w:color w:val="000000" w:themeColor="text1"/>
          <w:sz w:val="22"/>
          <w:szCs w:val="22"/>
        </w:rPr>
        <w:t>(</w:t>
      </w:r>
      <w:proofErr w:type="gramEnd"/>
      <w:r w:rsidR="00463E1D" w:rsidRPr="00463E1D">
        <w:rPr>
          <w:rFonts w:asciiTheme="minorHAnsi" w:hAnsiTheme="minorHAnsi"/>
          <w:i/>
          <w:color w:val="000000" w:themeColor="text1"/>
          <w:sz w:val="22"/>
          <w:szCs w:val="22"/>
        </w:rPr>
        <w:t>np. żeń-szeń, czosnek, kurkuma, imbir, diabelski pazur, ziele dziurawca, koenzym Q10, zielona herbata itp.</w:t>
      </w:r>
      <w:proofErr w:type="gramStart"/>
      <w:r w:rsidR="00463E1D" w:rsidRPr="00463E1D">
        <w:rPr>
          <w:rFonts w:asciiTheme="minorHAnsi" w:hAnsiTheme="minorHAnsi"/>
          <w:i/>
          <w:color w:val="000000" w:themeColor="text1"/>
          <w:sz w:val="22"/>
          <w:szCs w:val="22"/>
        </w:rPr>
        <w:t>)</w:t>
      </w:r>
      <w:proofErr w:type="gramEnd"/>
      <w:r w:rsidR="00463E1D" w:rsidRPr="00463E1D">
        <w:rPr>
          <w:rFonts w:asciiTheme="minorHAnsi" w:hAnsiTheme="minorHAnsi"/>
          <w:i/>
          <w:color w:val="000000" w:themeColor="text1"/>
          <w:sz w:val="22"/>
          <w:szCs w:val="22"/>
        </w:rPr>
        <w:t xml:space="preserve"> może zwiększać ryzyko krwawienia poprzez nasilanie przeciwz</w:t>
      </w:r>
      <w:r w:rsidR="00463E1D">
        <w:rPr>
          <w:rFonts w:asciiTheme="minorHAnsi" w:hAnsiTheme="minorHAnsi"/>
          <w:i/>
          <w:color w:val="000000" w:themeColor="text1"/>
          <w:sz w:val="22"/>
          <w:szCs w:val="22"/>
        </w:rPr>
        <w:t>akrzepowego działania warfaryny</w:t>
      </w:r>
      <w:r w:rsidRPr="00AE15DA">
        <w:rPr>
          <w:rFonts w:asciiTheme="minorHAnsi" w:hAnsiTheme="minorHAnsi"/>
          <w:i/>
          <w:color w:val="000000" w:themeColor="text1"/>
          <w:sz w:val="22"/>
          <w:szCs w:val="22"/>
        </w:rPr>
        <w:t>.</w:t>
      </w:r>
    </w:p>
    <w:p w:rsidR="00F613FF" w:rsidRPr="00AE15DA" w:rsidRDefault="00F613FF" w:rsidP="0043334F">
      <w:pPr>
        <w:contextualSpacing/>
        <w:jc w:val="both"/>
        <w:rPr>
          <w:rFonts w:asciiTheme="minorHAnsi" w:hAnsiTheme="minorHAnsi"/>
          <w:i/>
          <w:color w:val="000000" w:themeColor="text1"/>
          <w:sz w:val="22"/>
          <w:szCs w:val="22"/>
        </w:rPr>
      </w:pPr>
    </w:p>
    <w:p w:rsidR="00846115" w:rsidRDefault="00846115"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FC26A6" w:rsidRDefault="00FC26A6"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000000"/>
          <w:sz w:val="22"/>
          <w:szCs w:val="22"/>
        </w:rPr>
      </w:pPr>
    </w:p>
    <w:p w:rsidR="00121BFE" w:rsidRPr="000C6676" w:rsidRDefault="00463E1D" w:rsidP="00121BFE">
      <w:pPr>
        <w:contextualSpacing/>
        <w:jc w:val="both"/>
        <w:rPr>
          <w:rFonts w:asciiTheme="minorHAnsi" w:hAnsiTheme="minorHAnsi" w:cstheme="minorHAnsi"/>
          <w:bCs/>
          <w:i/>
        </w:rPr>
        <w:sectPr w:rsidR="00121BFE" w:rsidRPr="000C6676" w:rsidSect="003E168B">
          <w:pgSz w:w="11906" w:h="16838"/>
          <w:pgMar w:top="1417" w:right="1417" w:bottom="1417" w:left="1417" w:header="708" w:footer="708" w:gutter="0"/>
          <w:cols w:space="708"/>
          <w:docGrid w:linePitch="360"/>
        </w:sectPr>
      </w:pPr>
      <w:r w:rsidRPr="00463E1D">
        <w:rPr>
          <w:rFonts w:asciiTheme="minorHAnsi" w:hAnsiTheme="minorHAnsi" w:cstheme="minorHAnsi"/>
          <w:bCs/>
          <w:i/>
        </w:rPr>
        <w:t>Kryteria braku konsensusu w #Międzynarodowym badaniu panelowym Delphi</w:t>
      </w:r>
    </w:p>
    <w:tbl>
      <w:tblPr>
        <w:tblpPr w:leftFromText="141" w:rightFromText="141" w:vertAnchor="text" w:horzAnchor="margin" w:tblpY="-1030"/>
        <w:tblW w:w="6877" w:type="dxa"/>
        <w:tblCellMar>
          <w:left w:w="70" w:type="dxa"/>
          <w:right w:w="70" w:type="dxa"/>
        </w:tblCellMar>
        <w:tblLook w:val="04A0"/>
      </w:tblPr>
      <w:tblGrid>
        <w:gridCol w:w="6877"/>
      </w:tblGrid>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Default="00463E1D" w:rsidP="00FC26A6">
            <w:pPr>
              <w:rPr>
                <w:rFonts w:ascii="Calibri" w:hAnsi="Calibri"/>
                <w:b/>
              </w:rPr>
            </w:pPr>
            <w:r w:rsidRPr="00463E1D">
              <w:rPr>
                <w:rFonts w:ascii="Calibri" w:hAnsi="Calibri"/>
                <w:b/>
              </w:rPr>
              <w:lastRenderedPageBreak/>
              <w:t>Skróty</w:t>
            </w:r>
            <w:r w:rsidR="00FC26A6">
              <w:rPr>
                <w:rFonts w:ascii="Calibri" w:hAnsi="Calibri"/>
                <w:b/>
              </w:rPr>
              <w:t>:</w:t>
            </w:r>
          </w:p>
          <w:p w:rsidR="00FC26A6" w:rsidRDefault="00FC26A6" w:rsidP="00FC26A6">
            <w:pPr>
              <w:rPr>
                <w:rFonts w:ascii="Calibri" w:hAnsi="Calibri"/>
                <w:b/>
              </w:rPr>
            </w:pPr>
          </w:p>
          <w:p w:rsidR="00463E1D" w:rsidRPr="00463E1D" w:rsidRDefault="00463E1D" w:rsidP="00463E1D">
            <w:pPr>
              <w:rPr>
                <w:rFonts w:ascii="Calibri" w:hAnsi="Calibri"/>
                <w:bCs/>
              </w:rPr>
            </w:pPr>
            <w:r w:rsidRPr="00463E1D">
              <w:rPr>
                <w:rFonts w:ascii="Calibri" w:hAnsi="Calibri"/>
                <w:bCs/>
              </w:rPr>
              <w:t>AF: migotanie przedsionków</w:t>
            </w:r>
          </w:p>
          <w:p w:rsidR="00FC26A6" w:rsidRPr="0063161F" w:rsidRDefault="00463E1D" w:rsidP="00463E1D">
            <w:pPr>
              <w:rPr>
                <w:rFonts w:ascii="Calibri" w:hAnsi="Calibri"/>
              </w:rPr>
            </w:pPr>
            <w:r w:rsidRPr="00463E1D">
              <w:rPr>
                <w:rFonts w:ascii="Calibri" w:hAnsi="Calibri"/>
                <w:bCs/>
              </w:rPr>
              <w:t>ACEI: inhibitory konwertazy angiotensyny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ARB: blokery receptora angiotensyny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463E1D" w:rsidRDefault="00463E1D" w:rsidP="00FC26A6">
            <w:pPr>
              <w:rPr>
                <w:rFonts w:ascii="Calibri" w:hAnsi="Calibri"/>
              </w:rPr>
            </w:pPr>
            <w:r w:rsidRPr="00463E1D">
              <w:rPr>
                <w:rFonts w:ascii="Calibri" w:hAnsi="Calibri"/>
              </w:rPr>
              <w:t>ChEI: inhibitory acetylocholinesterazy</w:t>
            </w:r>
          </w:p>
          <w:p w:rsidR="00FC26A6" w:rsidRPr="0063161F" w:rsidRDefault="00463E1D" w:rsidP="00FC26A6">
            <w:pPr>
              <w:rPr>
                <w:rFonts w:ascii="Calibri" w:hAnsi="Calibri"/>
              </w:rPr>
            </w:pPr>
            <w:r w:rsidRPr="00463E1D">
              <w:rPr>
                <w:rFonts w:ascii="Calibri" w:hAnsi="Calibri"/>
              </w:rPr>
              <w:t>DM: cukrzyca</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EF: Frakcja wyrzutowa</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eGFR: Szacowany współczynnik filtracji kłębuszkowej</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FDA: Agencja ds. Żywności i Leków</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GIS: Układ pokarmowy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463E1D" w:rsidRDefault="00463E1D" w:rsidP="00FC26A6">
            <w:pPr>
              <w:rPr>
                <w:rFonts w:ascii="Calibri" w:hAnsi="Calibri"/>
              </w:rPr>
            </w:pPr>
            <w:r>
              <w:rPr>
                <w:rFonts w:ascii="Calibri" w:hAnsi="Calibri"/>
              </w:rPr>
              <w:t>G</w:t>
            </w:r>
            <w:r w:rsidRPr="00463E1D">
              <w:rPr>
                <w:rFonts w:ascii="Calibri" w:hAnsi="Calibri"/>
              </w:rPr>
              <w:t>IA: Przejściowy atak niedokrwienny</w:t>
            </w:r>
          </w:p>
          <w:p w:rsidR="00FC26A6" w:rsidRPr="0063161F" w:rsidRDefault="00463E1D" w:rsidP="00FC26A6">
            <w:pPr>
              <w:rPr>
                <w:rFonts w:ascii="Calibri" w:hAnsi="Calibri"/>
              </w:rPr>
            </w:pPr>
            <w:r>
              <w:rPr>
                <w:rFonts w:ascii="Calibri" w:hAnsi="Calibri"/>
              </w:rPr>
              <w:t>GO</w:t>
            </w:r>
            <w:r w:rsidRPr="00463E1D">
              <w:rPr>
                <w:rFonts w:ascii="Calibri" w:hAnsi="Calibri"/>
              </w:rPr>
              <w:t>R: refluks żołądkowo-przełykowy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Default="00463E1D" w:rsidP="00FC26A6">
            <w:pPr>
              <w:rPr>
                <w:rFonts w:ascii="Calibri" w:hAnsi="Calibri"/>
              </w:rPr>
            </w:pPr>
            <w:r w:rsidRPr="00463E1D">
              <w:rPr>
                <w:rFonts w:ascii="Calibri" w:hAnsi="Calibri"/>
              </w:rPr>
              <w:t>Receptor H1: receptor histaminy 1</w:t>
            </w:r>
          </w:p>
          <w:p w:rsidR="00FC26A6" w:rsidRPr="0063161F" w:rsidRDefault="00463E1D" w:rsidP="00FC26A6">
            <w:pPr>
              <w:rPr>
                <w:rFonts w:ascii="Calibri" w:hAnsi="Calibri"/>
              </w:rPr>
            </w:pPr>
            <w:r w:rsidRPr="00463E1D">
              <w:rPr>
                <w:rFonts w:ascii="Calibri" w:hAnsi="Calibri"/>
              </w:rPr>
              <w:t>HT: nadciśnienie</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INR: Międzynarodowy Współczynnik Znormalizowany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FC26A6" w:rsidP="00463E1D">
            <w:pPr>
              <w:rPr>
                <w:rFonts w:ascii="Calibri" w:hAnsi="Calibri"/>
              </w:rPr>
            </w:pPr>
            <w:r>
              <w:rPr>
                <w:rFonts w:ascii="Calibri" w:hAnsi="Calibri"/>
              </w:rPr>
              <w:t>KOAH</w:t>
            </w:r>
            <w:r w:rsidRPr="0063161F">
              <w:rPr>
                <w:rFonts w:ascii="Calibri" w:hAnsi="Calibri"/>
              </w:rPr>
              <w:t xml:space="preserve">: </w:t>
            </w:r>
            <w:r w:rsidR="00463E1D" w:rsidRPr="00463E1D">
              <w:rPr>
                <w:rFonts w:ascii="Calibri" w:hAnsi="Calibri"/>
              </w:rPr>
              <w:t>przewlekła obturacyjna choroba płuc</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LUTS: objawy z dolnych dróg moczowych</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463E1D" w:rsidRDefault="00463E1D" w:rsidP="00FC26A6">
            <w:pPr>
              <w:rPr>
                <w:rFonts w:ascii="Calibri" w:hAnsi="Calibri"/>
              </w:rPr>
            </w:pPr>
            <w:r w:rsidRPr="00463E1D">
              <w:rPr>
                <w:rFonts w:ascii="Calibri" w:hAnsi="Calibri"/>
              </w:rPr>
              <w:t>MI: zawał mięśnia sercowego</w:t>
            </w:r>
          </w:p>
          <w:p w:rsidR="00FC26A6" w:rsidRPr="0063161F" w:rsidRDefault="00FC26A6" w:rsidP="00463E1D">
            <w:pPr>
              <w:rPr>
                <w:rFonts w:ascii="Calibri" w:hAnsi="Calibri"/>
              </w:rPr>
            </w:pPr>
            <w:r>
              <w:rPr>
                <w:rFonts w:ascii="Calibri" w:hAnsi="Calibri"/>
              </w:rPr>
              <w:t xml:space="preserve">MSS: </w:t>
            </w:r>
            <w:r w:rsidR="00463E1D" w:rsidRPr="00463E1D">
              <w:rPr>
                <w:rFonts w:ascii="Calibri" w:hAnsi="Calibri"/>
              </w:rPr>
              <w:t>centralny układ nerwowy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FC26A6" w:rsidP="00463E1D">
            <w:pPr>
              <w:rPr>
                <w:rFonts w:ascii="Calibri" w:hAnsi="Calibri"/>
              </w:rPr>
            </w:pPr>
            <w:r w:rsidRPr="0063161F">
              <w:rPr>
                <w:rFonts w:ascii="Calibri" w:hAnsi="Calibri"/>
              </w:rPr>
              <w:t>NSA</w:t>
            </w:r>
            <w:r w:rsidR="00463E1D">
              <w:rPr>
                <w:rFonts w:ascii="Calibri" w:hAnsi="Calibri"/>
              </w:rPr>
              <w:t>II</w:t>
            </w:r>
            <w:r w:rsidRPr="0063161F">
              <w:rPr>
                <w:rFonts w:ascii="Calibri" w:hAnsi="Calibri"/>
              </w:rPr>
              <w:t xml:space="preserve">: </w:t>
            </w:r>
            <w:r w:rsidR="00463E1D" w:rsidRPr="00463E1D">
              <w:rPr>
                <w:rFonts w:ascii="Calibri" w:hAnsi="Calibri"/>
              </w:rPr>
              <w:t>niesteroidowe leki przeciwzapalne</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FC26A6" w:rsidP="00463E1D">
            <w:pPr>
              <w:rPr>
                <w:rFonts w:ascii="Calibri" w:hAnsi="Calibri"/>
              </w:rPr>
            </w:pPr>
            <w:r w:rsidRPr="0063161F">
              <w:rPr>
                <w:rFonts w:ascii="Calibri" w:hAnsi="Calibri"/>
              </w:rPr>
              <w:t xml:space="preserve">NYHA: </w:t>
            </w:r>
            <w:r w:rsidR="00463E1D" w:rsidRPr="00463E1D">
              <w:rPr>
                <w:rFonts w:ascii="Calibri" w:hAnsi="Calibri"/>
              </w:rPr>
              <w:t>Nowojorskie Stowarzyszenie Serca</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FC26A6" w:rsidP="00463E1D">
            <w:pPr>
              <w:rPr>
                <w:rFonts w:ascii="Calibri" w:hAnsi="Calibri"/>
              </w:rPr>
            </w:pPr>
            <w:r w:rsidRPr="0063161F">
              <w:rPr>
                <w:rFonts w:ascii="Calibri" w:hAnsi="Calibri"/>
              </w:rPr>
              <w:t>OA</w:t>
            </w:r>
            <w:r>
              <w:rPr>
                <w:rFonts w:ascii="Calibri" w:hAnsi="Calibri"/>
              </w:rPr>
              <w:t>K</w:t>
            </w:r>
            <w:r w:rsidRPr="0063161F">
              <w:rPr>
                <w:rFonts w:ascii="Calibri" w:hAnsi="Calibri"/>
              </w:rPr>
              <w:t xml:space="preserve">: </w:t>
            </w:r>
            <w:r w:rsidR="00463E1D" w:rsidRPr="00463E1D">
              <w:rPr>
                <w:rFonts w:ascii="Calibri" w:hAnsi="Calibri"/>
              </w:rPr>
              <w:t>doustny antykoagulant</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63E1D" w:rsidP="00FC26A6">
            <w:pPr>
              <w:rPr>
                <w:rFonts w:ascii="Calibri" w:hAnsi="Calibri"/>
              </w:rPr>
            </w:pPr>
            <w:r w:rsidRPr="00463E1D">
              <w:rPr>
                <w:rFonts w:ascii="Calibri" w:hAnsi="Calibri"/>
              </w:rPr>
              <w:t>PMR: Pozostałość po mikcji</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pO2: Częściowe ciśnienie tlenu</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PPI: Inhibitory pompy protonowej</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QTc: skorygowany odstęp QT</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RAS: układ renina-angiotensyna</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SGLT-2: kotransporter sodowo-glukozowy-2</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SNRI: inhibitory wychwytu zwrotnego serotoniny i noradrenaliny</w:t>
            </w:r>
          </w:p>
        </w:tc>
      </w:tr>
      <w:tr w:rsidR="00FC26A6" w:rsidRPr="0063161F" w:rsidTr="00FC26A6">
        <w:trPr>
          <w:trHeight w:val="269"/>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SSRI: selektywne inhibitory wychwytu zwrotnego serotoniny</w:t>
            </w:r>
          </w:p>
        </w:tc>
      </w:tr>
      <w:tr w:rsidR="00FC26A6" w:rsidRPr="0063161F" w:rsidTr="00FC26A6">
        <w:trPr>
          <w:trHeight w:val="71"/>
        </w:trPr>
        <w:tc>
          <w:tcPr>
            <w:tcW w:w="6877" w:type="dxa"/>
            <w:tcBorders>
              <w:top w:val="nil"/>
              <w:left w:val="nil"/>
              <w:bottom w:val="nil"/>
              <w:right w:val="nil"/>
            </w:tcBorders>
            <w:shd w:val="clear" w:color="auto" w:fill="auto"/>
            <w:noWrap/>
            <w:vAlign w:val="bottom"/>
            <w:hideMark/>
          </w:tcPr>
          <w:p w:rsidR="00FC26A6" w:rsidRPr="0063161F" w:rsidRDefault="00443302" w:rsidP="00FC26A6">
            <w:pPr>
              <w:rPr>
                <w:rFonts w:ascii="Calibri" w:hAnsi="Calibri"/>
              </w:rPr>
            </w:pPr>
            <w:r w:rsidRPr="00443302">
              <w:rPr>
                <w:rFonts w:ascii="Calibri" w:hAnsi="Calibri"/>
              </w:rPr>
              <w:t>TSH: hormon stymulujący tarczycę</w:t>
            </w:r>
          </w:p>
        </w:tc>
      </w:tr>
    </w:tbl>
    <w:p w:rsidR="00E66E29" w:rsidRDefault="00E66E29" w:rsidP="004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p>
    <w:p w:rsidR="001978D3" w:rsidRPr="00181929" w:rsidRDefault="001978D3" w:rsidP="0043334F">
      <w:pPr>
        <w:contextualSpacing/>
        <w:jc w:val="both"/>
        <w:rPr>
          <w:rFonts w:asciiTheme="minorHAnsi" w:hAnsiTheme="minorHAnsi"/>
          <w:b/>
          <w:i/>
          <w:sz w:val="22"/>
          <w:szCs w:val="22"/>
        </w:rPr>
        <w:sectPr w:rsidR="001978D3" w:rsidRPr="00181929" w:rsidSect="003E168B">
          <w:pgSz w:w="11906" w:h="16838"/>
          <w:pgMar w:top="1417" w:right="1417" w:bottom="1417" w:left="1417" w:header="708" w:footer="708" w:gutter="0"/>
          <w:cols w:space="708"/>
          <w:docGrid w:linePitch="360"/>
        </w:sectPr>
      </w:pPr>
    </w:p>
    <w:p w:rsidR="004F6EEC" w:rsidRPr="00181929" w:rsidRDefault="004F6EEC" w:rsidP="0043334F">
      <w:pPr>
        <w:spacing w:after="160"/>
        <w:contextualSpacing/>
        <w:rPr>
          <w:rFonts w:asciiTheme="minorHAnsi" w:hAnsiTheme="minorHAnsi"/>
          <w:color w:val="000000" w:themeColor="text1"/>
          <w:sz w:val="22"/>
          <w:szCs w:val="22"/>
          <w:vertAlign w:val="superscript"/>
        </w:rPr>
      </w:pPr>
    </w:p>
    <w:sectPr w:rsidR="004F6EEC" w:rsidRPr="00181929" w:rsidSect="003E1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Neue">
    <w:altName w:val="Helvetica Neue"/>
    <w:charset w:val="00"/>
    <w:family w:val="auto"/>
    <w:pitch w:val="variable"/>
    <w:sig w:usb0="E50002FF"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976"/>
    <w:multiLevelType w:val="multilevel"/>
    <w:tmpl w:val="002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64D1"/>
    <w:multiLevelType w:val="hybridMultilevel"/>
    <w:tmpl w:val="CD9A3100"/>
    <w:lvl w:ilvl="0" w:tplc="C5BA26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57070F"/>
    <w:multiLevelType w:val="hybridMultilevel"/>
    <w:tmpl w:val="EC4473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956F4"/>
    <w:multiLevelType w:val="hybridMultilevel"/>
    <w:tmpl w:val="E4D8DB2A"/>
    <w:lvl w:ilvl="0" w:tplc="36FE1B8A">
      <w:start w:val="8"/>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2006E8"/>
    <w:multiLevelType w:val="multilevel"/>
    <w:tmpl w:val="332A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24521"/>
    <w:multiLevelType w:val="multilevel"/>
    <w:tmpl w:val="67E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A1603"/>
    <w:multiLevelType w:val="multilevel"/>
    <w:tmpl w:val="2F2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741A2D"/>
    <w:multiLevelType w:val="hybridMultilevel"/>
    <w:tmpl w:val="ED102BF2"/>
    <w:lvl w:ilvl="0" w:tplc="16A4F3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B33A2"/>
    <w:multiLevelType w:val="multilevel"/>
    <w:tmpl w:val="20E0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F30FB"/>
    <w:multiLevelType w:val="hybridMultilevel"/>
    <w:tmpl w:val="73306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410C3D"/>
    <w:multiLevelType w:val="multilevel"/>
    <w:tmpl w:val="6C32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85B02"/>
    <w:multiLevelType w:val="multilevel"/>
    <w:tmpl w:val="435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C1E43"/>
    <w:multiLevelType w:val="multilevel"/>
    <w:tmpl w:val="4E6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900095"/>
    <w:multiLevelType w:val="multilevel"/>
    <w:tmpl w:val="E79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EE6178"/>
    <w:multiLevelType w:val="multilevel"/>
    <w:tmpl w:val="E7F6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734F2"/>
    <w:multiLevelType w:val="hybridMultilevel"/>
    <w:tmpl w:val="7D688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36123C"/>
    <w:multiLevelType w:val="multilevel"/>
    <w:tmpl w:val="8346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91A2A"/>
    <w:multiLevelType w:val="multilevel"/>
    <w:tmpl w:val="F24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041E0B"/>
    <w:multiLevelType w:val="multilevel"/>
    <w:tmpl w:val="991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E40DB"/>
    <w:multiLevelType w:val="multilevel"/>
    <w:tmpl w:val="99CC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28752C"/>
    <w:multiLevelType w:val="multilevel"/>
    <w:tmpl w:val="D31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872E55"/>
    <w:multiLevelType w:val="multilevel"/>
    <w:tmpl w:val="6B76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D30F27"/>
    <w:multiLevelType w:val="hybridMultilevel"/>
    <w:tmpl w:val="F7E6D4B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6E54DA"/>
    <w:multiLevelType w:val="multilevel"/>
    <w:tmpl w:val="EB7A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131156"/>
    <w:multiLevelType w:val="multilevel"/>
    <w:tmpl w:val="A1A2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AE1825"/>
    <w:multiLevelType w:val="multilevel"/>
    <w:tmpl w:val="043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C465DE"/>
    <w:multiLevelType w:val="hybridMultilevel"/>
    <w:tmpl w:val="382413DE"/>
    <w:lvl w:ilvl="0" w:tplc="000AFE02">
      <w:start w:val="201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173396"/>
    <w:multiLevelType w:val="hybridMultilevel"/>
    <w:tmpl w:val="A2F656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4FFE0002"/>
    <w:multiLevelType w:val="hybridMultilevel"/>
    <w:tmpl w:val="2A2E86BE"/>
    <w:lvl w:ilvl="0" w:tplc="D1F07BDC">
      <w:start w:val="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2F1B2C"/>
    <w:multiLevelType w:val="multilevel"/>
    <w:tmpl w:val="5DF4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384945"/>
    <w:multiLevelType w:val="hybridMultilevel"/>
    <w:tmpl w:val="E5AC8848"/>
    <w:lvl w:ilvl="0" w:tplc="FEA21AC2">
      <w:start w:val="3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5049EF"/>
    <w:multiLevelType w:val="multilevel"/>
    <w:tmpl w:val="16CE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D37E79"/>
    <w:multiLevelType w:val="hybridMultilevel"/>
    <w:tmpl w:val="C714D806"/>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C5622A8"/>
    <w:multiLevelType w:val="hybridMultilevel"/>
    <w:tmpl w:val="BFDE5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CC20DA"/>
    <w:multiLevelType w:val="hybridMultilevel"/>
    <w:tmpl w:val="12EC5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C43D0B"/>
    <w:multiLevelType w:val="hybridMultilevel"/>
    <w:tmpl w:val="936AF2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CF2E18"/>
    <w:multiLevelType w:val="multilevel"/>
    <w:tmpl w:val="1EBE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A22571"/>
    <w:multiLevelType w:val="multilevel"/>
    <w:tmpl w:val="54BC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0870A7"/>
    <w:multiLevelType w:val="hybridMultilevel"/>
    <w:tmpl w:val="2A7E90CE"/>
    <w:lvl w:ilvl="0" w:tplc="CC382E9C">
      <w:start w:val="1"/>
      <w:numFmt w:val="bullet"/>
      <w:lvlText w:val="•"/>
      <w:lvlJc w:val="left"/>
      <w:pPr>
        <w:tabs>
          <w:tab w:val="num" w:pos="720"/>
        </w:tabs>
        <w:ind w:left="720" w:hanging="360"/>
      </w:pPr>
      <w:rPr>
        <w:rFonts w:ascii="Arial" w:hAnsi="Arial" w:hint="default"/>
      </w:rPr>
    </w:lvl>
    <w:lvl w:ilvl="1" w:tplc="7CD8C6BC" w:tentative="1">
      <w:start w:val="1"/>
      <w:numFmt w:val="bullet"/>
      <w:lvlText w:val="•"/>
      <w:lvlJc w:val="left"/>
      <w:pPr>
        <w:tabs>
          <w:tab w:val="num" w:pos="1440"/>
        </w:tabs>
        <w:ind w:left="1440" w:hanging="360"/>
      </w:pPr>
      <w:rPr>
        <w:rFonts w:ascii="Arial" w:hAnsi="Arial" w:hint="default"/>
      </w:rPr>
    </w:lvl>
    <w:lvl w:ilvl="2" w:tplc="9014CDB8" w:tentative="1">
      <w:start w:val="1"/>
      <w:numFmt w:val="bullet"/>
      <w:lvlText w:val="•"/>
      <w:lvlJc w:val="left"/>
      <w:pPr>
        <w:tabs>
          <w:tab w:val="num" w:pos="2160"/>
        </w:tabs>
        <w:ind w:left="2160" w:hanging="360"/>
      </w:pPr>
      <w:rPr>
        <w:rFonts w:ascii="Arial" w:hAnsi="Arial" w:hint="default"/>
      </w:rPr>
    </w:lvl>
    <w:lvl w:ilvl="3" w:tplc="A38EFF6E" w:tentative="1">
      <w:start w:val="1"/>
      <w:numFmt w:val="bullet"/>
      <w:lvlText w:val="•"/>
      <w:lvlJc w:val="left"/>
      <w:pPr>
        <w:tabs>
          <w:tab w:val="num" w:pos="2880"/>
        </w:tabs>
        <w:ind w:left="2880" w:hanging="360"/>
      </w:pPr>
      <w:rPr>
        <w:rFonts w:ascii="Arial" w:hAnsi="Arial" w:hint="default"/>
      </w:rPr>
    </w:lvl>
    <w:lvl w:ilvl="4" w:tplc="EC423EC0" w:tentative="1">
      <w:start w:val="1"/>
      <w:numFmt w:val="bullet"/>
      <w:lvlText w:val="•"/>
      <w:lvlJc w:val="left"/>
      <w:pPr>
        <w:tabs>
          <w:tab w:val="num" w:pos="3600"/>
        </w:tabs>
        <w:ind w:left="3600" w:hanging="360"/>
      </w:pPr>
      <w:rPr>
        <w:rFonts w:ascii="Arial" w:hAnsi="Arial" w:hint="default"/>
      </w:rPr>
    </w:lvl>
    <w:lvl w:ilvl="5" w:tplc="A40C065C" w:tentative="1">
      <w:start w:val="1"/>
      <w:numFmt w:val="bullet"/>
      <w:lvlText w:val="•"/>
      <w:lvlJc w:val="left"/>
      <w:pPr>
        <w:tabs>
          <w:tab w:val="num" w:pos="4320"/>
        </w:tabs>
        <w:ind w:left="4320" w:hanging="360"/>
      </w:pPr>
      <w:rPr>
        <w:rFonts w:ascii="Arial" w:hAnsi="Arial" w:hint="default"/>
      </w:rPr>
    </w:lvl>
    <w:lvl w:ilvl="6" w:tplc="4D4A99C6" w:tentative="1">
      <w:start w:val="1"/>
      <w:numFmt w:val="bullet"/>
      <w:lvlText w:val="•"/>
      <w:lvlJc w:val="left"/>
      <w:pPr>
        <w:tabs>
          <w:tab w:val="num" w:pos="5040"/>
        </w:tabs>
        <w:ind w:left="5040" w:hanging="360"/>
      </w:pPr>
      <w:rPr>
        <w:rFonts w:ascii="Arial" w:hAnsi="Arial" w:hint="default"/>
      </w:rPr>
    </w:lvl>
    <w:lvl w:ilvl="7" w:tplc="F050B3AE" w:tentative="1">
      <w:start w:val="1"/>
      <w:numFmt w:val="bullet"/>
      <w:lvlText w:val="•"/>
      <w:lvlJc w:val="left"/>
      <w:pPr>
        <w:tabs>
          <w:tab w:val="num" w:pos="5760"/>
        </w:tabs>
        <w:ind w:left="5760" w:hanging="360"/>
      </w:pPr>
      <w:rPr>
        <w:rFonts w:ascii="Arial" w:hAnsi="Arial" w:hint="default"/>
      </w:rPr>
    </w:lvl>
    <w:lvl w:ilvl="8" w:tplc="C928892E" w:tentative="1">
      <w:start w:val="1"/>
      <w:numFmt w:val="bullet"/>
      <w:lvlText w:val="•"/>
      <w:lvlJc w:val="left"/>
      <w:pPr>
        <w:tabs>
          <w:tab w:val="num" w:pos="6480"/>
        </w:tabs>
        <w:ind w:left="6480" w:hanging="360"/>
      </w:pPr>
      <w:rPr>
        <w:rFonts w:ascii="Arial" w:hAnsi="Arial" w:hint="default"/>
      </w:rPr>
    </w:lvl>
  </w:abstractNum>
  <w:abstractNum w:abstractNumId="39">
    <w:nsid w:val="668B32D6"/>
    <w:multiLevelType w:val="multilevel"/>
    <w:tmpl w:val="D88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183197"/>
    <w:multiLevelType w:val="hybridMultilevel"/>
    <w:tmpl w:val="7B26086E"/>
    <w:lvl w:ilvl="0" w:tplc="A0E85586">
      <w:start w:val="1"/>
      <w:numFmt w:val="bullet"/>
      <w:lvlText w:val="•"/>
      <w:lvlJc w:val="left"/>
      <w:pPr>
        <w:tabs>
          <w:tab w:val="num" w:pos="720"/>
        </w:tabs>
        <w:ind w:left="720" w:hanging="360"/>
      </w:pPr>
      <w:rPr>
        <w:rFonts w:ascii="Arial" w:hAnsi="Arial" w:hint="default"/>
      </w:rPr>
    </w:lvl>
    <w:lvl w:ilvl="1" w:tplc="605E841C" w:tentative="1">
      <w:start w:val="1"/>
      <w:numFmt w:val="bullet"/>
      <w:lvlText w:val="•"/>
      <w:lvlJc w:val="left"/>
      <w:pPr>
        <w:tabs>
          <w:tab w:val="num" w:pos="1440"/>
        </w:tabs>
        <w:ind w:left="1440" w:hanging="360"/>
      </w:pPr>
      <w:rPr>
        <w:rFonts w:ascii="Arial" w:hAnsi="Arial" w:hint="default"/>
      </w:rPr>
    </w:lvl>
    <w:lvl w:ilvl="2" w:tplc="AFA6182E" w:tentative="1">
      <w:start w:val="1"/>
      <w:numFmt w:val="bullet"/>
      <w:lvlText w:val="•"/>
      <w:lvlJc w:val="left"/>
      <w:pPr>
        <w:tabs>
          <w:tab w:val="num" w:pos="2160"/>
        </w:tabs>
        <w:ind w:left="2160" w:hanging="360"/>
      </w:pPr>
      <w:rPr>
        <w:rFonts w:ascii="Arial" w:hAnsi="Arial" w:hint="default"/>
      </w:rPr>
    </w:lvl>
    <w:lvl w:ilvl="3" w:tplc="E026B53C" w:tentative="1">
      <w:start w:val="1"/>
      <w:numFmt w:val="bullet"/>
      <w:lvlText w:val="•"/>
      <w:lvlJc w:val="left"/>
      <w:pPr>
        <w:tabs>
          <w:tab w:val="num" w:pos="2880"/>
        </w:tabs>
        <w:ind w:left="2880" w:hanging="360"/>
      </w:pPr>
      <w:rPr>
        <w:rFonts w:ascii="Arial" w:hAnsi="Arial" w:hint="default"/>
      </w:rPr>
    </w:lvl>
    <w:lvl w:ilvl="4" w:tplc="684E099E" w:tentative="1">
      <w:start w:val="1"/>
      <w:numFmt w:val="bullet"/>
      <w:lvlText w:val="•"/>
      <w:lvlJc w:val="left"/>
      <w:pPr>
        <w:tabs>
          <w:tab w:val="num" w:pos="3600"/>
        </w:tabs>
        <w:ind w:left="3600" w:hanging="360"/>
      </w:pPr>
      <w:rPr>
        <w:rFonts w:ascii="Arial" w:hAnsi="Arial" w:hint="default"/>
      </w:rPr>
    </w:lvl>
    <w:lvl w:ilvl="5" w:tplc="47DE7AC0" w:tentative="1">
      <w:start w:val="1"/>
      <w:numFmt w:val="bullet"/>
      <w:lvlText w:val="•"/>
      <w:lvlJc w:val="left"/>
      <w:pPr>
        <w:tabs>
          <w:tab w:val="num" w:pos="4320"/>
        </w:tabs>
        <w:ind w:left="4320" w:hanging="360"/>
      </w:pPr>
      <w:rPr>
        <w:rFonts w:ascii="Arial" w:hAnsi="Arial" w:hint="default"/>
      </w:rPr>
    </w:lvl>
    <w:lvl w:ilvl="6" w:tplc="77FED8A4" w:tentative="1">
      <w:start w:val="1"/>
      <w:numFmt w:val="bullet"/>
      <w:lvlText w:val="•"/>
      <w:lvlJc w:val="left"/>
      <w:pPr>
        <w:tabs>
          <w:tab w:val="num" w:pos="5040"/>
        </w:tabs>
        <w:ind w:left="5040" w:hanging="360"/>
      </w:pPr>
      <w:rPr>
        <w:rFonts w:ascii="Arial" w:hAnsi="Arial" w:hint="default"/>
      </w:rPr>
    </w:lvl>
    <w:lvl w:ilvl="7" w:tplc="AB9E6166" w:tentative="1">
      <w:start w:val="1"/>
      <w:numFmt w:val="bullet"/>
      <w:lvlText w:val="•"/>
      <w:lvlJc w:val="left"/>
      <w:pPr>
        <w:tabs>
          <w:tab w:val="num" w:pos="5760"/>
        </w:tabs>
        <w:ind w:left="5760" w:hanging="360"/>
      </w:pPr>
      <w:rPr>
        <w:rFonts w:ascii="Arial" w:hAnsi="Arial" w:hint="default"/>
      </w:rPr>
    </w:lvl>
    <w:lvl w:ilvl="8" w:tplc="E11EC7A0" w:tentative="1">
      <w:start w:val="1"/>
      <w:numFmt w:val="bullet"/>
      <w:lvlText w:val="•"/>
      <w:lvlJc w:val="left"/>
      <w:pPr>
        <w:tabs>
          <w:tab w:val="num" w:pos="6480"/>
        </w:tabs>
        <w:ind w:left="6480" w:hanging="360"/>
      </w:pPr>
      <w:rPr>
        <w:rFonts w:ascii="Arial" w:hAnsi="Arial" w:hint="default"/>
      </w:rPr>
    </w:lvl>
  </w:abstractNum>
  <w:abstractNum w:abstractNumId="41">
    <w:nsid w:val="6D327197"/>
    <w:multiLevelType w:val="hybridMultilevel"/>
    <w:tmpl w:val="6DCA464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E5C0981"/>
    <w:multiLevelType w:val="multilevel"/>
    <w:tmpl w:val="9DD2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505D43"/>
    <w:multiLevelType w:val="hybridMultilevel"/>
    <w:tmpl w:val="319A5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3196686"/>
    <w:multiLevelType w:val="multilevel"/>
    <w:tmpl w:val="DFC4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B0A6A"/>
    <w:multiLevelType w:val="hybridMultilevel"/>
    <w:tmpl w:val="5508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AE49F0"/>
    <w:multiLevelType w:val="multilevel"/>
    <w:tmpl w:val="68F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1B52C4"/>
    <w:multiLevelType w:val="multilevel"/>
    <w:tmpl w:val="F9B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536184"/>
    <w:multiLevelType w:val="multilevel"/>
    <w:tmpl w:val="A7E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703D7A"/>
    <w:multiLevelType w:val="multilevel"/>
    <w:tmpl w:val="6C3A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8"/>
  </w:num>
  <w:num w:numId="3">
    <w:abstractNumId w:val="33"/>
  </w:num>
  <w:num w:numId="4">
    <w:abstractNumId w:val="1"/>
  </w:num>
  <w:num w:numId="5">
    <w:abstractNumId w:val="2"/>
  </w:num>
  <w:num w:numId="6">
    <w:abstractNumId w:val="22"/>
  </w:num>
  <w:num w:numId="7">
    <w:abstractNumId w:val="30"/>
  </w:num>
  <w:num w:numId="8">
    <w:abstractNumId w:val="11"/>
  </w:num>
  <w:num w:numId="9">
    <w:abstractNumId w:val="12"/>
  </w:num>
  <w:num w:numId="10">
    <w:abstractNumId w:val="26"/>
  </w:num>
  <w:num w:numId="11">
    <w:abstractNumId w:val="13"/>
  </w:num>
  <w:num w:numId="12">
    <w:abstractNumId w:val="28"/>
  </w:num>
  <w:num w:numId="13">
    <w:abstractNumId w:val="46"/>
  </w:num>
  <w:num w:numId="14">
    <w:abstractNumId w:val="31"/>
  </w:num>
  <w:num w:numId="15">
    <w:abstractNumId w:val="36"/>
  </w:num>
  <w:num w:numId="16">
    <w:abstractNumId w:val="37"/>
  </w:num>
  <w:num w:numId="17">
    <w:abstractNumId w:val="19"/>
  </w:num>
  <w:num w:numId="18">
    <w:abstractNumId w:val="21"/>
  </w:num>
  <w:num w:numId="19">
    <w:abstractNumId w:val="17"/>
  </w:num>
  <w:num w:numId="20">
    <w:abstractNumId w:val="29"/>
  </w:num>
  <w:num w:numId="21">
    <w:abstractNumId w:val="10"/>
  </w:num>
  <w:num w:numId="22">
    <w:abstractNumId w:val="5"/>
  </w:num>
  <w:num w:numId="23">
    <w:abstractNumId w:val="49"/>
  </w:num>
  <w:num w:numId="24">
    <w:abstractNumId w:val="14"/>
  </w:num>
  <w:num w:numId="25">
    <w:abstractNumId w:val="47"/>
  </w:num>
  <w:num w:numId="26">
    <w:abstractNumId w:val="23"/>
  </w:num>
  <w:num w:numId="27">
    <w:abstractNumId w:val="42"/>
  </w:num>
  <w:num w:numId="28">
    <w:abstractNumId w:val="8"/>
  </w:num>
  <w:num w:numId="29">
    <w:abstractNumId w:val="39"/>
  </w:num>
  <w:num w:numId="30">
    <w:abstractNumId w:val="24"/>
  </w:num>
  <w:num w:numId="31">
    <w:abstractNumId w:val="0"/>
  </w:num>
  <w:num w:numId="32">
    <w:abstractNumId w:val="3"/>
  </w:num>
  <w:num w:numId="33">
    <w:abstractNumId w:val="18"/>
  </w:num>
  <w:num w:numId="34">
    <w:abstractNumId w:val="4"/>
  </w:num>
  <w:num w:numId="35">
    <w:abstractNumId w:val="25"/>
  </w:num>
  <w:num w:numId="36">
    <w:abstractNumId w:val="44"/>
  </w:num>
  <w:num w:numId="37">
    <w:abstractNumId w:val="16"/>
  </w:num>
  <w:num w:numId="38">
    <w:abstractNumId w:val="20"/>
  </w:num>
  <w:num w:numId="39">
    <w:abstractNumId w:val="15"/>
  </w:num>
  <w:num w:numId="40">
    <w:abstractNumId w:val="45"/>
  </w:num>
  <w:num w:numId="41">
    <w:abstractNumId w:val="34"/>
  </w:num>
  <w:num w:numId="42">
    <w:abstractNumId w:val="43"/>
  </w:num>
  <w:num w:numId="43">
    <w:abstractNumId w:val="7"/>
  </w:num>
  <w:num w:numId="44">
    <w:abstractNumId w:val="41"/>
  </w:num>
  <w:num w:numId="45">
    <w:abstractNumId w:val="32"/>
  </w:num>
  <w:num w:numId="46">
    <w:abstractNumId w:val="35"/>
  </w:num>
  <w:num w:numId="47">
    <w:abstractNumId w:val="40"/>
  </w:num>
  <w:num w:numId="48">
    <w:abstractNumId w:val="27"/>
  </w:num>
  <w:num w:numId="49">
    <w:abstractNumId w:val="9"/>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816D3"/>
    <w:rsid w:val="0000160D"/>
    <w:rsid w:val="0000460C"/>
    <w:rsid w:val="00004769"/>
    <w:rsid w:val="00010206"/>
    <w:rsid w:val="00010808"/>
    <w:rsid w:val="00014125"/>
    <w:rsid w:val="00015F50"/>
    <w:rsid w:val="00021609"/>
    <w:rsid w:val="00021804"/>
    <w:rsid w:val="0002415A"/>
    <w:rsid w:val="000257D5"/>
    <w:rsid w:val="00026150"/>
    <w:rsid w:val="0002626B"/>
    <w:rsid w:val="0003479E"/>
    <w:rsid w:val="000355E5"/>
    <w:rsid w:val="000356BF"/>
    <w:rsid w:val="00037FCC"/>
    <w:rsid w:val="000400A8"/>
    <w:rsid w:val="000400D0"/>
    <w:rsid w:val="00040C22"/>
    <w:rsid w:val="0004436F"/>
    <w:rsid w:val="00045B23"/>
    <w:rsid w:val="0004758A"/>
    <w:rsid w:val="00047F5E"/>
    <w:rsid w:val="000510CC"/>
    <w:rsid w:val="00053DE6"/>
    <w:rsid w:val="00054322"/>
    <w:rsid w:val="0005598C"/>
    <w:rsid w:val="00061300"/>
    <w:rsid w:val="000655D0"/>
    <w:rsid w:val="00065B8F"/>
    <w:rsid w:val="00065D94"/>
    <w:rsid w:val="00066BC9"/>
    <w:rsid w:val="00071CA0"/>
    <w:rsid w:val="00073AC4"/>
    <w:rsid w:val="00075F1D"/>
    <w:rsid w:val="00076629"/>
    <w:rsid w:val="00080395"/>
    <w:rsid w:val="000819B7"/>
    <w:rsid w:val="00081D24"/>
    <w:rsid w:val="00083EA3"/>
    <w:rsid w:val="00084794"/>
    <w:rsid w:val="000855F9"/>
    <w:rsid w:val="00085775"/>
    <w:rsid w:val="0008628F"/>
    <w:rsid w:val="00087602"/>
    <w:rsid w:val="00090112"/>
    <w:rsid w:val="00090B84"/>
    <w:rsid w:val="00091AE7"/>
    <w:rsid w:val="00091E32"/>
    <w:rsid w:val="00092318"/>
    <w:rsid w:val="00092759"/>
    <w:rsid w:val="00092C7B"/>
    <w:rsid w:val="00093EC2"/>
    <w:rsid w:val="00095BEE"/>
    <w:rsid w:val="000A0433"/>
    <w:rsid w:val="000B0558"/>
    <w:rsid w:val="000B0A93"/>
    <w:rsid w:val="000B1551"/>
    <w:rsid w:val="000C0642"/>
    <w:rsid w:val="000C5534"/>
    <w:rsid w:val="000D4635"/>
    <w:rsid w:val="000E523E"/>
    <w:rsid w:val="000F0A36"/>
    <w:rsid w:val="000F13DE"/>
    <w:rsid w:val="000F3F34"/>
    <w:rsid w:val="00100FB2"/>
    <w:rsid w:val="00104E9A"/>
    <w:rsid w:val="00106EEE"/>
    <w:rsid w:val="001105EC"/>
    <w:rsid w:val="00112690"/>
    <w:rsid w:val="00113006"/>
    <w:rsid w:val="001134EA"/>
    <w:rsid w:val="00114A1E"/>
    <w:rsid w:val="00121BFE"/>
    <w:rsid w:val="00121EBA"/>
    <w:rsid w:val="001324EC"/>
    <w:rsid w:val="00132DE8"/>
    <w:rsid w:val="00151CAF"/>
    <w:rsid w:val="001532DD"/>
    <w:rsid w:val="00154A78"/>
    <w:rsid w:val="00154DDA"/>
    <w:rsid w:val="0015630B"/>
    <w:rsid w:val="001574B3"/>
    <w:rsid w:val="00160C9A"/>
    <w:rsid w:val="001633D3"/>
    <w:rsid w:val="00164AD4"/>
    <w:rsid w:val="00165484"/>
    <w:rsid w:val="00166F4D"/>
    <w:rsid w:val="00172D94"/>
    <w:rsid w:val="00177A33"/>
    <w:rsid w:val="00181929"/>
    <w:rsid w:val="00181A52"/>
    <w:rsid w:val="0018466D"/>
    <w:rsid w:val="0019412F"/>
    <w:rsid w:val="001951A4"/>
    <w:rsid w:val="001978D3"/>
    <w:rsid w:val="001A18FD"/>
    <w:rsid w:val="001A75B0"/>
    <w:rsid w:val="001A7D4B"/>
    <w:rsid w:val="001B0833"/>
    <w:rsid w:val="001B5A5A"/>
    <w:rsid w:val="001B712D"/>
    <w:rsid w:val="001B7711"/>
    <w:rsid w:val="001C05D8"/>
    <w:rsid w:val="001C2259"/>
    <w:rsid w:val="001C4638"/>
    <w:rsid w:val="001C4991"/>
    <w:rsid w:val="001C6B9B"/>
    <w:rsid w:val="001C7AA5"/>
    <w:rsid w:val="001D0784"/>
    <w:rsid w:val="001D0FDF"/>
    <w:rsid w:val="001D2054"/>
    <w:rsid w:val="001D20FD"/>
    <w:rsid w:val="001D3D97"/>
    <w:rsid w:val="001D5654"/>
    <w:rsid w:val="001D620C"/>
    <w:rsid w:val="001D6E33"/>
    <w:rsid w:val="001D77B1"/>
    <w:rsid w:val="001D79D5"/>
    <w:rsid w:val="001E0D99"/>
    <w:rsid w:val="001E21D9"/>
    <w:rsid w:val="001E2534"/>
    <w:rsid w:val="001E43C4"/>
    <w:rsid w:val="001E4863"/>
    <w:rsid w:val="001E53AC"/>
    <w:rsid w:val="001F0F26"/>
    <w:rsid w:val="001F1D33"/>
    <w:rsid w:val="001F1E93"/>
    <w:rsid w:val="00203DA0"/>
    <w:rsid w:val="0020437C"/>
    <w:rsid w:val="00205833"/>
    <w:rsid w:val="00205C46"/>
    <w:rsid w:val="002062D3"/>
    <w:rsid w:val="002126FC"/>
    <w:rsid w:val="002201A8"/>
    <w:rsid w:val="002247CF"/>
    <w:rsid w:val="00226912"/>
    <w:rsid w:val="00227CEA"/>
    <w:rsid w:val="002338D4"/>
    <w:rsid w:val="00234A6B"/>
    <w:rsid w:val="0023565A"/>
    <w:rsid w:val="00236CC7"/>
    <w:rsid w:val="002400AD"/>
    <w:rsid w:val="00243403"/>
    <w:rsid w:val="0024448C"/>
    <w:rsid w:val="00244FF3"/>
    <w:rsid w:val="00252669"/>
    <w:rsid w:val="00253673"/>
    <w:rsid w:val="002544BF"/>
    <w:rsid w:val="0025486C"/>
    <w:rsid w:val="00260D35"/>
    <w:rsid w:val="0026221F"/>
    <w:rsid w:val="00262F57"/>
    <w:rsid w:val="00263917"/>
    <w:rsid w:val="00265913"/>
    <w:rsid w:val="00266BFA"/>
    <w:rsid w:val="0027135B"/>
    <w:rsid w:val="00275153"/>
    <w:rsid w:val="00281E45"/>
    <w:rsid w:val="002833F1"/>
    <w:rsid w:val="00283F9B"/>
    <w:rsid w:val="00287A6A"/>
    <w:rsid w:val="00291BC9"/>
    <w:rsid w:val="00291DF5"/>
    <w:rsid w:val="002942D2"/>
    <w:rsid w:val="0029488A"/>
    <w:rsid w:val="00297212"/>
    <w:rsid w:val="002A1E62"/>
    <w:rsid w:val="002A1F33"/>
    <w:rsid w:val="002A37BD"/>
    <w:rsid w:val="002A3F28"/>
    <w:rsid w:val="002A4194"/>
    <w:rsid w:val="002A77E2"/>
    <w:rsid w:val="002B1554"/>
    <w:rsid w:val="002B1EED"/>
    <w:rsid w:val="002B34B7"/>
    <w:rsid w:val="002B6451"/>
    <w:rsid w:val="002D0A83"/>
    <w:rsid w:val="002D4714"/>
    <w:rsid w:val="002D5830"/>
    <w:rsid w:val="002E0C44"/>
    <w:rsid w:val="002E6712"/>
    <w:rsid w:val="002F01BF"/>
    <w:rsid w:val="002F1556"/>
    <w:rsid w:val="002F2266"/>
    <w:rsid w:val="002F3D1A"/>
    <w:rsid w:val="002F6F09"/>
    <w:rsid w:val="003006BC"/>
    <w:rsid w:val="00300FF3"/>
    <w:rsid w:val="003065A3"/>
    <w:rsid w:val="00311560"/>
    <w:rsid w:val="003115C2"/>
    <w:rsid w:val="00312242"/>
    <w:rsid w:val="00314F21"/>
    <w:rsid w:val="00315D5C"/>
    <w:rsid w:val="00315FD6"/>
    <w:rsid w:val="00316725"/>
    <w:rsid w:val="00316C80"/>
    <w:rsid w:val="00321099"/>
    <w:rsid w:val="00323A20"/>
    <w:rsid w:val="00325178"/>
    <w:rsid w:val="00325B49"/>
    <w:rsid w:val="00326FBE"/>
    <w:rsid w:val="00331FB6"/>
    <w:rsid w:val="0033221B"/>
    <w:rsid w:val="00335FC3"/>
    <w:rsid w:val="00336868"/>
    <w:rsid w:val="003400E8"/>
    <w:rsid w:val="003401A2"/>
    <w:rsid w:val="00340685"/>
    <w:rsid w:val="00343FFC"/>
    <w:rsid w:val="003454AA"/>
    <w:rsid w:val="003518AB"/>
    <w:rsid w:val="00352099"/>
    <w:rsid w:val="0035218F"/>
    <w:rsid w:val="0035237C"/>
    <w:rsid w:val="00354D28"/>
    <w:rsid w:val="00357F28"/>
    <w:rsid w:val="00362CCD"/>
    <w:rsid w:val="0036490F"/>
    <w:rsid w:val="00364C7E"/>
    <w:rsid w:val="00371D89"/>
    <w:rsid w:val="00371FA1"/>
    <w:rsid w:val="00372860"/>
    <w:rsid w:val="00372E65"/>
    <w:rsid w:val="003745CD"/>
    <w:rsid w:val="003814F4"/>
    <w:rsid w:val="00382998"/>
    <w:rsid w:val="003830D2"/>
    <w:rsid w:val="003866F3"/>
    <w:rsid w:val="0039417B"/>
    <w:rsid w:val="00395C74"/>
    <w:rsid w:val="003A095E"/>
    <w:rsid w:val="003A7145"/>
    <w:rsid w:val="003B112F"/>
    <w:rsid w:val="003B2784"/>
    <w:rsid w:val="003B5483"/>
    <w:rsid w:val="003B6019"/>
    <w:rsid w:val="003B60AB"/>
    <w:rsid w:val="003B695E"/>
    <w:rsid w:val="003B7EA1"/>
    <w:rsid w:val="003C1049"/>
    <w:rsid w:val="003C1C0D"/>
    <w:rsid w:val="003C2C5A"/>
    <w:rsid w:val="003C4F47"/>
    <w:rsid w:val="003C6CAB"/>
    <w:rsid w:val="003D11EA"/>
    <w:rsid w:val="003D5980"/>
    <w:rsid w:val="003E168B"/>
    <w:rsid w:val="003E1832"/>
    <w:rsid w:val="003E239B"/>
    <w:rsid w:val="003E55AF"/>
    <w:rsid w:val="003E5FC3"/>
    <w:rsid w:val="003F04C2"/>
    <w:rsid w:val="003F0778"/>
    <w:rsid w:val="003F1247"/>
    <w:rsid w:val="003F196D"/>
    <w:rsid w:val="004004B8"/>
    <w:rsid w:val="004017CC"/>
    <w:rsid w:val="00402869"/>
    <w:rsid w:val="00403C5C"/>
    <w:rsid w:val="00404A18"/>
    <w:rsid w:val="00411563"/>
    <w:rsid w:val="00413258"/>
    <w:rsid w:val="00415CD8"/>
    <w:rsid w:val="00416085"/>
    <w:rsid w:val="00416A60"/>
    <w:rsid w:val="00416CEA"/>
    <w:rsid w:val="00416F8C"/>
    <w:rsid w:val="0041743C"/>
    <w:rsid w:val="00420902"/>
    <w:rsid w:val="00420E7D"/>
    <w:rsid w:val="004252CE"/>
    <w:rsid w:val="0042725D"/>
    <w:rsid w:val="00427633"/>
    <w:rsid w:val="00432CB1"/>
    <w:rsid w:val="0043334F"/>
    <w:rsid w:val="00434C71"/>
    <w:rsid w:val="0043549A"/>
    <w:rsid w:val="00435B48"/>
    <w:rsid w:val="00437CBA"/>
    <w:rsid w:val="00440192"/>
    <w:rsid w:val="00440D2F"/>
    <w:rsid w:val="00441B80"/>
    <w:rsid w:val="00441E2C"/>
    <w:rsid w:val="00443302"/>
    <w:rsid w:val="00443C1A"/>
    <w:rsid w:val="004457F5"/>
    <w:rsid w:val="00447AB0"/>
    <w:rsid w:val="00451261"/>
    <w:rsid w:val="00451DB0"/>
    <w:rsid w:val="00456EE1"/>
    <w:rsid w:val="00457080"/>
    <w:rsid w:val="00463E1D"/>
    <w:rsid w:val="0046561A"/>
    <w:rsid w:val="00465DB7"/>
    <w:rsid w:val="0046723F"/>
    <w:rsid w:val="00467FD2"/>
    <w:rsid w:val="004706F6"/>
    <w:rsid w:val="00470968"/>
    <w:rsid w:val="004713FB"/>
    <w:rsid w:val="0047294E"/>
    <w:rsid w:val="00473982"/>
    <w:rsid w:val="00476646"/>
    <w:rsid w:val="00477E26"/>
    <w:rsid w:val="00480788"/>
    <w:rsid w:val="004807A3"/>
    <w:rsid w:val="004816D3"/>
    <w:rsid w:val="00483854"/>
    <w:rsid w:val="00484571"/>
    <w:rsid w:val="00484D6B"/>
    <w:rsid w:val="00487182"/>
    <w:rsid w:val="00490A46"/>
    <w:rsid w:val="0049143D"/>
    <w:rsid w:val="00491855"/>
    <w:rsid w:val="00491B54"/>
    <w:rsid w:val="0049383D"/>
    <w:rsid w:val="004957B4"/>
    <w:rsid w:val="004A1D23"/>
    <w:rsid w:val="004A3626"/>
    <w:rsid w:val="004A3B5D"/>
    <w:rsid w:val="004B1085"/>
    <w:rsid w:val="004B3852"/>
    <w:rsid w:val="004B3E25"/>
    <w:rsid w:val="004B563F"/>
    <w:rsid w:val="004B6921"/>
    <w:rsid w:val="004B6FD4"/>
    <w:rsid w:val="004B7EAD"/>
    <w:rsid w:val="004C05A6"/>
    <w:rsid w:val="004C2A0E"/>
    <w:rsid w:val="004C4341"/>
    <w:rsid w:val="004C50B1"/>
    <w:rsid w:val="004D232C"/>
    <w:rsid w:val="004D36A2"/>
    <w:rsid w:val="004D377A"/>
    <w:rsid w:val="004D3AA5"/>
    <w:rsid w:val="004D40A5"/>
    <w:rsid w:val="004D50E2"/>
    <w:rsid w:val="004D5B7B"/>
    <w:rsid w:val="004D7540"/>
    <w:rsid w:val="004E4361"/>
    <w:rsid w:val="004E6DCE"/>
    <w:rsid w:val="004E741B"/>
    <w:rsid w:val="004F0BA3"/>
    <w:rsid w:val="004F3ECE"/>
    <w:rsid w:val="004F6EEC"/>
    <w:rsid w:val="00500348"/>
    <w:rsid w:val="0050241C"/>
    <w:rsid w:val="00502681"/>
    <w:rsid w:val="005058A0"/>
    <w:rsid w:val="00507E8C"/>
    <w:rsid w:val="00511475"/>
    <w:rsid w:val="0051165B"/>
    <w:rsid w:val="005125F1"/>
    <w:rsid w:val="00512F73"/>
    <w:rsid w:val="00514FC7"/>
    <w:rsid w:val="005207E3"/>
    <w:rsid w:val="00522079"/>
    <w:rsid w:val="00522D7C"/>
    <w:rsid w:val="00524390"/>
    <w:rsid w:val="00526743"/>
    <w:rsid w:val="005332E0"/>
    <w:rsid w:val="00534D4C"/>
    <w:rsid w:val="0053570A"/>
    <w:rsid w:val="0053763D"/>
    <w:rsid w:val="00541ADA"/>
    <w:rsid w:val="00543018"/>
    <w:rsid w:val="00550E60"/>
    <w:rsid w:val="00552087"/>
    <w:rsid w:val="005542D9"/>
    <w:rsid w:val="0055586D"/>
    <w:rsid w:val="00556579"/>
    <w:rsid w:val="00560E4D"/>
    <w:rsid w:val="005629AD"/>
    <w:rsid w:val="00562C85"/>
    <w:rsid w:val="005652AF"/>
    <w:rsid w:val="00565CCC"/>
    <w:rsid w:val="00567CAF"/>
    <w:rsid w:val="005712F8"/>
    <w:rsid w:val="00571731"/>
    <w:rsid w:val="00571F4A"/>
    <w:rsid w:val="00572E38"/>
    <w:rsid w:val="00580636"/>
    <w:rsid w:val="005814F7"/>
    <w:rsid w:val="005828E0"/>
    <w:rsid w:val="005851BD"/>
    <w:rsid w:val="0058582C"/>
    <w:rsid w:val="0058769E"/>
    <w:rsid w:val="00593A7C"/>
    <w:rsid w:val="00595B53"/>
    <w:rsid w:val="005A076E"/>
    <w:rsid w:val="005A15B3"/>
    <w:rsid w:val="005A2A45"/>
    <w:rsid w:val="005A3211"/>
    <w:rsid w:val="005A33D2"/>
    <w:rsid w:val="005A3FED"/>
    <w:rsid w:val="005A554D"/>
    <w:rsid w:val="005B0791"/>
    <w:rsid w:val="005B19B5"/>
    <w:rsid w:val="005B1CBB"/>
    <w:rsid w:val="005B2907"/>
    <w:rsid w:val="005B2CC7"/>
    <w:rsid w:val="005B3FA7"/>
    <w:rsid w:val="005B41E5"/>
    <w:rsid w:val="005B6223"/>
    <w:rsid w:val="005C1A55"/>
    <w:rsid w:val="005C2A13"/>
    <w:rsid w:val="005C2DD0"/>
    <w:rsid w:val="005C3BDD"/>
    <w:rsid w:val="005C424D"/>
    <w:rsid w:val="005C5E0A"/>
    <w:rsid w:val="005D06E5"/>
    <w:rsid w:val="005D0D90"/>
    <w:rsid w:val="005D12E4"/>
    <w:rsid w:val="005D1802"/>
    <w:rsid w:val="005D31DE"/>
    <w:rsid w:val="005D42A0"/>
    <w:rsid w:val="005D43D8"/>
    <w:rsid w:val="005D467C"/>
    <w:rsid w:val="005D469F"/>
    <w:rsid w:val="005D4B6E"/>
    <w:rsid w:val="005D53BA"/>
    <w:rsid w:val="005D56ED"/>
    <w:rsid w:val="005D6BA3"/>
    <w:rsid w:val="005D7ABC"/>
    <w:rsid w:val="005E1847"/>
    <w:rsid w:val="005E391F"/>
    <w:rsid w:val="005E45E4"/>
    <w:rsid w:val="005E5EA5"/>
    <w:rsid w:val="005E6936"/>
    <w:rsid w:val="005F1665"/>
    <w:rsid w:val="005F1C49"/>
    <w:rsid w:val="005F2AAF"/>
    <w:rsid w:val="005F6D0A"/>
    <w:rsid w:val="0060023A"/>
    <w:rsid w:val="00601511"/>
    <w:rsid w:val="006025E9"/>
    <w:rsid w:val="00603F01"/>
    <w:rsid w:val="00612420"/>
    <w:rsid w:val="0061359C"/>
    <w:rsid w:val="006135AC"/>
    <w:rsid w:val="00613818"/>
    <w:rsid w:val="00613C08"/>
    <w:rsid w:val="0061510C"/>
    <w:rsid w:val="00615418"/>
    <w:rsid w:val="00616000"/>
    <w:rsid w:val="006177A8"/>
    <w:rsid w:val="006222BA"/>
    <w:rsid w:val="00624D4B"/>
    <w:rsid w:val="00626192"/>
    <w:rsid w:val="00627EC1"/>
    <w:rsid w:val="00632179"/>
    <w:rsid w:val="00632E6B"/>
    <w:rsid w:val="0063374F"/>
    <w:rsid w:val="006344A9"/>
    <w:rsid w:val="006353C1"/>
    <w:rsid w:val="00636C65"/>
    <w:rsid w:val="006402D3"/>
    <w:rsid w:val="00640D00"/>
    <w:rsid w:val="00640D14"/>
    <w:rsid w:val="00642443"/>
    <w:rsid w:val="006428E7"/>
    <w:rsid w:val="00643FAF"/>
    <w:rsid w:val="00644FDD"/>
    <w:rsid w:val="00645890"/>
    <w:rsid w:val="006465B2"/>
    <w:rsid w:val="00647A9F"/>
    <w:rsid w:val="00647B95"/>
    <w:rsid w:val="0065038A"/>
    <w:rsid w:val="0065161A"/>
    <w:rsid w:val="00651DFE"/>
    <w:rsid w:val="00652A7D"/>
    <w:rsid w:val="00652D0A"/>
    <w:rsid w:val="00653D4A"/>
    <w:rsid w:val="00654832"/>
    <w:rsid w:val="00655A96"/>
    <w:rsid w:val="00655FBB"/>
    <w:rsid w:val="006577F4"/>
    <w:rsid w:val="006637DF"/>
    <w:rsid w:val="006658FF"/>
    <w:rsid w:val="00665CF3"/>
    <w:rsid w:val="00670589"/>
    <w:rsid w:val="00673D3A"/>
    <w:rsid w:val="0067408A"/>
    <w:rsid w:val="00674646"/>
    <w:rsid w:val="0067505F"/>
    <w:rsid w:val="00675A2E"/>
    <w:rsid w:val="00677D79"/>
    <w:rsid w:val="006810CD"/>
    <w:rsid w:val="0068272A"/>
    <w:rsid w:val="0068545B"/>
    <w:rsid w:val="0068645E"/>
    <w:rsid w:val="00690D24"/>
    <w:rsid w:val="006930F9"/>
    <w:rsid w:val="0069365D"/>
    <w:rsid w:val="006947A9"/>
    <w:rsid w:val="006A626D"/>
    <w:rsid w:val="006A79E8"/>
    <w:rsid w:val="006A7A75"/>
    <w:rsid w:val="006B049A"/>
    <w:rsid w:val="006B26D3"/>
    <w:rsid w:val="006B276C"/>
    <w:rsid w:val="006B693B"/>
    <w:rsid w:val="006B6CEF"/>
    <w:rsid w:val="006B7E82"/>
    <w:rsid w:val="006C0B69"/>
    <w:rsid w:val="006C1648"/>
    <w:rsid w:val="006C24B0"/>
    <w:rsid w:val="006C2A94"/>
    <w:rsid w:val="006C53C2"/>
    <w:rsid w:val="006C68CF"/>
    <w:rsid w:val="006C7F78"/>
    <w:rsid w:val="006D5CE8"/>
    <w:rsid w:val="006E1573"/>
    <w:rsid w:val="006E15A9"/>
    <w:rsid w:val="006E1D82"/>
    <w:rsid w:val="006F489E"/>
    <w:rsid w:val="006F7D91"/>
    <w:rsid w:val="00701618"/>
    <w:rsid w:val="00701F80"/>
    <w:rsid w:val="00703591"/>
    <w:rsid w:val="00703B07"/>
    <w:rsid w:val="00703B72"/>
    <w:rsid w:val="00704DC8"/>
    <w:rsid w:val="00706F21"/>
    <w:rsid w:val="007114BF"/>
    <w:rsid w:val="007124A2"/>
    <w:rsid w:val="00713065"/>
    <w:rsid w:val="00715BE6"/>
    <w:rsid w:val="007167E7"/>
    <w:rsid w:val="007171DC"/>
    <w:rsid w:val="00721400"/>
    <w:rsid w:val="00730686"/>
    <w:rsid w:val="007310AE"/>
    <w:rsid w:val="00732C74"/>
    <w:rsid w:val="0073385B"/>
    <w:rsid w:val="00733DA9"/>
    <w:rsid w:val="0073555F"/>
    <w:rsid w:val="00735BD1"/>
    <w:rsid w:val="00736F79"/>
    <w:rsid w:val="00744A29"/>
    <w:rsid w:val="00744B1A"/>
    <w:rsid w:val="007528C0"/>
    <w:rsid w:val="00753B92"/>
    <w:rsid w:val="00753DEC"/>
    <w:rsid w:val="007554D6"/>
    <w:rsid w:val="00755881"/>
    <w:rsid w:val="00755A46"/>
    <w:rsid w:val="00756580"/>
    <w:rsid w:val="00761702"/>
    <w:rsid w:val="007629F3"/>
    <w:rsid w:val="007630CD"/>
    <w:rsid w:val="007662E6"/>
    <w:rsid w:val="00771D98"/>
    <w:rsid w:val="00773FC1"/>
    <w:rsid w:val="00774205"/>
    <w:rsid w:val="0077432A"/>
    <w:rsid w:val="00775E7C"/>
    <w:rsid w:val="00775FD3"/>
    <w:rsid w:val="0077695B"/>
    <w:rsid w:val="0077774A"/>
    <w:rsid w:val="007906AE"/>
    <w:rsid w:val="00791269"/>
    <w:rsid w:val="007933ED"/>
    <w:rsid w:val="00793C35"/>
    <w:rsid w:val="00796D4A"/>
    <w:rsid w:val="007975FC"/>
    <w:rsid w:val="007A7455"/>
    <w:rsid w:val="007A7469"/>
    <w:rsid w:val="007B0632"/>
    <w:rsid w:val="007B0AC0"/>
    <w:rsid w:val="007B331A"/>
    <w:rsid w:val="007B3E76"/>
    <w:rsid w:val="007B4A79"/>
    <w:rsid w:val="007B4B4E"/>
    <w:rsid w:val="007B56F8"/>
    <w:rsid w:val="007B5B2E"/>
    <w:rsid w:val="007B6ECF"/>
    <w:rsid w:val="007C09E9"/>
    <w:rsid w:val="007C2F1C"/>
    <w:rsid w:val="007C49CE"/>
    <w:rsid w:val="007C70E3"/>
    <w:rsid w:val="007C7E27"/>
    <w:rsid w:val="007D40DC"/>
    <w:rsid w:val="007D439E"/>
    <w:rsid w:val="007D5087"/>
    <w:rsid w:val="007E6D24"/>
    <w:rsid w:val="007F3FA2"/>
    <w:rsid w:val="007F5570"/>
    <w:rsid w:val="007F616D"/>
    <w:rsid w:val="007F6A65"/>
    <w:rsid w:val="00800B38"/>
    <w:rsid w:val="008020B5"/>
    <w:rsid w:val="00802E28"/>
    <w:rsid w:val="00805649"/>
    <w:rsid w:val="008073BC"/>
    <w:rsid w:val="00814D2E"/>
    <w:rsid w:val="00815BB0"/>
    <w:rsid w:val="008161CD"/>
    <w:rsid w:val="0081726F"/>
    <w:rsid w:val="008237BC"/>
    <w:rsid w:val="00825F13"/>
    <w:rsid w:val="008276D3"/>
    <w:rsid w:val="0083180B"/>
    <w:rsid w:val="00837426"/>
    <w:rsid w:val="008404DE"/>
    <w:rsid w:val="008407A9"/>
    <w:rsid w:val="00841D7F"/>
    <w:rsid w:val="00841FCD"/>
    <w:rsid w:val="0084265E"/>
    <w:rsid w:val="00842B44"/>
    <w:rsid w:val="00845C98"/>
    <w:rsid w:val="00846115"/>
    <w:rsid w:val="00850F9D"/>
    <w:rsid w:val="0085190E"/>
    <w:rsid w:val="008551B9"/>
    <w:rsid w:val="00857FDB"/>
    <w:rsid w:val="00862440"/>
    <w:rsid w:val="00862E94"/>
    <w:rsid w:val="00863911"/>
    <w:rsid w:val="0086661D"/>
    <w:rsid w:val="00870688"/>
    <w:rsid w:val="008722B2"/>
    <w:rsid w:val="00873A44"/>
    <w:rsid w:val="00876081"/>
    <w:rsid w:val="0087703E"/>
    <w:rsid w:val="00877ED8"/>
    <w:rsid w:val="00880636"/>
    <w:rsid w:val="00884CE4"/>
    <w:rsid w:val="008859A7"/>
    <w:rsid w:val="008859BE"/>
    <w:rsid w:val="0088755E"/>
    <w:rsid w:val="00894B78"/>
    <w:rsid w:val="00896FF8"/>
    <w:rsid w:val="0089729A"/>
    <w:rsid w:val="00897716"/>
    <w:rsid w:val="008A0522"/>
    <w:rsid w:val="008A0E08"/>
    <w:rsid w:val="008A43D3"/>
    <w:rsid w:val="008A4458"/>
    <w:rsid w:val="008A4ACE"/>
    <w:rsid w:val="008A66A7"/>
    <w:rsid w:val="008A784E"/>
    <w:rsid w:val="008B346B"/>
    <w:rsid w:val="008B42B7"/>
    <w:rsid w:val="008B50F1"/>
    <w:rsid w:val="008B5D9E"/>
    <w:rsid w:val="008B7591"/>
    <w:rsid w:val="008C1869"/>
    <w:rsid w:val="008C38A7"/>
    <w:rsid w:val="008C6331"/>
    <w:rsid w:val="008C63C1"/>
    <w:rsid w:val="008D27BF"/>
    <w:rsid w:val="008D2E91"/>
    <w:rsid w:val="008D71DC"/>
    <w:rsid w:val="008E2110"/>
    <w:rsid w:val="008E27D5"/>
    <w:rsid w:val="008E28D8"/>
    <w:rsid w:val="008E2DAC"/>
    <w:rsid w:val="008E5301"/>
    <w:rsid w:val="008E682D"/>
    <w:rsid w:val="008F0350"/>
    <w:rsid w:val="008F0B06"/>
    <w:rsid w:val="008F1374"/>
    <w:rsid w:val="008F2AD2"/>
    <w:rsid w:val="008F32F0"/>
    <w:rsid w:val="008F41BE"/>
    <w:rsid w:val="008F48D3"/>
    <w:rsid w:val="008F513F"/>
    <w:rsid w:val="008F5164"/>
    <w:rsid w:val="008F7445"/>
    <w:rsid w:val="0090073D"/>
    <w:rsid w:val="00900E9E"/>
    <w:rsid w:val="00901F3F"/>
    <w:rsid w:val="0090616E"/>
    <w:rsid w:val="0090624B"/>
    <w:rsid w:val="00906816"/>
    <w:rsid w:val="009145A7"/>
    <w:rsid w:val="009148D8"/>
    <w:rsid w:val="00915D35"/>
    <w:rsid w:val="009165BB"/>
    <w:rsid w:val="009174E2"/>
    <w:rsid w:val="0092466D"/>
    <w:rsid w:val="0092504D"/>
    <w:rsid w:val="0092741D"/>
    <w:rsid w:val="00927A61"/>
    <w:rsid w:val="00930C31"/>
    <w:rsid w:val="009361B0"/>
    <w:rsid w:val="00936BBA"/>
    <w:rsid w:val="00940A4D"/>
    <w:rsid w:val="009460D3"/>
    <w:rsid w:val="00956F54"/>
    <w:rsid w:val="00960A8C"/>
    <w:rsid w:val="0096214E"/>
    <w:rsid w:val="0096255B"/>
    <w:rsid w:val="00962639"/>
    <w:rsid w:val="00962855"/>
    <w:rsid w:val="00962ED0"/>
    <w:rsid w:val="00964679"/>
    <w:rsid w:val="00965815"/>
    <w:rsid w:val="009679B2"/>
    <w:rsid w:val="00967AEF"/>
    <w:rsid w:val="00970755"/>
    <w:rsid w:val="00973CBC"/>
    <w:rsid w:val="00975694"/>
    <w:rsid w:val="00976295"/>
    <w:rsid w:val="00976791"/>
    <w:rsid w:val="00977134"/>
    <w:rsid w:val="00977E8D"/>
    <w:rsid w:val="00984861"/>
    <w:rsid w:val="00984E98"/>
    <w:rsid w:val="0098680F"/>
    <w:rsid w:val="00986E89"/>
    <w:rsid w:val="00987874"/>
    <w:rsid w:val="00987AC3"/>
    <w:rsid w:val="009907C6"/>
    <w:rsid w:val="00990E75"/>
    <w:rsid w:val="00991613"/>
    <w:rsid w:val="009929B6"/>
    <w:rsid w:val="00992E12"/>
    <w:rsid w:val="00993CE5"/>
    <w:rsid w:val="00994461"/>
    <w:rsid w:val="00995838"/>
    <w:rsid w:val="00995A4B"/>
    <w:rsid w:val="00997946"/>
    <w:rsid w:val="009A0355"/>
    <w:rsid w:val="009A1A45"/>
    <w:rsid w:val="009A5B3D"/>
    <w:rsid w:val="009B3752"/>
    <w:rsid w:val="009B489A"/>
    <w:rsid w:val="009B4E92"/>
    <w:rsid w:val="009B7566"/>
    <w:rsid w:val="009C4131"/>
    <w:rsid w:val="009C6541"/>
    <w:rsid w:val="009C6CDB"/>
    <w:rsid w:val="009C777C"/>
    <w:rsid w:val="009D067B"/>
    <w:rsid w:val="009D0E3E"/>
    <w:rsid w:val="009D247E"/>
    <w:rsid w:val="009D2A23"/>
    <w:rsid w:val="009D2C59"/>
    <w:rsid w:val="009D7B07"/>
    <w:rsid w:val="009E0013"/>
    <w:rsid w:val="009E4B52"/>
    <w:rsid w:val="009E7F13"/>
    <w:rsid w:val="009F14E9"/>
    <w:rsid w:val="009F25AA"/>
    <w:rsid w:val="009F2774"/>
    <w:rsid w:val="009F27D4"/>
    <w:rsid w:val="009F4E70"/>
    <w:rsid w:val="009F5934"/>
    <w:rsid w:val="009F6F0A"/>
    <w:rsid w:val="009F6F9B"/>
    <w:rsid w:val="00A029E4"/>
    <w:rsid w:val="00A03983"/>
    <w:rsid w:val="00A04EB0"/>
    <w:rsid w:val="00A0667A"/>
    <w:rsid w:val="00A069E4"/>
    <w:rsid w:val="00A074A4"/>
    <w:rsid w:val="00A07A21"/>
    <w:rsid w:val="00A10964"/>
    <w:rsid w:val="00A10A6F"/>
    <w:rsid w:val="00A110EA"/>
    <w:rsid w:val="00A11150"/>
    <w:rsid w:val="00A111FF"/>
    <w:rsid w:val="00A1337F"/>
    <w:rsid w:val="00A142BC"/>
    <w:rsid w:val="00A14566"/>
    <w:rsid w:val="00A14718"/>
    <w:rsid w:val="00A157FE"/>
    <w:rsid w:val="00A15DBA"/>
    <w:rsid w:val="00A15E4A"/>
    <w:rsid w:val="00A24261"/>
    <w:rsid w:val="00A25D28"/>
    <w:rsid w:val="00A25F0E"/>
    <w:rsid w:val="00A267FB"/>
    <w:rsid w:val="00A26C9E"/>
    <w:rsid w:val="00A3021F"/>
    <w:rsid w:val="00A36AA2"/>
    <w:rsid w:val="00A37988"/>
    <w:rsid w:val="00A41CBF"/>
    <w:rsid w:val="00A434C4"/>
    <w:rsid w:val="00A43D2C"/>
    <w:rsid w:val="00A45994"/>
    <w:rsid w:val="00A515A0"/>
    <w:rsid w:val="00A57292"/>
    <w:rsid w:val="00A60CF8"/>
    <w:rsid w:val="00A6365F"/>
    <w:rsid w:val="00A63798"/>
    <w:rsid w:val="00A67B6A"/>
    <w:rsid w:val="00A718C6"/>
    <w:rsid w:val="00A728A8"/>
    <w:rsid w:val="00A74E88"/>
    <w:rsid w:val="00A75E05"/>
    <w:rsid w:val="00A77521"/>
    <w:rsid w:val="00A805F3"/>
    <w:rsid w:val="00A8214A"/>
    <w:rsid w:val="00A86662"/>
    <w:rsid w:val="00A90924"/>
    <w:rsid w:val="00A91C96"/>
    <w:rsid w:val="00A91EA7"/>
    <w:rsid w:val="00A938DF"/>
    <w:rsid w:val="00A945C2"/>
    <w:rsid w:val="00A964BC"/>
    <w:rsid w:val="00A96620"/>
    <w:rsid w:val="00A97094"/>
    <w:rsid w:val="00AA036C"/>
    <w:rsid w:val="00AA39DE"/>
    <w:rsid w:val="00AB55E5"/>
    <w:rsid w:val="00AB7223"/>
    <w:rsid w:val="00AB77CD"/>
    <w:rsid w:val="00AC03A0"/>
    <w:rsid w:val="00AC2E2F"/>
    <w:rsid w:val="00AC6A21"/>
    <w:rsid w:val="00AC740A"/>
    <w:rsid w:val="00AC755D"/>
    <w:rsid w:val="00AD0552"/>
    <w:rsid w:val="00AD2C8B"/>
    <w:rsid w:val="00AD4496"/>
    <w:rsid w:val="00AD50D2"/>
    <w:rsid w:val="00AD6BB0"/>
    <w:rsid w:val="00AE15DA"/>
    <w:rsid w:val="00AE1A98"/>
    <w:rsid w:val="00AE2BCB"/>
    <w:rsid w:val="00AE48D0"/>
    <w:rsid w:val="00AE67BB"/>
    <w:rsid w:val="00AF09FA"/>
    <w:rsid w:val="00AF251E"/>
    <w:rsid w:val="00AF3B24"/>
    <w:rsid w:val="00AF3B90"/>
    <w:rsid w:val="00AF4E1B"/>
    <w:rsid w:val="00AF5419"/>
    <w:rsid w:val="00B00331"/>
    <w:rsid w:val="00B015E1"/>
    <w:rsid w:val="00B01CDF"/>
    <w:rsid w:val="00B03D16"/>
    <w:rsid w:val="00B042CC"/>
    <w:rsid w:val="00B06245"/>
    <w:rsid w:val="00B07D05"/>
    <w:rsid w:val="00B10D1F"/>
    <w:rsid w:val="00B12447"/>
    <w:rsid w:val="00B125CB"/>
    <w:rsid w:val="00B13D8E"/>
    <w:rsid w:val="00B14389"/>
    <w:rsid w:val="00B144BA"/>
    <w:rsid w:val="00B15071"/>
    <w:rsid w:val="00B163B3"/>
    <w:rsid w:val="00B20708"/>
    <w:rsid w:val="00B211EF"/>
    <w:rsid w:val="00B21DA1"/>
    <w:rsid w:val="00B22D0E"/>
    <w:rsid w:val="00B23051"/>
    <w:rsid w:val="00B26120"/>
    <w:rsid w:val="00B30D4B"/>
    <w:rsid w:val="00B30E13"/>
    <w:rsid w:val="00B33217"/>
    <w:rsid w:val="00B33C9D"/>
    <w:rsid w:val="00B3469F"/>
    <w:rsid w:val="00B36A53"/>
    <w:rsid w:val="00B40EEF"/>
    <w:rsid w:val="00B416E8"/>
    <w:rsid w:val="00B42344"/>
    <w:rsid w:val="00B43776"/>
    <w:rsid w:val="00B44C76"/>
    <w:rsid w:val="00B458E9"/>
    <w:rsid w:val="00B45E3D"/>
    <w:rsid w:val="00B45F32"/>
    <w:rsid w:val="00B460F0"/>
    <w:rsid w:val="00B46CF1"/>
    <w:rsid w:val="00B51775"/>
    <w:rsid w:val="00B53907"/>
    <w:rsid w:val="00B54873"/>
    <w:rsid w:val="00B56AF5"/>
    <w:rsid w:val="00B57AB3"/>
    <w:rsid w:val="00B602B7"/>
    <w:rsid w:val="00B616F5"/>
    <w:rsid w:val="00B62358"/>
    <w:rsid w:val="00B63495"/>
    <w:rsid w:val="00B647C5"/>
    <w:rsid w:val="00B64E2C"/>
    <w:rsid w:val="00B65E96"/>
    <w:rsid w:val="00B67D39"/>
    <w:rsid w:val="00B763B1"/>
    <w:rsid w:val="00B81A62"/>
    <w:rsid w:val="00B82E17"/>
    <w:rsid w:val="00B835E2"/>
    <w:rsid w:val="00B83F83"/>
    <w:rsid w:val="00B84A0C"/>
    <w:rsid w:val="00B8575B"/>
    <w:rsid w:val="00B86050"/>
    <w:rsid w:val="00B86D00"/>
    <w:rsid w:val="00B9344C"/>
    <w:rsid w:val="00B96D63"/>
    <w:rsid w:val="00BA0FFC"/>
    <w:rsid w:val="00BA481E"/>
    <w:rsid w:val="00BA4ACD"/>
    <w:rsid w:val="00BA7BF0"/>
    <w:rsid w:val="00BB7F73"/>
    <w:rsid w:val="00BC37D2"/>
    <w:rsid w:val="00BC47E4"/>
    <w:rsid w:val="00BD26E6"/>
    <w:rsid w:val="00BD2CD7"/>
    <w:rsid w:val="00BD3262"/>
    <w:rsid w:val="00BD3B4B"/>
    <w:rsid w:val="00BD5653"/>
    <w:rsid w:val="00BE26DA"/>
    <w:rsid w:val="00BE302E"/>
    <w:rsid w:val="00BE4844"/>
    <w:rsid w:val="00BE60AB"/>
    <w:rsid w:val="00BE78C6"/>
    <w:rsid w:val="00BF1DEA"/>
    <w:rsid w:val="00BF2F0F"/>
    <w:rsid w:val="00BF451D"/>
    <w:rsid w:val="00BF5560"/>
    <w:rsid w:val="00BF665D"/>
    <w:rsid w:val="00C017BA"/>
    <w:rsid w:val="00C0545C"/>
    <w:rsid w:val="00C139FE"/>
    <w:rsid w:val="00C1596E"/>
    <w:rsid w:val="00C16EE7"/>
    <w:rsid w:val="00C17E0C"/>
    <w:rsid w:val="00C17E0F"/>
    <w:rsid w:val="00C2062C"/>
    <w:rsid w:val="00C20F97"/>
    <w:rsid w:val="00C237F6"/>
    <w:rsid w:val="00C23A47"/>
    <w:rsid w:val="00C2436C"/>
    <w:rsid w:val="00C24DA9"/>
    <w:rsid w:val="00C27AF4"/>
    <w:rsid w:val="00C27B15"/>
    <w:rsid w:val="00C37EAD"/>
    <w:rsid w:val="00C40172"/>
    <w:rsid w:val="00C477FF"/>
    <w:rsid w:val="00C5147A"/>
    <w:rsid w:val="00C535A9"/>
    <w:rsid w:val="00C56A3D"/>
    <w:rsid w:val="00C5736E"/>
    <w:rsid w:val="00C60A86"/>
    <w:rsid w:val="00C60B74"/>
    <w:rsid w:val="00C612D4"/>
    <w:rsid w:val="00C631E1"/>
    <w:rsid w:val="00C6392A"/>
    <w:rsid w:val="00C64083"/>
    <w:rsid w:val="00C6518F"/>
    <w:rsid w:val="00C65751"/>
    <w:rsid w:val="00C66256"/>
    <w:rsid w:val="00C662FB"/>
    <w:rsid w:val="00C74272"/>
    <w:rsid w:val="00C74D81"/>
    <w:rsid w:val="00C75B3A"/>
    <w:rsid w:val="00C77496"/>
    <w:rsid w:val="00C80C53"/>
    <w:rsid w:val="00C80F75"/>
    <w:rsid w:val="00C81F01"/>
    <w:rsid w:val="00C8210B"/>
    <w:rsid w:val="00C83642"/>
    <w:rsid w:val="00C845C8"/>
    <w:rsid w:val="00C846A1"/>
    <w:rsid w:val="00C846A5"/>
    <w:rsid w:val="00C923EC"/>
    <w:rsid w:val="00C946DE"/>
    <w:rsid w:val="00C94FD6"/>
    <w:rsid w:val="00CA0B57"/>
    <w:rsid w:val="00CA1DFB"/>
    <w:rsid w:val="00CA3FAF"/>
    <w:rsid w:val="00CA5845"/>
    <w:rsid w:val="00CB15CF"/>
    <w:rsid w:val="00CB17D5"/>
    <w:rsid w:val="00CB2DFA"/>
    <w:rsid w:val="00CB6A6D"/>
    <w:rsid w:val="00CB7419"/>
    <w:rsid w:val="00CB779B"/>
    <w:rsid w:val="00CC0179"/>
    <w:rsid w:val="00CC0B3A"/>
    <w:rsid w:val="00CC3B96"/>
    <w:rsid w:val="00CC5EBB"/>
    <w:rsid w:val="00CC71EB"/>
    <w:rsid w:val="00CD36C1"/>
    <w:rsid w:val="00CE22F0"/>
    <w:rsid w:val="00CE29E6"/>
    <w:rsid w:val="00CE6A6F"/>
    <w:rsid w:val="00CE7E93"/>
    <w:rsid w:val="00CF0F63"/>
    <w:rsid w:val="00CF109A"/>
    <w:rsid w:val="00CF7992"/>
    <w:rsid w:val="00D03264"/>
    <w:rsid w:val="00D03893"/>
    <w:rsid w:val="00D0519F"/>
    <w:rsid w:val="00D05356"/>
    <w:rsid w:val="00D10490"/>
    <w:rsid w:val="00D127F8"/>
    <w:rsid w:val="00D133EE"/>
    <w:rsid w:val="00D16308"/>
    <w:rsid w:val="00D167A3"/>
    <w:rsid w:val="00D173A5"/>
    <w:rsid w:val="00D17D20"/>
    <w:rsid w:val="00D20A4F"/>
    <w:rsid w:val="00D21A73"/>
    <w:rsid w:val="00D328FA"/>
    <w:rsid w:val="00D32DB8"/>
    <w:rsid w:val="00D35B4C"/>
    <w:rsid w:val="00D360FA"/>
    <w:rsid w:val="00D43247"/>
    <w:rsid w:val="00D43767"/>
    <w:rsid w:val="00D43C10"/>
    <w:rsid w:val="00D536CC"/>
    <w:rsid w:val="00D53C0B"/>
    <w:rsid w:val="00D60CD4"/>
    <w:rsid w:val="00D639C7"/>
    <w:rsid w:val="00D65C94"/>
    <w:rsid w:val="00D65F9C"/>
    <w:rsid w:val="00D718ED"/>
    <w:rsid w:val="00D71917"/>
    <w:rsid w:val="00D74B99"/>
    <w:rsid w:val="00D819C7"/>
    <w:rsid w:val="00D82C45"/>
    <w:rsid w:val="00D830DC"/>
    <w:rsid w:val="00D84B2F"/>
    <w:rsid w:val="00D9141C"/>
    <w:rsid w:val="00D929F9"/>
    <w:rsid w:val="00D94A14"/>
    <w:rsid w:val="00D95EEF"/>
    <w:rsid w:val="00D9619B"/>
    <w:rsid w:val="00D97BE1"/>
    <w:rsid w:val="00DA0A4A"/>
    <w:rsid w:val="00DA27BF"/>
    <w:rsid w:val="00DA310F"/>
    <w:rsid w:val="00DA3647"/>
    <w:rsid w:val="00DA6191"/>
    <w:rsid w:val="00DA7BE4"/>
    <w:rsid w:val="00DB001F"/>
    <w:rsid w:val="00DB20DE"/>
    <w:rsid w:val="00DB4994"/>
    <w:rsid w:val="00DB4C21"/>
    <w:rsid w:val="00DB700F"/>
    <w:rsid w:val="00DB7B61"/>
    <w:rsid w:val="00DC01F3"/>
    <w:rsid w:val="00DC2120"/>
    <w:rsid w:val="00DC6D73"/>
    <w:rsid w:val="00DD2B7F"/>
    <w:rsid w:val="00DD44DA"/>
    <w:rsid w:val="00DD5079"/>
    <w:rsid w:val="00DD54A1"/>
    <w:rsid w:val="00DD5A7E"/>
    <w:rsid w:val="00DD5C55"/>
    <w:rsid w:val="00DD61FA"/>
    <w:rsid w:val="00DD6AB8"/>
    <w:rsid w:val="00DE097E"/>
    <w:rsid w:val="00DE32E9"/>
    <w:rsid w:val="00DE6169"/>
    <w:rsid w:val="00DE6315"/>
    <w:rsid w:val="00DE6F80"/>
    <w:rsid w:val="00DF17A4"/>
    <w:rsid w:val="00DF1C70"/>
    <w:rsid w:val="00DF3FF3"/>
    <w:rsid w:val="00DF41DB"/>
    <w:rsid w:val="00DF520F"/>
    <w:rsid w:val="00DF52CF"/>
    <w:rsid w:val="00DF7BC7"/>
    <w:rsid w:val="00E00B93"/>
    <w:rsid w:val="00E0202B"/>
    <w:rsid w:val="00E03B23"/>
    <w:rsid w:val="00E058D3"/>
    <w:rsid w:val="00E05C7C"/>
    <w:rsid w:val="00E07AD0"/>
    <w:rsid w:val="00E1265B"/>
    <w:rsid w:val="00E12F35"/>
    <w:rsid w:val="00E1306E"/>
    <w:rsid w:val="00E13480"/>
    <w:rsid w:val="00E14DB4"/>
    <w:rsid w:val="00E213DD"/>
    <w:rsid w:val="00E22B04"/>
    <w:rsid w:val="00E23750"/>
    <w:rsid w:val="00E23F38"/>
    <w:rsid w:val="00E27F02"/>
    <w:rsid w:val="00E35D89"/>
    <w:rsid w:val="00E375D1"/>
    <w:rsid w:val="00E404D0"/>
    <w:rsid w:val="00E4147F"/>
    <w:rsid w:val="00E43D34"/>
    <w:rsid w:val="00E44BD4"/>
    <w:rsid w:val="00E44EA4"/>
    <w:rsid w:val="00E45496"/>
    <w:rsid w:val="00E456DB"/>
    <w:rsid w:val="00E45F6D"/>
    <w:rsid w:val="00E502EF"/>
    <w:rsid w:val="00E55F41"/>
    <w:rsid w:val="00E60D55"/>
    <w:rsid w:val="00E62201"/>
    <w:rsid w:val="00E6236B"/>
    <w:rsid w:val="00E6288D"/>
    <w:rsid w:val="00E629E1"/>
    <w:rsid w:val="00E62CC0"/>
    <w:rsid w:val="00E6501F"/>
    <w:rsid w:val="00E65BB5"/>
    <w:rsid w:val="00E66E29"/>
    <w:rsid w:val="00E67324"/>
    <w:rsid w:val="00E67728"/>
    <w:rsid w:val="00E72FF9"/>
    <w:rsid w:val="00E73841"/>
    <w:rsid w:val="00E74F94"/>
    <w:rsid w:val="00E76AB7"/>
    <w:rsid w:val="00E85274"/>
    <w:rsid w:val="00E8558E"/>
    <w:rsid w:val="00E86B5B"/>
    <w:rsid w:val="00E87D4F"/>
    <w:rsid w:val="00E900C6"/>
    <w:rsid w:val="00E918C6"/>
    <w:rsid w:val="00E940F8"/>
    <w:rsid w:val="00E9520D"/>
    <w:rsid w:val="00E95297"/>
    <w:rsid w:val="00E95449"/>
    <w:rsid w:val="00EA06A2"/>
    <w:rsid w:val="00EA1947"/>
    <w:rsid w:val="00EA2592"/>
    <w:rsid w:val="00EA5A07"/>
    <w:rsid w:val="00EA77B5"/>
    <w:rsid w:val="00EB01A5"/>
    <w:rsid w:val="00EB17C4"/>
    <w:rsid w:val="00EB251E"/>
    <w:rsid w:val="00EB3161"/>
    <w:rsid w:val="00EB3B20"/>
    <w:rsid w:val="00EB4586"/>
    <w:rsid w:val="00EB686B"/>
    <w:rsid w:val="00EB6EE5"/>
    <w:rsid w:val="00EB7C06"/>
    <w:rsid w:val="00EB7D94"/>
    <w:rsid w:val="00EB7D99"/>
    <w:rsid w:val="00EC1F1A"/>
    <w:rsid w:val="00EC3754"/>
    <w:rsid w:val="00EC4745"/>
    <w:rsid w:val="00EC566D"/>
    <w:rsid w:val="00EC68B4"/>
    <w:rsid w:val="00ED0296"/>
    <w:rsid w:val="00ED179E"/>
    <w:rsid w:val="00ED6235"/>
    <w:rsid w:val="00EE065C"/>
    <w:rsid w:val="00EE1790"/>
    <w:rsid w:val="00EE1D35"/>
    <w:rsid w:val="00EE3B0F"/>
    <w:rsid w:val="00EE6325"/>
    <w:rsid w:val="00EE6D91"/>
    <w:rsid w:val="00EF3660"/>
    <w:rsid w:val="00EF419D"/>
    <w:rsid w:val="00EF6B15"/>
    <w:rsid w:val="00EF6CE4"/>
    <w:rsid w:val="00EF739C"/>
    <w:rsid w:val="00EF7CC9"/>
    <w:rsid w:val="00F00159"/>
    <w:rsid w:val="00F0094B"/>
    <w:rsid w:val="00F01DEC"/>
    <w:rsid w:val="00F02027"/>
    <w:rsid w:val="00F0235F"/>
    <w:rsid w:val="00F02620"/>
    <w:rsid w:val="00F04982"/>
    <w:rsid w:val="00F05BC8"/>
    <w:rsid w:val="00F0705F"/>
    <w:rsid w:val="00F113B5"/>
    <w:rsid w:val="00F11773"/>
    <w:rsid w:val="00F117E7"/>
    <w:rsid w:val="00F11DEE"/>
    <w:rsid w:val="00F123D7"/>
    <w:rsid w:val="00F15170"/>
    <w:rsid w:val="00F22918"/>
    <w:rsid w:val="00F2318F"/>
    <w:rsid w:val="00F2611F"/>
    <w:rsid w:val="00F305CB"/>
    <w:rsid w:val="00F3119D"/>
    <w:rsid w:val="00F3259D"/>
    <w:rsid w:val="00F327A4"/>
    <w:rsid w:val="00F332AE"/>
    <w:rsid w:val="00F33DB8"/>
    <w:rsid w:val="00F351C1"/>
    <w:rsid w:val="00F36366"/>
    <w:rsid w:val="00F407CC"/>
    <w:rsid w:val="00F40CAF"/>
    <w:rsid w:val="00F412F2"/>
    <w:rsid w:val="00F43794"/>
    <w:rsid w:val="00F45DFF"/>
    <w:rsid w:val="00F461E8"/>
    <w:rsid w:val="00F46988"/>
    <w:rsid w:val="00F510F7"/>
    <w:rsid w:val="00F54429"/>
    <w:rsid w:val="00F5594B"/>
    <w:rsid w:val="00F56423"/>
    <w:rsid w:val="00F564FF"/>
    <w:rsid w:val="00F57997"/>
    <w:rsid w:val="00F61358"/>
    <w:rsid w:val="00F613FF"/>
    <w:rsid w:val="00F61EE0"/>
    <w:rsid w:val="00F62A6D"/>
    <w:rsid w:val="00F63F30"/>
    <w:rsid w:val="00F65987"/>
    <w:rsid w:val="00F662CB"/>
    <w:rsid w:val="00F66C5E"/>
    <w:rsid w:val="00F71CAF"/>
    <w:rsid w:val="00F7589A"/>
    <w:rsid w:val="00F76444"/>
    <w:rsid w:val="00F77C2F"/>
    <w:rsid w:val="00F80E7F"/>
    <w:rsid w:val="00F81B5F"/>
    <w:rsid w:val="00F865E6"/>
    <w:rsid w:val="00F8684D"/>
    <w:rsid w:val="00F94046"/>
    <w:rsid w:val="00F94B4C"/>
    <w:rsid w:val="00F95442"/>
    <w:rsid w:val="00FA073F"/>
    <w:rsid w:val="00FA22B8"/>
    <w:rsid w:val="00FA257C"/>
    <w:rsid w:val="00FA465E"/>
    <w:rsid w:val="00FA61D9"/>
    <w:rsid w:val="00FA7B48"/>
    <w:rsid w:val="00FB2356"/>
    <w:rsid w:val="00FB24F3"/>
    <w:rsid w:val="00FB2C83"/>
    <w:rsid w:val="00FB30E3"/>
    <w:rsid w:val="00FB3103"/>
    <w:rsid w:val="00FB3255"/>
    <w:rsid w:val="00FB337C"/>
    <w:rsid w:val="00FB33BB"/>
    <w:rsid w:val="00FB34F7"/>
    <w:rsid w:val="00FB3C8A"/>
    <w:rsid w:val="00FB5CFB"/>
    <w:rsid w:val="00FB7B8F"/>
    <w:rsid w:val="00FC13CC"/>
    <w:rsid w:val="00FC26A6"/>
    <w:rsid w:val="00FC3650"/>
    <w:rsid w:val="00FC36D6"/>
    <w:rsid w:val="00FC594C"/>
    <w:rsid w:val="00FC6B3D"/>
    <w:rsid w:val="00FC7A2E"/>
    <w:rsid w:val="00FD43CE"/>
    <w:rsid w:val="00FD5BD7"/>
    <w:rsid w:val="00FE2062"/>
    <w:rsid w:val="00FE2208"/>
    <w:rsid w:val="00FE2891"/>
    <w:rsid w:val="00FE62C6"/>
    <w:rsid w:val="00FF2A7E"/>
    <w:rsid w:val="00FF4066"/>
    <w:rsid w:val="00FF709D"/>
    <w:rsid w:val="00FF71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3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816D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816D3"/>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816D3"/>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unhideWhenUsed/>
    <w:qFormat/>
    <w:rsid w:val="004816D3"/>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16D3"/>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4816D3"/>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4816D3"/>
    <w:rPr>
      <w:rFonts w:asciiTheme="majorHAnsi" w:eastAsiaTheme="majorEastAsia" w:hAnsiTheme="majorHAnsi" w:cstheme="majorBidi"/>
      <w:b/>
      <w:bCs/>
      <w:color w:val="5B9BD5" w:themeColor="accent1"/>
      <w:lang w:eastAsia="tr-TR"/>
    </w:rPr>
  </w:style>
  <w:style w:type="character" w:customStyle="1" w:styleId="Balk4Char">
    <w:name w:val="Başlık 4 Char"/>
    <w:basedOn w:val="VarsaylanParagrafYazTipi"/>
    <w:link w:val="Balk4"/>
    <w:uiPriority w:val="9"/>
    <w:rsid w:val="004816D3"/>
    <w:rPr>
      <w:rFonts w:asciiTheme="majorHAnsi" w:eastAsiaTheme="majorEastAsia" w:hAnsiTheme="majorHAnsi" w:cstheme="majorBidi"/>
      <w:i/>
      <w:iCs/>
      <w:color w:val="2E74B5" w:themeColor="accent1" w:themeShade="BF"/>
      <w:lang w:eastAsia="tr-TR"/>
    </w:rPr>
  </w:style>
  <w:style w:type="paragraph" w:styleId="ListeParagraf">
    <w:name w:val="List Paragraph"/>
    <w:basedOn w:val="Normal"/>
    <w:uiPriority w:val="34"/>
    <w:qFormat/>
    <w:rsid w:val="004816D3"/>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48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816D3"/>
    <w:rPr>
      <w:rFonts w:ascii="Courier New" w:eastAsia="Times New Roman" w:hAnsi="Courier New" w:cs="Courier New"/>
      <w:sz w:val="20"/>
      <w:szCs w:val="20"/>
      <w:lang w:eastAsia="tr-TR"/>
    </w:rPr>
  </w:style>
  <w:style w:type="paragraph" w:styleId="KonuBal">
    <w:name w:val="Title"/>
    <w:basedOn w:val="Normal"/>
    <w:next w:val="Normal"/>
    <w:link w:val="KonuBalChar"/>
    <w:uiPriority w:val="10"/>
    <w:qFormat/>
    <w:rsid w:val="004816D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4816D3"/>
    <w:rPr>
      <w:rFonts w:asciiTheme="majorHAnsi" w:eastAsiaTheme="majorEastAsia" w:hAnsiTheme="majorHAnsi" w:cstheme="majorBidi"/>
      <w:color w:val="323E4F" w:themeColor="text2" w:themeShade="BF"/>
      <w:spacing w:val="5"/>
      <w:kern w:val="28"/>
      <w:sz w:val="52"/>
      <w:szCs w:val="52"/>
      <w:lang w:eastAsia="tr-TR"/>
    </w:rPr>
  </w:style>
  <w:style w:type="paragraph" w:styleId="NormalWeb">
    <w:name w:val="Normal (Web)"/>
    <w:basedOn w:val="Normal"/>
    <w:uiPriority w:val="99"/>
    <w:unhideWhenUsed/>
    <w:rsid w:val="004816D3"/>
    <w:pPr>
      <w:spacing w:before="100" w:beforeAutospacing="1" w:after="100" w:afterAutospacing="1"/>
    </w:pPr>
  </w:style>
  <w:style w:type="character" w:customStyle="1" w:styleId="h1">
    <w:name w:val="h1"/>
    <w:basedOn w:val="VarsaylanParagrafYazTipi"/>
    <w:rsid w:val="004816D3"/>
  </w:style>
  <w:style w:type="character" w:customStyle="1" w:styleId="headingendmark">
    <w:name w:val="headingendmark"/>
    <w:basedOn w:val="VarsaylanParagrafYazTipi"/>
    <w:rsid w:val="004816D3"/>
  </w:style>
  <w:style w:type="character" w:styleId="Kpr">
    <w:name w:val="Hyperlink"/>
    <w:basedOn w:val="VarsaylanParagrafYazTipi"/>
    <w:uiPriority w:val="99"/>
    <w:unhideWhenUsed/>
    <w:rsid w:val="004816D3"/>
    <w:rPr>
      <w:color w:val="0000FF"/>
      <w:u w:val="single"/>
    </w:rPr>
  </w:style>
  <w:style w:type="paragraph" w:customStyle="1" w:styleId="bulletndent1">
    <w:name w:val="bulletındent1"/>
    <w:basedOn w:val="Normal"/>
    <w:rsid w:val="004816D3"/>
    <w:pPr>
      <w:spacing w:before="100" w:beforeAutospacing="1" w:after="100" w:afterAutospacing="1"/>
    </w:pPr>
  </w:style>
  <w:style w:type="character" w:customStyle="1" w:styleId="glyph">
    <w:name w:val="glyph"/>
    <w:basedOn w:val="VarsaylanParagrafYazTipi"/>
    <w:rsid w:val="004816D3"/>
  </w:style>
  <w:style w:type="character" w:styleId="Vurgu">
    <w:name w:val="Emphasis"/>
    <w:basedOn w:val="VarsaylanParagrafYazTipi"/>
    <w:uiPriority w:val="20"/>
    <w:qFormat/>
    <w:rsid w:val="004816D3"/>
    <w:rPr>
      <w:i/>
      <w:iCs/>
    </w:rPr>
  </w:style>
  <w:style w:type="character" w:customStyle="1" w:styleId="apple-converted-space">
    <w:name w:val="apple-converted-space"/>
    <w:basedOn w:val="VarsaylanParagrafYazTipi"/>
    <w:rsid w:val="004816D3"/>
  </w:style>
  <w:style w:type="character" w:styleId="zlenenKpr">
    <w:name w:val="FollowedHyperlink"/>
    <w:basedOn w:val="VarsaylanParagrafYazTipi"/>
    <w:uiPriority w:val="99"/>
    <w:semiHidden/>
    <w:unhideWhenUsed/>
    <w:rsid w:val="004816D3"/>
    <w:rPr>
      <w:color w:val="954F72" w:themeColor="followedHyperlink"/>
      <w:u w:val="single"/>
    </w:rPr>
  </w:style>
  <w:style w:type="character" w:customStyle="1" w:styleId="nowrap">
    <w:name w:val="nowrap"/>
    <w:basedOn w:val="VarsaylanParagrafYazTipi"/>
    <w:rsid w:val="004816D3"/>
  </w:style>
  <w:style w:type="paragraph" w:customStyle="1" w:styleId="headinganchor">
    <w:name w:val="headinganchor"/>
    <w:basedOn w:val="Normal"/>
    <w:rsid w:val="004816D3"/>
    <w:pPr>
      <w:spacing w:before="100" w:beforeAutospacing="1" w:after="100" w:afterAutospacing="1"/>
    </w:pPr>
  </w:style>
  <w:style w:type="character" w:styleId="Gl">
    <w:name w:val="Strong"/>
    <w:basedOn w:val="VarsaylanParagrafYazTipi"/>
    <w:uiPriority w:val="22"/>
    <w:qFormat/>
    <w:rsid w:val="004816D3"/>
    <w:rPr>
      <w:b/>
      <w:bCs/>
    </w:rPr>
  </w:style>
  <w:style w:type="character" w:customStyle="1" w:styleId="highlighted">
    <w:name w:val="highlighted"/>
    <w:basedOn w:val="VarsaylanParagrafYazTipi"/>
    <w:rsid w:val="004816D3"/>
  </w:style>
  <w:style w:type="character" w:customStyle="1" w:styleId="h2">
    <w:name w:val="h2"/>
    <w:basedOn w:val="VarsaylanParagrafYazTipi"/>
    <w:rsid w:val="004816D3"/>
  </w:style>
  <w:style w:type="paragraph" w:customStyle="1" w:styleId="svarticle">
    <w:name w:val="svarticle"/>
    <w:basedOn w:val="Normal"/>
    <w:rsid w:val="004816D3"/>
    <w:pPr>
      <w:spacing w:before="100" w:beforeAutospacing="1" w:after="100" w:afterAutospacing="1"/>
    </w:pPr>
  </w:style>
  <w:style w:type="character" w:customStyle="1" w:styleId="highlight">
    <w:name w:val="highlight"/>
    <w:basedOn w:val="VarsaylanParagrafYazTipi"/>
    <w:rsid w:val="004816D3"/>
  </w:style>
  <w:style w:type="paragraph" w:customStyle="1" w:styleId="paragraph">
    <w:name w:val="paragraph"/>
    <w:basedOn w:val="Normal"/>
    <w:rsid w:val="004816D3"/>
    <w:pPr>
      <w:spacing w:before="100" w:beforeAutospacing="1" w:after="100" w:afterAutospacing="1"/>
    </w:pPr>
  </w:style>
  <w:style w:type="character" w:customStyle="1" w:styleId="normaltextrun">
    <w:name w:val="normaltextrun"/>
    <w:basedOn w:val="VarsaylanParagrafYazTipi"/>
    <w:rsid w:val="004816D3"/>
  </w:style>
  <w:style w:type="character" w:customStyle="1" w:styleId="spellingerror">
    <w:name w:val="spellingerror"/>
    <w:basedOn w:val="VarsaylanParagrafYazTipi"/>
    <w:rsid w:val="004816D3"/>
  </w:style>
  <w:style w:type="character" w:customStyle="1" w:styleId="eop">
    <w:name w:val="eop"/>
    <w:basedOn w:val="VarsaylanParagrafYazTipi"/>
    <w:rsid w:val="004816D3"/>
  </w:style>
  <w:style w:type="character" w:styleId="AklamaBavurusu">
    <w:name w:val="annotation reference"/>
    <w:basedOn w:val="VarsaylanParagrafYazTipi"/>
    <w:uiPriority w:val="99"/>
    <w:semiHidden/>
    <w:unhideWhenUsed/>
    <w:rsid w:val="004816D3"/>
    <w:rPr>
      <w:sz w:val="16"/>
      <w:szCs w:val="16"/>
    </w:rPr>
  </w:style>
  <w:style w:type="paragraph" w:styleId="AklamaMetni">
    <w:name w:val="annotation text"/>
    <w:basedOn w:val="Normal"/>
    <w:link w:val="AklamaMetniChar"/>
    <w:uiPriority w:val="99"/>
    <w:unhideWhenUsed/>
    <w:rsid w:val="004816D3"/>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rsid w:val="004816D3"/>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816D3"/>
    <w:rPr>
      <w:b/>
      <w:bCs/>
    </w:rPr>
  </w:style>
  <w:style w:type="character" w:customStyle="1" w:styleId="AklamaKonusuChar">
    <w:name w:val="Açıklama Konusu Char"/>
    <w:basedOn w:val="AklamaMetniChar"/>
    <w:link w:val="AklamaKonusu"/>
    <w:uiPriority w:val="99"/>
    <w:semiHidden/>
    <w:rsid w:val="004816D3"/>
    <w:rPr>
      <w:rFonts w:eastAsiaTheme="minorEastAsia"/>
      <w:b/>
      <w:bCs/>
      <w:sz w:val="20"/>
      <w:szCs w:val="20"/>
      <w:lang w:eastAsia="tr-TR"/>
    </w:rPr>
  </w:style>
  <w:style w:type="paragraph" w:styleId="BalonMetni">
    <w:name w:val="Balloon Text"/>
    <w:basedOn w:val="Normal"/>
    <w:link w:val="BalonMetniChar"/>
    <w:uiPriority w:val="99"/>
    <w:semiHidden/>
    <w:unhideWhenUsed/>
    <w:rsid w:val="004816D3"/>
    <w:rPr>
      <w:rFonts w:ascii="Tahoma" w:eastAsiaTheme="minorEastAsia" w:hAnsi="Tahoma" w:cs="Tahoma"/>
      <w:sz w:val="16"/>
      <w:szCs w:val="16"/>
    </w:rPr>
  </w:style>
  <w:style w:type="character" w:customStyle="1" w:styleId="BalonMetniChar">
    <w:name w:val="Balon Metni Char"/>
    <w:basedOn w:val="VarsaylanParagrafYazTipi"/>
    <w:link w:val="BalonMetni"/>
    <w:uiPriority w:val="99"/>
    <w:semiHidden/>
    <w:rsid w:val="004816D3"/>
    <w:rPr>
      <w:rFonts w:ascii="Tahoma" w:eastAsiaTheme="minorEastAsia" w:hAnsi="Tahoma" w:cs="Tahoma"/>
      <w:sz w:val="16"/>
      <w:szCs w:val="16"/>
      <w:lang w:eastAsia="tr-TR"/>
    </w:rPr>
  </w:style>
  <w:style w:type="character" w:customStyle="1" w:styleId="medcalcfontcctab">
    <w:name w:val="medcalcfontcctab"/>
    <w:basedOn w:val="VarsaylanParagrafYazTipi"/>
    <w:rsid w:val="004816D3"/>
  </w:style>
  <w:style w:type="paragraph" w:customStyle="1" w:styleId="bulletindent1">
    <w:name w:val="bulletindent1"/>
    <w:basedOn w:val="Normal"/>
    <w:rsid w:val="004816D3"/>
    <w:pPr>
      <w:spacing w:before="100" w:beforeAutospacing="1" w:after="100" w:afterAutospacing="1"/>
    </w:pPr>
  </w:style>
  <w:style w:type="character" w:customStyle="1" w:styleId="cit">
    <w:name w:val="cit"/>
    <w:basedOn w:val="VarsaylanParagrafYazTipi"/>
    <w:rsid w:val="004816D3"/>
  </w:style>
  <w:style w:type="character" w:customStyle="1" w:styleId="fm-vol-iss-date">
    <w:name w:val="fm-vol-iss-date"/>
    <w:basedOn w:val="VarsaylanParagrafYazTipi"/>
    <w:rsid w:val="004816D3"/>
  </w:style>
  <w:style w:type="character" w:customStyle="1" w:styleId="doi">
    <w:name w:val="doi"/>
    <w:basedOn w:val="VarsaylanParagrafYazTipi"/>
    <w:rsid w:val="004816D3"/>
  </w:style>
  <w:style w:type="character" w:customStyle="1" w:styleId="fm-citation-ids-label">
    <w:name w:val="fm-citation-ids-label"/>
    <w:basedOn w:val="VarsaylanParagrafYazTipi"/>
    <w:rsid w:val="004816D3"/>
  </w:style>
  <w:style w:type="character" w:customStyle="1" w:styleId="title-text">
    <w:name w:val="title-text"/>
    <w:basedOn w:val="VarsaylanParagrafYazTipi"/>
    <w:rsid w:val="004816D3"/>
  </w:style>
  <w:style w:type="character" w:customStyle="1" w:styleId="published-date">
    <w:name w:val="published-date"/>
    <w:basedOn w:val="VarsaylanParagrafYazTipi"/>
    <w:rsid w:val="004816D3"/>
  </w:style>
  <w:style w:type="character" w:customStyle="1" w:styleId="subhead-sans">
    <w:name w:val="subhead-sans"/>
    <w:basedOn w:val="VarsaylanParagrafYazTipi"/>
    <w:rsid w:val="004816D3"/>
  </w:style>
  <w:style w:type="character" w:customStyle="1" w:styleId="zmlenmeyenBahsetme1">
    <w:name w:val="Çözümlenmeyen Bahsetme1"/>
    <w:basedOn w:val="VarsaylanParagrafYazTipi"/>
    <w:uiPriority w:val="99"/>
    <w:semiHidden/>
    <w:unhideWhenUsed/>
    <w:rsid w:val="00160C9A"/>
    <w:rPr>
      <w:color w:val="808080"/>
      <w:shd w:val="clear" w:color="auto" w:fill="E6E6E6"/>
    </w:rPr>
  </w:style>
  <w:style w:type="character" w:customStyle="1" w:styleId="zmlenmeyenBahsetme2">
    <w:name w:val="Çözümlenmeyen Bahsetme2"/>
    <w:basedOn w:val="VarsaylanParagrafYazTipi"/>
    <w:uiPriority w:val="99"/>
    <w:semiHidden/>
    <w:unhideWhenUsed/>
    <w:rsid w:val="007B0AC0"/>
    <w:rPr>
      <w:color w:val="808080"/>
      <w:shd w:val="clear" w:color="auto" w:fill="E6E6E6"/>
    </w:rPr>
  </w:style>
  <w:style w:type="paragraph" w:styleId="Dzeltme">
    <w:name w:val="Revision"/>
    <w:hidden/>
    <w:uiPriority w:val="99"/>
    <w:semiHidden/>
    <w:rsid w:val="0008628F"/>
    <w:pPr>
      <w:spacing w:after="0" w:line="240" w:lineRule="auto"/>
    </w:pPr>
    <w:rPr>
      <w:rFonts w:eastAsiaTheme="minorEastAsia"/>
      <w:lang w:eastAsia="tr-TR"/>
    </w:rPr>
  </w:style>
  <w:style w:type="paragraph" w:customStyle="1" w:styleId="title1">
    <w:name w:val="title1"/>
    <w:basedOn w:val="Normal"/>
    <w:rsid w:val="002B1554"/>
    <w:rPr>
      <w:sz w:val="27"/>
      <w:szCs w:val="27"/>
    </w:rPr>
  </w:style>
  <w:style w:type="paragraph" w:customStyle="1" w:styleId="desc2">
    <w:name w:val="desc2"/>
    <w:basedOn w:val="Normal"/>
    <w:rsid w:val="002B1554"/>
    <w:rPr>
      <w:sz w:val="26"/>
      <w:szCs w:val="26"/>
    </w:rPr>
  </w:style>
  <w:style w:type="paragraph" w:customStyle="1" w:styleId="details1">
    <w:name w:val="details1"/>
    <w:basedOn w:val="Normal"/>
    <w:rsid w:val="002B1554"/>
    <w:rPr>
      <w:sz w:val="22"/>
      <w:szCs w:val="22"/>
    </w:rPr>
  </w:style>
  <w:style w:type="character" w:customStyle="1" w:styleId="jrnl">
    <w:name w:val="jrnl"/>
    <w:basedOn w:val="VarsaylanParagrafYazTipi"/>
    <w:rsid w:val="002B1554"/>
  </w:style>
  <w:style w:type="character" w:customStyle="1" w:styleId="reference2">
    <w:name w:val="reference2"/>
    <w:basedOn w:val="VarsaylanParagrafYazTipi"/>
    <w:rsid w:val="00A43D2C"/>
  </w:style>
  <w:style w:type="paragraph" w:customStyle="1" w:styleId="p">
    <w:name w:val="p"/>
    <w:basedOn w:val="Normal"/>
    <w:rsid w:val="00632179"/>
    <w:pPr>
      <w:spacing w:before="100" w:beforeAutospacing="1" w:after="100" w:afterAutospacing="1"/>
    </w:pPr>
  </w:style>
  <w:style w:type="character" w:customStyle="1" w:styleId="element-citation">
    <w:name w:val="element-citation"/>
    <w:basedOn w:val="VarsaylanParagrafYazTipi"/>
    <w:rsid w:val="00632179"/>
  </w:style>
  <w:style w:type="character" w:customStyle="1" w:styleId="ref-journal">
    <w:name w:val="ref-journal"/>
    <w:basedOn w:val="VarsaylanParagrafYazTipi"/>
    <w:rsid w:val="00632179"/>
  </w:style>
  <w:style w:type="character" w:customStyle="1" w:styleId="ref-vol">
    <w:name w:val="ref-vol"/>
    <w:basedOn w:val="VarsaylanParagrafYazTipi"/>
    <w:rsid w:val="00632179"/>
  </w:style>
  <w:style w:type="character" w:customStyle="1" w:styleId="A0">
    <w:name w:val="A0"/>
    <w:uiPriority w:val="99"/>
    <w:rsid w:val="007528C0"/>
    <w:rPr>
      <w:rFonts w:cs="Times"/>
      <w:color w:val="000000"/>
      <w:sz w:val="18"/>
      <w:szCs w:val="18"/>
    </w:rPr>
  </w:style>
  <w:style w:type="paragraph" w:customStyle="1" w:styleId="xydpa63fa9c4yiv7303835055ydpbaf6fb72yiv8453841409ydp3fb8dab1msonormal">
    <w:name w:val="x_ydpa63fa9c4yiv7303835055ydpbaf6fb72yiv8453841409ydp3fb8dab1msonormal"/>
    <w:basedOn w:val="Normal"/>
    <w:rsid w:val="005A33D2"/>
    <w:pPr>
      <w:spacing w:before="100" w:beforeAutospacing="1" w:after="100" w:afterAutospacing="1"/>
    </w:pPr>
  </w:style>
  <w:style w:type="paragraph" w:customStyle="1" w:styleId="Saptanm">
    <w:name w:val="Saptanmış"/>
    <w:rsid w:val="003E5F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rPr>
  </w:style>
  <w:style w:type="paragraph" w:customStyle="1" w:styleId="xydp98b0ef9amsonormal">
    <w:name w:val="x_ydp98b0ef9amsonormal"/>
    <w:basedOn w:val="Normal"/>
    <w:rsid w:val="005712F8"/>
    <w:pPr>
      <w:spacing w:before="100" w:beforeAutospacing="1" w:after="100" w:afterAutospacing="1"/>
    </w:pPr>
  </w:style>
  <w:style w:type="character" w:customStyle="1" w:styleId="xydp98b0ef9amsohyperlink">
    <w:name w:val="x_ydp98b0ef9amsohyperlink"/>
    <w:basedOn w:val="VarsaylanParagrafYazTipi"/>
    <w:rsid w:val="005712F8"/>
  </w:style>
  <w:style w:type="character" w:customStyle="1" w:styleId="user-generated">
    <w:name w:val="user-generated"/>
    <w:basedOn w:val="VarsaylanParagrafYazTipi"/>
    <w:rsid w:val="001D5654"/>
  </w:style>
  <w:style w:type="character" w:customStyle="1" w:styleId="zmlenmeyenBahsetme3">
    <w:name w:val="Çözümlenmeyen Bahsetme3"/>
    <w:basedOn w:val="VarsaylanParagrafYazTipi"/>
    <w:uiPriority w:val="99"/>
    <w:semiHidden/>
    <w:unhideWhenUsed/>
    <w:rsid w:val="001978D3"/>
    <w:rPr>
      <w:color w:val="808080"/>
      <w:shd w:val="clear" w:color="auto" w:fill="E6E6E6"/>
    </w:rPr>
  </w:style>
  <w:style w:type="paragraph" w:customStyle="1" w:styleId="xydpfcd73491msonormal">
    <w:name w:val="x_ydpfcd73491msonormal"/>
    <w:basedOn w:val="Normal"/>
    <w:rsid w:val="001978D3"/>
    <w:pPr>
      <w:spacing w:before="100" w:beforeAutospacing="1" w:after="100" w:afterAutospacing="1"/>
    </w:pPr>
  </w:style>
  <w:style w:type="character" w:customStyle="1" w:styleId="HTMLPreformattedChar">
    <w:name w:val="HTML Preformatted Char"/>
    <w:basedOn w:val="VarsaylanParagrafYazTipi"/>
    <w:uiPriority w:val="99"/>
    <w:rsid w:val="001978D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42909">
      <w:bodyDiv w:val="1"/>
      <w:marLeft w:val="0"/>
      <w:marRight w:val="0"/>
      <w:marTop w:val="0"/>
      <w:marBottom w:val="0"/>
      <w:divBdr>
        <w:top w:val="none" w:sz="0" w:space="0" w:color="auto"/>
        <w:left w:val="none" w:sz="0" w:space="0" w:color="auto"/>
        <w:bottom w:val="none" w:sz="0" w:space="0" w:color="auto"/>
        <w:right w:val="none" w:sz="0" w:space="0" w:color="auto"/>
      </w:divBdr>
      <w:divsChild>
        <w:div w:id="82264733">
          <w:marLeft w:val="0"/>
          <w:marRight w:val="0"/>
          <w:marTop w:val="0"/>
          <w:marBottom w:val="0"/>
          <w:divBdr>
            <w:top w:val="none" w:sz="0" w:space="0" w:color="auto"/>
            <w:left w:val="none" w:sz="0" w:space="0" w:color="auto"/>
            <w:bottom w:val="none" w:sz="0" w:space="0" w:color="auto"/>
            <w:right w:val="none" w:sz="0" w:space="0" w:color="auto"/>
          </w:divBdr>
        </w:div>
        <w:div w:id="621502678">
          <w:marLeft w:val="0"/>
          <w:marRight w:val="0"/>
          <w:marTop w:val="0"/>
          <w:marBottom w:val="0"/>
          <w:divBdr>
            <w:top w:val="none" w:sz="0" w:space="0" w:color="auto"/>
            <w:left w:val="none" w:sz="0" w:space="0" w:color="auto"/>
            <w:bottom w:val="none" w:sz="0" w:space="0" w:color="auto"/>
            <w:right w:val="none" w:sz="0" w:space="0" w:color="auto"/>
          </w:divBdr>
        </w:div>
        <w:div w:id="327562977">
          <w:marLeft w:val="0"/>
          <w:marRight w:val="0"/>
          <w:marTop w:val="0"/>
          <w:marBottom w:val="0"/>
          <w:divBdr>
            <w:top w:val="none" w:sz="0" w:space="0" w:color="auto"/>
            <w:left w:val="none" w:sz="0" w:space="0" w:color="auto"/>
            <w:bottom w:val="none" w:sz="0" w:space="0" w:color="auto"/>
            <w:right w:val="none" w:sz="0" w:space="0" w:color="auto"/>
          </w:divBdr>
        </w:div>
      </w:divsChild>
    </w:div>
    <w:div w:id="10886160">
      <w:bodyDiv w:val="1"/>
      <w:marLeft w:val="0"/>
      <w:marRight w:val="0"/>
      <w:marTop w:val="0"/>
      <w:marBottom w:val="0"/>
      <w:divBdr>
        <w:top w:val="none" w:sz="0" w:space="0" w:color="auto"/>
        <w:left w:val="none" w:sz="0" w:space="0" w:color="auto"/>
        <w:bottom w:val="none" w:sz="0" w:space="0" w:color="auto"/>
        <w:right w:val="none" w:sz="0" w:space="0" w:color="auto"/>
      </w:divBdr>
    </w:div>
    <w:div w:id="14620892">
      <w:bodyDiv w:val="1"/>
      <w:marLeft w:val="0"/>
      <w:marRight w:val="0"/>
      <w:marTop w:val="0"/>
      <w:marBottom w:val="0"/>
      <w:divBdr>
        <w:top w:val="none" w:sz="0" w:space="0" w:color="auto"/>
        <w:left w:val="none" w:sz="0" w:space="0" w:color="auto"/>
        <w:bottom w:val="none" w:sz="0" w:space="0" w:color="auto"/>
        <w:right w:val="none" w:sz="0" w:space="0" w:color="auto"/>
      </w:divBdr>
    </w:div>
    <w:div w:id="61565106">
      <w:bodyDiv w:val="1"/>
      <w:marLeft w:val="0"/>
      <w:marRight w:val="0"/>
      <w:marTop w:val="0"/>
      <w:marBottom w:val="0"/>
      <w:divBdr>
        <w:top w:val="none" w:sz="0" w:space="0" w:color="auto"/>
        <w:left w:val="none" w:sz="0" w:space="0" w:color="auto"/>
        <w:bottom w:val="none" w:sz="0" w:space="0" w:color="auto"/>
        <w:right w:val="none" w:sz="0" w:space="0" w:color="auto"/>
      </w:divBdr>
    </w:div>
    <w:div w:id="69276022">
      <w:bodyDiv w:val="1"/>
      <w:marLeft w:val="0"/>
      <w:marRight w:val="0"/>
      <w:marTop w:val="0"/>
      <w:marBottom w:val="0"/>
      <w:divBdr>
        <w:top w:val="none" w:sz="0" w:space="0" w:color="auto"/>
        <w:left w:val="none" w:sz="0" w:space="0" w:color="auto"/>
        <w:bottom w:val="none" w:sz="0" w:space="0" w:color="auto"/>
        <w:right w:val="none" w:sz="0" w:space="0" w:color="auto"/>
      </w:divBdr>
      <w:divsChild>
        <w:div w:id="1054505732">
          <w:marLeft w:val="0"/>
          <w:marRight w:val="0"/>
          <w:marTop w:val="0"/>
          <w:marBottom w:val="0"/>
          <w:divBdr>
            <w:top w:val="none" w:sz="0" w:space="0" w:color="auto"/>
            <w:left w:val="none" w:sz="0" w:space="0" w:color="auto"/>
            <w:bottom w:val="none" w:sz="0" w:space="0" w:color="auto"/>
            <w:right w:val="none" w:sz="0" w:space="0" w:color="auto"/>
          </w:divBdr>
          <w:divsChild>
            <w:div w:id="32193912">
              <w:marLeft w:val="0"/>
              <w:marRight w:val="0"/>
              <w:marTop w:val="0"/>
              <w:marBottom w:val="0"/>
              <w:divBdr>
                <w:top w:val="none" w:sz="0" w:space="0" w:color="auto"/>
                <w:left w:val="none" w:sz="0" w:space="0" w:color="auto"/>
                <w:bottom w:val="none" w:sz="0" w:space="0" w:color="auto"/>
                <w:right w:val="none" w:sz="0" w:space="0" w:color="auto"/>
              </w:divBdr>
              <w:divsChild>
                <w:div w:id="1346707531">
                  <w:marLeft w:val="-268"/>
                  <w:marRight w:val="-268"/>
                  <w:marTop w:val="0"/>
                  <w:marBottom w:val="0"/>
                  <w:divBdr>
                    <w:top w:val="none" w:sz="0" w:space="0" w:color="auto"/>
                    <w:left w:val="none" w:sz="0" w:space="0" w:color="auto"/>
                    <w:bottom w:val="none" w:sz="0" w:space="0" w:color="auto"/>
                    <w:right w:val="none" w:sz="0" w:space="0" w:color="auto"/>
                  </w:divBdr>
                  <w:divsChild>
                    <w:div w:id="335772656">
                      <w:marLeft w:val="0"/>
                      <w:marRight w:val="0"/>
                      <w:marTop w:val="0"/>
                      <w:marBottom w:val="0"/>
                      <w:divBdr>
                        <w:top w:val="none" w:sz="0" w:space="0" w:color="auto"/>
                        <w:left w:val="none" w:sz="0" w:space="0" w:color="auto"/>
                        <w:bottom w:val="none" w:sz="0" w:space="0" w:color="auto"/>
                        <w:right w:val="none" w:sz="0" w:space="0" w:color="auto"/>
                      </w:divBdr>
                      <w:divsChild>
                        <w:div w:id="120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9013">
      <w:bodyDiv w:val="1"/>
      <w:marLeft w:val="0"/>
      <w:marRight w:val="0"/>
      <w:marTop w:val="0"/>
      <w:marBottom w:val="0"/>
      <w:divBdr>
        <w:top w:val="none" w:sz="0" w:space="0" w:color="auto"/>
        <w:left w:val="none" w:sz="0" w:space="0" w:color="auto"/>
        <w:bottom w:val="none" w:sz="0" w:space="0" w:color="auto"/>
        <w:right w:val="none" w:sz="0" w:space="0" w:color="auto"/>
      </w:divBdr>
    </w:div>
    <w:div w:id="87896001">
      <w:bodyDiv w:val="1"/>
      <w:marLeft w:val="0"/>
      <w:marRight w:val="0"/>
      <w:marTop w:val="0"/>
      <w:marBottom w:val="0"/>
      <w:divBdr>
        <w:top w:val="none" w:sz="0" w:space="0" w:color="auto"/>
        <w:left w:val="none" w:sz="0" w:space="0" w:color="auto"/>
        <w:bottom w:val="none" w:sz="0" w:space="0" w:color="auto"/>
        <w:right w:val="none" w:sz="0" w:space="0" w:color="auto"/>
      </w:divBdr>
    </w:div>
    <w:div w:id="93133058">
      <w:bodyDiv w:val="1"/>
      <w:marLeft w:val="0"/>
      <w:marRight w:val="0"/>
      <w:marTop w:val="0"/>
      <w:marBottom w:val="0"/>
      <w:divBdr>
        <w:top w:val="none" w:sz="0" w:space="0" w:color="auto"/>
        <w:left w:val="none" w:sz="0" w:space="0" w:color="auto"/>
        <w:bottom w:val="none" w:sz="0" w:space="0" w:color="auto"/>
        <w:right w:val="none" w:sz="0" w:space="0" w:color="auto"/>
      </w:divBdr>
    </w:div>
    <w:div w:id="111367861">
      <w:bodyDiv w:val="1"/>
      <w:marLeft w:val="0"/>
      <w:marRight w:val="0"/>
      <w:marTop w:val="0"/>
      <w:marBottom w:val="0"/>
      <w:divBdr>
        <w:top w:val="none" w:sz="0" w:space="0" w:color="auto"/>
        <w:left w:val="none" w:sz="0" w:space="0" w:color="auto"/>
        <w:bottom w:val="none" w:sz="0" w:space="0" w:color="auto"/>
        <w:right w:val="none" w:sz="0" w:space="0" w:color="auto"/>
      </w:divBdr>
    </w:div>
    <w:div w:id="112603911">
      <w:bodyDiv w:val="1"/>
      <w:marLeft w:val="0"/>
      <w:marRight w:val="0"/>
      <w:marTop w:val="0"/>
      <w:marBottom w:val="0"/>
      <w:divBdr>
        <w:top w:val="none" w:sz="0" w:space="0" w:color="auto"/>
        <w:left w:val="none" w:sz="0" w:space="0" w:color="auto"/>
        <w:bottom w:val="none" w:sz="0" w:space="0" w:color="auto"/>
        <w:right w:val="none" w:sz="0" w:space="0" w:color="auto"/>
      </w:divBdr>
    </w:div>
    <w:div w:id="158885647">
      <w:bodyDiv w:val="1"/>
      <w:marLeft w:val="0"/>
      <w:marRight w:val="0"/>
      <w:marTop w:val="0"/>
      <w:marBottom w:val="0"/>
      <w:divBdr>
        <w:top w:val="none" w:sz="0" w:space="0" w:color="auto"/>
        <w:left w:val="none" w:sz="0" w:space="0" w:color="auto"/>
        <w:bottom w:val="none" w:sz="0" w:space="0" w:color="auto"/>
        <w:right w:val="none" w:sz="0" w:space="0" w:color="auto"/>
      </w:divBdr>
    </w:div>
    <w:div w:id="164633115">
      <w:bodyDiv w:val="1"/>
      <w:marLeft w:val="0"/>
      <w:marRight w:val="0"/>
      <w:marTop w:val="0"/>
      <w:marBottom w:val="0"/>
      <w:divBdr>
        <w:top w:val="none" w:sz="0" w:space="0" w:color="auto"/>
        <w:left w:val="none" w:sz="0" w:space="0" w:color="auto"/>
        <w:bottom w:val="none" w:sz="0" w:space="0" w:color="auto"/>
        <w:right w:val="none" w:sz="0" w:space="0" w:color="auto"/>
      </w:divBdr>
    </w:div>
    <w:div w:id="167644115">
      <w:bodyDiv w:val="1"/>
      <w:marLeft w:val="0"/>
      <w:marRight w:val="0"/>
      <w:marTop w:val="0"/>
      <w:marBottom w:val="0"/>
      <w:divBdr>
        <w:top w:val="none" w:sz="0" w:space="0" w:color="auto"/>
        <w:left w:val="none" w:sz="0" w:space="0" w:color="auto"/>
        <w:bottom w:val="none" w:sz="0" w:space="0" w:color="auto"/>
        <w:right w:val="none" w:sz="0" w:space="0" w:color="auto"/>
      </w:divBdr>
    </w:div>
    <w:div w:id="186260661">
      <w:bodyDiv w:val="1"/>
      <w:marLeft w:val="0"/>
      <w:marRight w:val="0"/>
      <w:marTop w:val="0"/>
      <w:marBottom w:val="0"/>
      <w:divBdr>
        <w:top w:val="none" w:sz="0" w:space="0" w:color="auto"/>
        <w:left w:val="none" w:sz="0" w:space="0" w:color="auto"/>
        <w:bottom w:val="none" w:sz="0" w:space="0" w:color="auto"/>
        <w:right w:val="none" w:sz="0" w:space="0" w:color="auto"/>
      </w:divBdr>
    </w:div>
    <w:div w:id="212667605">
      <w:bodyDiv w:val="1"/>
      <w:marLeft w:val="0"/>
      <w:marRight w:val="0"/>
      <w:marTop w:val="0"/>
      <w:marBottom w:val="0"/>
      <w:divBdr>
        <w:top w:val="none" w:sz="0" w:space="0" w:color="auto"/>
        <w:left w:val="none" w:sz="0" w:space="0" w:color="auto"/>
        <w:bottom w:val="none" w:sz="0" w:space="0" w:color="auto"/>
        <w:right w:val="none" w:sz="0" w:space="0" w:color="auto"/>
      </w:divBdr>
    </w:div>
    <w:div w:id="213467430">
      <w:bodyDiv w:val="1"/>
      <w:marLeft w:val="0"/>
      <w:marRight w:val="0"/>
      <w:marTop w:val="0"/>
      <w:marBottom w:val="0"/>
      <w:divBdr>
        <w:top w:val="none" w:sz="0" w:space="0" w:color="auto"/>
        <w:left w:val="none" w:sz="0" w:space="0" w:color="auto"/>
        <w:bottom w:val="none" w:sz="0" w:space="0" w:color="auto"/>
        <w:right w:val="none" w:sz="0" w:space="0" w:color="auto"/>
      </w:divBdr>
    </w:div>
    <w:div w:id="231043993">
      <w:bodyDiv w:val="1"/>
      <w:marLeft w:val="0"/>
      <w:marRight w:val="0"/>
      <w:marTop w:val="0"/>
      <w:marBottom w:val="0"/>
      <w:divBdr>
        <w:top w:val="none" w:sz="0" w:space="0" w:color="auto"/>
        <w:left w:val="none" w:sz="0" w:space="0" w:color="auto"/>
        <w:bottom w:val="none" w:sz="0" w:space="0" w:color="auto"/>
        <w:right w:val="none" w:sz="0" w:space="0" w:color="auto"/>
      </w:divBdr>
    </w:div>
    <w:div w:id="232743568">
      <w:bodyDiv w:val="1"/>
      <w:marLeft w:val="0"/>
      <w:marRight w:val="0"/>
      <w:marTop w:val="0"/>
      <w:marBottom w:val="0"/>
      <w:divBdr>
        <w:top w:val="none" w:sz="0" w:space="0" w:color="auto"/>
        <w:left w:val="none" w:sz="0" w:space="0" w:color="auto"/>
        <w:bottom w:val="none" w:sz="0" w:space="0" w:color="auto"/>
        <w:right w:val="none" w:sz="0" w:space="0" w:color="auto"/>
      </w:divBdr>
    </w:div>
    <w:div w:id="245069721">
      <w:bodyDiv w:val="1"/>
      <w:marLeft w:val="0"/>
      <w:marRight w:val="0"/>
      <w:marTop w:val="0"/>
      <w:marBottom w:val="0"/>
      <w:divBdr>
        <w:top w:val="none" w:sz="0" w:space="0" w:color="auto"/>
        <w:left w:val="none" w:sz="0" w:space="0" w:color="auto"/>
        <w:bottom w:val="none" w:sz="0" w:space="0" w:color="auto"/>
        <w:right w:val="none" w:sz="0" w:space="0" w:color="auto"/>
      </w:divBdr>
    </w:div>
    <w:div w:id="274799657">
      <w:bodyDiv w:val="1"/>
      <w:marLeft w:val="0"/>
      <w:marRight w:val="0"/>
      <w:marTop w:val="0"/>
      <w:marBottom w:val="0"/>
      <w:divBdr>
        <w:top w:val="none" w:sz="0" w:space="0" w:color="auto"/>
        <w:left w:val="none" w:sz="0" w:space="0" w:color="auto"/>
        <w:bottom w:val="none" w:sz="0" w:space="0" w:color="auto"/>
        <w:right w:val="none" w:sz="0" w:space="0" w:color="auto"/>
      </w:divBdr>
    </w:div>
    <w:div w:id="305012631">
      <w:bodyDiv w:val="1"/>
      <w:marLeft w:val="0"/>
      <w:marRight w:val="0"/>
      <w:marTop w:val="0"/>
      <w:marBottom w:val="0"/>
      <w:divBdr>
        <w:top w:val="none" w:sz="0" w:space="0" w:color="auto"/>
        <w:left w:val="none" w:sz="0" w:space="0" w:color="auto"/>
        <w:bottom w:val="none" w:sz="0" w:space="0" w:color="auto"/>
        <w:right w:val="none" w:sz="0" w:space="0" w:color="auto"/>
      </w:divBdr>
    </w:div>
    <w:div w:id="320741076">
      <w:bodyDiv w:val="1"/>
      <w:marLeft w:val="0"/>
      <w:marRight w:val="0"/>
      <w:marTop w:val="0"/>
      <w:marBottom w:val="0"/>
      <w:divBdr>
        <w:top w:val="none" w:sz="0" w:space="0" w:color="auto"/>
        <w:left w:val="none" w:sz="0" w:space="0" w:color="auto"/>
        <w:bottom w:val="none" w:sz="0" w:space="0" w:color="auto"/>
        <w:right w:val="none" w:sz="0" w:space="0" w:color="auto"/>
      </w:divBdr>
    </w:div>
    <w:div w:id="341516390">
      <w:bodyDiv w:val="1"/>
      <w:marLeft w:val="0"/>
      <w:marRight w:val="0"/>
      <w:marTop w:val="0"/>
      <w:marBottom w:val="0"/>
      <w:divBdr>
        <w:top w:val="none" w:sz="0" w:space="0" w:color="auto"/>
        <w:left w:val="none" w:sz="0" w:space="0" w:color="auto"/>
        <w:bottom w:val="none" w:sz="0" w:space="0" w:color="auto"/>
        <w:right w:val="none" w:sz="0" w:space="0" w:color="auto"/>
      </w:divBdr>
    </w:div>
    <w:div w:id="350029750">
      <w:bodyDiv w:val="1"/>
      <w:marLeft w:val="0"/>
      <w:marRight w:val="0"/>
      <w:marTop w:val="0"/>
      <w:marBottom w:val="0"/>
      <w:divBdr>
        <w:top w:val="none" w:sz="0" w:space="0" w:color="auto"/>
        <w:left w:val="none" w:sz="0" w:space="0" w:color="auto"/>
        <w:bottom w:val="none" w:sz="0" w:space="0" w:color="auto"/>
        <w:right w:val="none" w:sz="0" w:space="0" w:color="auto"/>
      </w:divBdr>
    </w:div>
    <w:div w:id="361174255">
      <w:bodyDiv w:val="1"/>
      <w:marLeft w:val="0"/>
      <w:marRight w:val="0"/>
      <w:marTop w:val="0"/>
      <w:marBottom w:val="0"/>
      <w:divBdr>
        <w:top w:val="none" w:sz="0" w:space="0" w:color="auto"/>
        <w:left w:val="none" w:sz="0" w:space="0" w:color="auto"/>
        <w:bottom w:val="none" w:sz="0" w:space="0" w:color="auto"/>
        <w:right w:val="none" w:sz="0" w:space="0" w:color="auto"/>
      </w:divBdr>
    </w:div>
    <w:div w:id="374426655">
      <w:bodyDiv w:val="1"/>
      <w:marLeft w:val="0"/>
      <w:marRight w:val="0"/>
      <w:marTop w:val="0"/>
      <w:marBottom w:val="0"/>
      <w:divBdr>
        <w:top w:val="none" w:sz="0" w:space="0" w:color="auto"/>
        <w:left w:val="none" w:sz="0" w:space="0" w:color="auto"/>
        <w:bottom w:val="none" w:sz="0" w:space="0" w:color="auto"/>
        <w:right w:val="none" w:sz="0" w:space="0" w:color="auto"/>
      </w:divBdr>
    </w:div>
    <w:div w:id="384837210">
      <w:bodyDiv w:val="1"/>
      <w:marLeft w:val="0"/>
      <w:marRight w:val="0"/>
      <w:marTop w:val="0"/>
      <w:marBottom w:val="0"/>
      <w:divBdr>
        <w:top w:val="none" w:sz="0" w:space="0" w:color="auto"/>
        <w:left w:val="none" w:sz="0" w:space="0" w:color="auto"/>
        <w:bottom w:val="none" w:sz="0" w:space="0" w:color="auto"/>
        <w:right w:val="none" w:sz="0" w:space="0" w:color="auto"/>
      </w:divBdr>
    </w:div>
    <w:div w:id="436217577">
      <w:bodyDiv w:val="1"/>
      <w:marLeft w:val="0"/>
      <w:marRight w:val="0"/>
      <w:marTop w:val="0"/>
      <w:marBottom w:val="0"/>
      <w:divBdr>
        <w:top w:val="none" w:sz="0" w:space="0" w:color="auto"/>
        <w:left w:val="none" w:sz="0" w:space="0" w:color="auto"/>
        <w:bottom w:val="none" w:sz="0" w:space="0" w:color="auto"/>
        <w:right w:val="none" w:sz="0" w:space="0" w:color="auto"/>
      </w:divBdr>
    </w:div>
    <w:div w:id="440416107">
      <w:bodyDiv w:val="1"/>
      <w:marLeft w:val="0"/>
      <w:marRight w:val="0"/>
      <w:marTop w:val="0"/>
      <w:marBottom w:val="0"/>
      <w:divBdr>
        <w:top w:val="none" w:sz="0" w:space="0" w:color="auto"/>
        <w:left w:val="none" w:sz="0" w:space="0" w:color="auto"/>
        <w:bottom w:val="none" w:sz="0" w:space="0" w:color="auto"/>
        <w:right w:val="none" w:sz="0" w:space="0" w:color="auto"/>
      </w:divBdr>
    </w:div>
    <w:div w:id="443572356">
      <w:bodyDiv w:val="1"/>
      <w:marLeft w:val="0"/>
      <w:marRight w:val="0"/>
      <w:marTop w:val="0"/>
      <w:marBottom w:val="0"/>
      <w:divBdr>
        <w:top w:val="none" w:sz="0" w:space="0" w:color="auto"/>
        <w:left w:val="none" w:sz="0" w:space="0" w:color="auto"/>
        <w:bottom w:val="none" w:sz="0" w:space="0" w:color="auto"/>
        <w:right w:val="none" w:sz="0" w:space="0" w:color="auto"/>
      </w:divBdr>
    </w:div>
    <w:div w:id="445347773">
      <w:bodyDiv w:val="1"/>
      <w:marLeft w:val="0"/>
      <w:marRight w:val="0"/>
      <w:marTop w:val="0"/>
      <w:marBottom w:val="0"/>
      <w:divBdr>
        <w:top w:val="none" w:sz="0" w:space="0" w:color="auto"/>
        <w:left w:val="none" w:sz="0" w:space="0" w:color="auto"/>
        <w:bottom w:val="none" w:sz="0" w:space="0" w:color="auto"/>
        <w:right w:val="none" w:sz="0" w:space="0" w:color="auto"/>
      </w:divBdr>
    </w:div>
    <w:div w:id="460266656">
      <w:bodyDiv w:val="1"/>
      <w:marLeft w:val="0"/>
      <w:marRight w:val="0"/>
      <w:marTop w:val="0"/>
      <w:marBottom w:val="0"/>
      <w:divBdr>
        <w:top w:val="none" w:sz="0" w:space="0" w:color="auto"/>
        <w:left w:val="none" w:sz="0" w:space="0" w:color="auto"/>
        <w:bottom w:val="none" w:sz="0" w:space="0" w:color="auto"/>
        <w:right w:val="none" w:sz="0" w:space="0" w:color="auto"/>
      </w:divBdr>
    </w:div>
    <w:div w:id="466123588">
      <w:bodyDiv w:val="1"/>
      <w:marLeft w:val="0"/>
      <w:marRight w:val="0"/>
      <w:marTop w:val="0"/>
      <w:marBottom w:val="0"/>
      <w:divBdr>
        <w:top w:val="none" w:sz="0" w:space="0" w:color="auto"/>
        <w:left w:val="none" w:sz="0" w:space="0" w:color="auto"/>
        <w:bottom w:val="none" w:sz="0" w:space="0" w:color="auto"/>
        <w:right w:val="none" w:sz="0" w:space="0" w:color="auto"/>
      </w:divBdr>
    </w:div>
    <w:div w:id="469907361">
      <w:bodyDiv w:val="1"/>
      <w:marLeft w:val="0"/>
      <w:marRight w:val="0"/>
      <w:marTop w:val="0"/>
      <w:marBottom w:val="0"/>
      <w:divBdr>
        <w:top w:val="none" w:sz="0" w:space="0" w:color="auto"/>
        <w:left w:val="none" w:sz="0" w:space="0" w:color="auto"/>
        <w:bottom w:val="none" w:sz="0" w:space="0" w:color="auto"/>
        <w:right w:val="none" w:sz="0" w:space="0" w:color="auto"/>
      </w:divBdr>
    </w:div>
    <w:div w:id="516892679">
      <w:bodyDiv w:val="1"/>
      <w:marLeft w:val="0"/>
      <w:marRight w:val="0"/>
      <w:marTop w:val="0"/>
      <w:marBottom w:val="0"/>
      <w:divBdr>
        <w:top w:val="none" w:sz="0" w:space="0" w:color="auto"/>
        <w:left w:val="none" w:sz="0" w:space="0" w:color="auto"/>
        <w:bottom w:val="none" w:sz="0" w:space="0" w:color="auto"/>
        <w:right w:val="none" w:sz="0" w:space="0" w:color="auto"/>
      </w:divBdr>
    </w:div>
    <w:div w:id="528492431">
      <w:bodyDiv w:val="1"/>
      <w:marLeft w:val="0"/>
      <w:marRight w:val="0"/>
      <w:marTop w:val="0"/>
      <w:marBottom w:val="0"/>
      <w:divBdr>
        <w:top w:val="none" w:sz="0" w:space="0" w:color="auto"/>
        <w:left w:val="none" w:sz="0" w:space="0" w:color="auto"/>
        <w:bottom w:val="none" w:sz="0" w:space="0" w:color="auto"/>
        <w:right w:val="none" w:sz="0" w:space="0" w:color="auto"/>
      </w:divBdr>
    </w:div>
    <w:div w:id="531573026">
      <w:bodyDiv w:val="1"/>
      <w:marLeft w:val="0"/>
      <w:marRight w:val="0"/>
      <w:marTop w:val="0"/>
      <w:marBottom w:val="0"/>
      <w:divBdr>
        <w:top w:val="none" w:sz="0" w:space="0" w:color="auto"/>
        <w:left w:val="none" w:sz="0" w:space="0" w:color="auto"/>
        <w:bottom w:val="none" w:sz="0" w:space="0" w:color="auto"/>
        <w:right w:val="none" w:sz="0" w:space="0" w:color="auto"/>
      </w:divBdr>
    </w:div>
    <w:div w:id="532501774">
      <w:bodyDiv w:val="1"/>
      <w:marLeft w:val="0"/>
      <w:marRight w:val="0"/>
      <w:marTop w:val="0"/>
      <w:marBottom w:val="0"/>
      <w:divBdr>
        <w:top w:val="none" w:sz="0" w:space="0" w:color="auto"/>
        <w:left w:val="none" w:sz="0" w:space="0" w:color="auto"/>
        <w:bottom w:val="none" w:sz="0" w:space="0" w:color="auto"/>
        <w:right w:val="none" w:sz="0" w:space="0" w:color="auto"/>
      </w:divBdr>
    </w:div>
    <w:div w:id="552428363">
      <w:bodyDiv w:val="1"/>
      <w:marLeft w:val="0"/>
      <w:marRight w:val="0"/>
      <w:marTop w:val="0"/>
      <w:marBottom w:val="0"/>
      <w:divBdr>
        <w:top w:val="none" w:sz="0" w:space="0" w:color="auto"/>
        <w:left w:val="none" w:sz="0" w:space="0" w:color="auto"/>
        <w:bottom w:val="none" w:sz="0" w:space="0" w:color="auto"/>
        <w:right w:val="none" w:sz="0" w:space="0" w:color="auto"/>
      </w:divBdr>
    </w:div>
    <w:div w:id="557668185">
      <w:bodyDiv w:val="1"/>
      <w:marLeft w:val="0"/>
      <w:marRight w:val="0"/>
      <w:marTop w:val="0"/>
      <w:marBottom w:val="0"/>
      <w:divBdr>
        <w:top w:val="none" w:sz="0" w:space="0" w:color="auto"/>
        <w:left w:val="none" w:sz="0" w:space="0" w:color="auto"/>
        <w:bottom w:val="none" w:sz="0" w:space="0" w:color="auto"/>
        <w:right w:val="none" w:sz="0" w:space="0" w:color="auto"/>
      </w:divBdr>
    </w:div>
    <w:div w:id="573662284">
      <w:bodyDiv w:val="1"/>
      <w:marLeft w:val="0"/>
      <w:marRight w:val="0"/>
      <w:marTop w:val="0"/>
      <w:marBottom w:val="0"/>
      <w:divBdr>
        <w:top w:val="none" w:sz="0" w:space="0" w:color="auto"/>
        <w:left w:val="none" w:sz="0" w:space="0" w:color="auto"/>
        <w:bottom w:val="none" w:sz="0" w:space="0" w:color="auto"/>
        <w:right w:val="none" w:sz="0" w:space="0" w:color="auto"/>
      </w:divBdr>
    </w:div>
    <w:div w:id="584269425">
      <w:bodyDiv w:val="1"/>
      <w:marLeft w:val="0"/>
      <w:marRight w:val="0"/>
      <w:marTop w:val="0"/>
      <w:marBottom w:val="0"/>
      <w:divBdr>
        <w:top w:val="none" w:sz="0" w:space="0" w:color="auto"/>
        <w:left w:val="none" w:sz="0" w:space="0" w:color="auto"/>
        <w:bottom w:val="none" w:sz="0" w:space="0" w:color="auto"/>
        <w:right w:val="none" w:sz="0" w:space="0" w:color="auto"/>
      </w:divBdr>
    </w:div>
    <w:div w:id="617024853">
      <w:bodyDiv w:val="1"/>
      <w:marLeft w:val="0"/>
      <w:marRight w:val="0"/>
      <w:marTop w:val="0"/>
      <w:marBottom w:val="0"/>
      <w:divBdr>
        <w:top w:val="none" w:sz="0" w:space="0" w:color="auto"/>
        <w:left w:val="none" w:sz="0" w:space="0" w:color="auto"/>
        <w:bottom w:val="none" w:sz="0" w:space="0" w:color="auto"/>
        <w:right w:val="none" w:sz="0" w:space="0" w:color="auto"/>
      </w:divBdr>
    </w:div>
    <w:div w:id="664476209">
      <w:bodyDiv w:val="1"/>
      <w:marLeft w:val="0"/>
      <w:marRight w:val="0"/>
      <w:marTop w:val="0"/>
      <w:marBottom w:val="0"/>
      <w:divBdr>
        <w:top w:val="none" w:sz="0" w:space="0" w:color="auto"/>
        <w:left w:val="none" w:sz="0" w:space="0" w:color="auto"/>
        <w:bottom w:val="none" w:sz="0" w:space="0" w:color="auto"/>
        <w:right w:val="none" w:sz="0" w:space="0" w:color="auto"/>
      </w:divBdr>
    </w:div>
    <w:div w:id="690692164">
      <w:bodyDiv w:val="1"/>
      <w:marLeft w:val="0"/>
      <w:marRight w:val="0"/>
      <w:marTop w:val="0"/>
      <w:marBottom w:val="0"/>
      <w:divBdr>
        <w:top w:val="none" w:sz="0" w:space="0" w:color="auto"/>
        <w:left w:val="none" w:sz="0" w:space="0" w:color="auto"/>
        <w:bottom w:val="none" w:sz="0" w:space="0" w:color="auto"/>
        <w:right w:val="none" w:sz="0" w:space="0" w:color="auto"/>
      </w:divBdr>
    </w:div>
    <w:div w:id="691149314">
      <w:bodyDiv w:val="1"/>
      <w:marLeft w:val="0"/>
      <w:marRight w:val="0"/>
      <w:marTop w:val="0"/>
      <w:marBottom w:val="0"/>
      <w:divBdr>
        <w:top w:val="none" w:sz="0" w:space="0" w:color="auto"/>
        <w:left w:val="none" w:sz="0" w:space="0" w:color="auto"/>
        <w:bottom w:val="none" w:sz="0" w:space="0" w:color="auto"/>
        <w:right w:val="none" w:sz="0" w:space="0" w:color="auto"/>
      </w:divBdr>
      <w:divsChild>
        <w:div w:id="438961183">
          <w:marLeft w:val="0"/>
          <w:marRight w:val="0"/>
          <w:marTop w:val="0"/>
          <w:marBottom w:val="0"/>
          <w:divBdr>
            <w:top w:val="none" w:sz="0" w:space="0" w:color="auto"/>
            <w:left w:val="none" w:sz="0" w:space="0" w:color="auto"/>
            <w:bottom w:val="none" w:sz="0" w:space="0" w:color="auto"/>
            <w:right w:val="none" w:sz="0" w:space="0" w:color="auto"/>
          </w:divBdr>
        </w:div>
        <w:div w:id="1544440054">
          <w:marLeft w:val="0"/>
          <w:marRight w:val="0"/>
          <w:marTop w:val="0"/>
          <w:marBottom w:val="0"/>
          <w:divBdr>
            <w:top w:val="none" w:sz="0" w:space="0" w:color="auto"/>
            <w:left w:val="none" w:sz="0" w:space="0" w:color="auto"/>
            <w:bottom w:val="none" w:sz="0" w:space="0" w:color="auto"/>
            <w:right w:val="none" w:sz="0" w:space="0" w:color="auto"/>
          </w:divBdr>
        </w:div>
      </w:divsChild>
    </w:div>
    <w:div w:id="747118091">
      <w:bodyDiv w:val="1"/>
      <w:marLeft w:val="0"/>
      <w:marRight w:val="0"/>
      <w:marTop w:val="0"/>
      <w:marBottom w:val="0"/>
      <w:divBdr>
        <w:top w:val="none" w:sz="0" w:space="0" w:color="auto"/>
        <w:left w:val="none" w:sz="0" w:space="0" w:color="auto"/>
        <w:bottom w:val="none" w:sz="0" w:space="0" w:color="auto"/>
        <w:right w:val="none" w:sz="0" w:space="0" w:color="auto"/>
      </w:divBdr>
    </w:div>
    <w:div w:id="760376399">
      <w:bodyDiv w:val="1"/>
      <w:marLeft w:val="0"/>
      <w:marRight w:val="0"/>
      <w:marTop w:val="0"/>
      <w:marBottom w:val="0"/>
      <w:divBdr>
        <w:top w:val="none" w:sz="0" w:space="0" w:color="auto"/>
        <w:left w:val="none" w:sz="0" w:space="0" w:color="auto"/>
        <w:bottom w:val="none" w:sz="0" w:space="0" w:color="auto"/>
        <w:right w:val="none" w:sz="0" w:space="0" w:color="auto"/>
      </w:divBdr>
    </w:div>
    <w:div w:id="766265546">
      <w:bodyDiv w:val="1"/>
      <w:marLeft w:val="0"/>
      <w:marRight w:val="0"/>
      <w:marTop w:val="0"/>
      <w:marBottom w:val="0"/>
      <w:divBdr>
        <w:top w:val="none" w:sz="0" w:space="0" w:color="auto"/>
        <w:left w:val="none" w:sz="0" w:space="0" w:color="auto"/>
        <w:bottom w:val="none" w:sz="0" w:space="0" w:color="auto"/>
        <w:right w:val="none" w:sz="0" w:space="0" w:color="auto"/>
      </w:divBdr>
      <w:divsChild>
        <w:div w:id="2587613">
          <w:marLeft w:val="0"/>
          <w:marRight w:val="0"/>
          <w:marTop w:val="0"/>
          <w:marBottom w:val="0"/>
          <w:divBdr>
            <w:top w:val="none" w:sz="0" w:space="0" w:color="auto"/>
            <w:left w:val="none" w:sz="0" w:space="0" w:color="auto"/>
            <w:bottom w:val="none" w:sz="0" w:space="0" w:color="auto"/>
            <w:right w:val="none" w:sz="0" w:space="0" w:color="auto"/>
          </w:divBdr>
        </w:div>
        <w:div w:id="1825774935">
          <w:marLeft w:val="0"/>
          <w:marRight w:val="0"/>
          <w:marTop w:val="0"/>
          <w:marBottom w:val="0"/>
          <w:divBdr>
            <w:top w:val="none" w:sz="0" w:space="0" w:color="auto"/>
            <w:left w:val="none" w:sz="0" w:space="0" w:color="auto"/>
            <w:bottom w:val="none" w:sz="0" w:space="0" w:color="auto"/>
            <w:right w:val="none" w:sz="0" w:space="0" w:color="auto"/>
          </w:divBdr>
        </w:div>
        <w:div w:id="503516362">
          <w:marLeft w:val="0"/>
          <w:marRight w:val="0"/>
          <w:marTop w:val="0"/>
          <w:marBottom w:val="0"/>
          <w:divBdr>
            <w:top w:val="none" w:sz="0" w:space="0" w:color="auto"/>
            <w:left w:val="none" w:sz="0" w:space="0" w:color="auto"/>
            <w:bottom w:val="none" w:sz="0" w:space="0" w:color="auto"/>
            <w:right w:val="none" w:sz="0" w:space="0" w:color="auto"/>
          </w:divBdr>
        </w:div>
      </w:divsChild>
    </w:div>
    <w:div w:id="767579912">
      <w:bodyDiv w:val="1"/>
      <w:marLeft w:val="0"/>
      <w:marRight w:val="0"/>
      <w:marTop w:val="0"/>
      <w:marBottom w:val="0"/>
      <w:divBdr>
        <w:top w:val="none" w:sz="0" w:space="0" w:color="auto"/>
        <w:left w:val="none" w:sz="0" w:space="0" w:color="auto"/>
        <w:bottom w:val="none" w:sz="0" w:space="0" w:color="auto"/>
        <w:right w:val="none" w:sz="0" w:space="0" w:color="auto"/>
      </w:divBdr>
    </w:div>
    <w:div w:id="770012269">
      <w:bodyDiv w:val="1"/>
      <w:marLeft w:val="0"/>
      <w:marRight w:val="0"/>
      <w:marTop w:val="0"/>
      <w:marBottom w:val="0"/>
      <w:divBdr>
        <w:top w:val="none" w:sz="0" w:space="0" w:color="auto"/>
        <w:left w:val="none" w:sz="0" w:space="0" w:color="auto"/>
        <w:bottom w:val="none" w:sz="0" w:space="0" w:color="auto"/>
        <w:right w:val="none" w:sz="0" w:space="0" w:color="auto"/>
      </w:divBdr>
    </w:div>
    <w:div w:id="776632873">
      <w:bodyDiv w:val="1"/>
      <w:marLeft w:val="0"/>
      <w:marRight w:val="0"/>
      <w:marTop w:val="0"/>
      <w:marBottom w:val="0"/>
      <w:divBdr>
        <w:top w:val="none" w:sz="0" w:space="0" w:color="auto"/>
        <w:left w:val="none" w:sz="0" w:space="0" w:color="auto"/>
        <w:bottom w:val="none" w:sz="0" w:space="0" w:color="auto"/>
        <w:right w:val="none" w:sz="0" w:space="0" w:color="auto"/>
      </w:divBdr>
    </w:div>
    <w:div w:id="807629187">
      <w:bodyDiv w:val="1"/>
      <w:marLeft w:val="0"/>
      <w:marRight w:val="0"/>
      <w:marTop w:val="0"/>
      <w:marBottom w:val="0"/>
      <w:divBdr>
        <w:top w:val="none" w:sz="0" w:space="0" w:color="auto"/>
        <w:left w:val="none" w:sz="0" w:space="0" w:color="auto"/>
        <w:bottom w:val="none" w:sz="0" w:space="0" w:color="auto"/>
        <w:right w:val="none" w:sz="0" w:space="0" w:color="auto"/>
      </w:divBdr>
    </w:div>
    <w:div w:id="825977613">
      <w:bodyDiv w:val="1"/>
      <w:marLeft w:val="0"/>
      <w:marRight w:val="0"/>
      <w:marTop w:val="0"/>
      <w:marBottom w:val="0"/>
      <w:divBdr>
        <w:top w:val="none" w:sz="0" w:space="0" w:color="auto"/>
        <w:left w:val="none" w:sz="0" w:space="0" w:color="auto"/>
        <w:bottom w:val="none" w:sz="0" w:space="0" w:color="auto"/>
        <w:right w:val="none" w:sz="0" w:space="0" w:color="auto"/>
      </w:divBdr>
    </w:div>
    <w:div w:id="848494783">
      <w:bodyDiv w:val="1"/>
      <w:marLeft w:val="0"/>
      <w:marRight w:val="0"/>
      <w:marTop w:val="0"/>
      <w:marBottom w:val="0"/>
      <w:divBdr>
        <w:top w:val="none" w:sz="0" w:space="0" w:color="auto"/>
        <w:left w:val="none" w:sz="0" w:space="0" w:color="auto"/>
        <w:bottom w:val="none" w:sz="0" w:space="0" w:color="auto"/>
        <w:right w:val="none" w:sz="0" w:space="0" w:color="auto"/>
      </w:divBdr>
      <w:divsChild>
        <w:div w:id="727388262">
          <w:marLeft w:val="0"/>
          <w:marRight w:val="0"/>
          <w:marTop w:val="0"/>
          <w:marBottom w:val="0"/>
          <w:divBdr>
            <w:top w:val="none" w:sz="0" w:space="0" w:color="auto"/>
            <w:left w:val="none" w:sz="0" w:space="0" w:color="auto"/>
            <w:bottom w:val="none" w:sz="0" w:space="0" w:color="auto"/>
            <w:right w:val="none" w:sz="0" w:space="0" w:color="auto"/>
          </w:divBdr>
        </w:div>
        <w:div w:id="824933105">
          <w:marLeft w:val="0"/>
          <w:marRight w:val="0"/>
          <w:marTop w:val="0"/>
          <w:marBottom w:val="0"/>
          <w:divBdr>
            <w:top w:val="none" w:sz="0" w:space="0" w:color="auto"/>
            <w:left w:val="none" w:sz="0" w:space="0" w:color="auto"/>
            <w:bottom w:val="none" w:sz="0" w:space="0" w:color="auto"/>
            <w:right w:val="none" w:sz="0" w:space="0" w:color="auto"/>
          </w:divBdr>
        </w:div>
      </w:divsChild>
    </w:div>
    <w:div w:id="912469540">
      <w:bodyDiv w:val="1"/>
      <w:marLeft w:val="0"/>
      <w:marRight w:val="0"/>
      <w:marTop w:val="0"/>
      <w:marBottom w:val="0"/>
      <w:divBdr>
        <w:top w:val="none" w:sz="0" w:space="0" w:color="auto"/>
        <w:left w:val="none" w:sz="0" w:space="0" w:color="auto"/>
        <w:bottom w:val="none" w:sz="0" w:space="0" w:color="auto"/>
        <w:right w:val="none" w:sz="0" w:space="0" w:color="auto"/>
      </w:divBdr>
    </w:div>
    <w:div w:id="913470836">
      <w:bodyDiv w:val="1"/>
      <w:marLeft w:val="0"/>
      <w:marRight w:val="0"/>
      <w:marTop w:val="0"/>
      <w:marBottom w:val="0"/>
      <w:divBdr>
        <w:top w:val="none" w:sz="0" w:space="0" w:color="auto"/>
        <w:left w:val="none" w:sz="0" w:space="0" w:color="auto"/>
        <w:bottom w:val="none" w:sz="0" w:space="0" w:color="auto"/>
        <w:right w:val="none" w:sz="0" w:space="0" w:color="auto"/>
      </w:divBdr>
    </w:div>
    <w:div w:id="986593482">
      <w:bodyDiv w:val="1"/>
      <w:marLeft w:val="0"/>
      <w:marRight w:val="0"/>
      <w:marTop w:val="0"/>
      <w:marBottom w:val="0"/>
      <w:divBdr>
        <w:top w:val="none" w:sz="0" w:space="0" w:color="auto"/>
        <w:left w:val="none" w:sz="0" w:space="0" w:color="auto"/>
        <w:bottom w:val="none" w:sz="0" w:space="0" w:color="auto"/>
        <w:right w:val="none" w:sz="0" w:space="0" w:color="auto"/>
      </w:divBdr>
      <w:divsChild>
        <w:div w:id="1663003737">
          <w:marLeft w:val="0"/>
          <w:marRight w:val="0"/>
          <w:marTop w:val="0"/>
          <w:marBottom w:val="0"/>
          <w:divBdr>
            <w:top w:val="none" w:sz="0" w:space="0" w:color="auto"/>
            <w:left w:val="none" w:sz="0" w:space="0" w:color="auto"/>
            <w:bottom w:val="none" w:sz="0" w:space="0" w:color="auto"/>
            <w:right w:val="none" w:sz="0" w:space="0" w:color="auto"/>
          </w:divBdr>
        </w:div>
      </w:divsChild>
    </w:div>
    <w:div w:id="986974958">
      <w:bodyDiv w:val="1"/>
      <w:marLeft w:val="0"/>
      <w:marRight w:val="0"/>
      <w:marTop w:val="0"/>
      <w:marBottom w:val="0"/>
      <w:divBdr>
        <w:top w:val="none" w:sz="0" w:space="0" w:color="auto"/>
        <w:left w:val="none" w:sz="0" w:space="0" w:color="auto"/>
        <w:bottom w:val="none" w:sz="0" w:space="0" w:color="auto"/>
        <w:right w:val="none" w:sz="0" w:space="0" w:color="auto"/>
      </w:divBdr>
    </w:div>
    <w:div w:id="1011227056">
      <w:bodyDiv w:val="1"/>
      <w:marLeft w:val="0"/>
      <w:marRight w:val="0"/>
      <w:marTop w:val="0"/>
      <w:marBottom w:val="0"/>
      <w:divBdr>
        <w:top w:val="none" w:sz="0" w:space="0" w:color="auto"/>
        <w:left w:val="none" w:sz="0" w:space="0" w:color="auto"/>
        <w:bottom w:val="none" w:sz="0" w:space="0" w:color="auto"/>
        <w:right w:val="none" w:sz="0" w:space="0" w:color="auto"/>
      </w:divBdr>
    </w:div>
    <w:div w:id="1056778274">
      <w:bodyDiv w:val="1"/>
      <w:marLeft w:val="0"/>
      <w:marRight w:val="0"/>
      <w:marTop w:val="0"/>
      <w:marBottom w:val="0"/>
      <w:divBdr>
        <w:top w:val="none" w:sz="0" w:space="0" w:color="auto"/>
        <w:left w:val="none" w:sz="0" w:space="0" w:color="auto"/>
        <w:bottom w:val="none" w:sz="0" w:space="0" w:color="auto"/>
        <w:right w:val="none" w:sz="0" w:space="0" w:color="auto"/>
      </w:divBdr>
    </w:div>
    <w:div w:id="1064185320">
      <w:bodyDiv w:val="1"/>
      <w:marLeft w:val="0"/>
      <w:marRight w:val="0"/>
      <w:marTop w:val="0"/>
      <w:marBottom w:val="0"/>
      <w:divBdr>
        <w:top w:val="none" w:sz="0" w:space="0" w:color="auto"/>
        <w:left w:val="none" w:sz="0" w:space="0" w:color="auto"/>
        <w:bottom w:val="none" w:sz="0" w:space="0" w:color="auto"/>
        <w:right w:val="none" w:sz="0" w:space="0" w:color="auto"/>
      </w:divBdr>
    </w:div>
    <w:div w:id="1072241992">
      <w:bodyDiv w:val="1"/>
      <w:marLeft w:val="0"/>
      <w:marRight w:val="0"/>
      <w:marTop w:val="0"/>
      <w:marBottom w:val="0"/>
      <w:divBdr>
        <w:top w:val="none" w:sz="0" w:space="0" w:color="auto"/>
        <w:left w:val="none" w:sz="0" w:space="0" w:color="auto"/>
        <w:bottom w:val="none" w:sz="0" w:space="0" w:color="auto"/>
        <w:right w:val="none" w:sz="0" w:space="0" w:color="auto"/>
      </w:divBdr>
    </w:div>
    <w:div w:id="1078869770">
      <w:bodyDiv w:val="1"/>
      <w:marLeft w:val="0"/>
      <w:marRight w:val="0"/>
      <w:marTop w:val="0"/>
      <w:marBottom w:val="0"/>
      <w:divBdr>
        <w:top w:val="none" w:sz="0" w:space="0" w:color="auto"/>
        <w:left w:val="none" w:sz="0" w:space="0" w:color="auto"/>
        <w:bottom w:val="none" w:sz="0" w:space="0" w:color="auto"/>
        <w:right w:val="none" w:sz="0" w:space="0" w:color="auto"/>
      </w:divBdr>
    </w:div>
    <w:div w:id="1088120155">
      <w:bodyDiv w:val="1"/>
      <w:marLeft w:val="0"/>
      <w:marRight w:val="0"/>
      <w:marTop w:val="0"/>
      <w:marBottom w:val="0"/>
      <w:divBdr>
        <w:top w:val="none" w:sz="0" w:space="0" w:color="auto"/>
        <w:left w:val="none" w:sz="0" w:space="0" w:color="auto"/>
        <w:bottom w:val="none" w:sz="0" w:space="0" w:color="auto"/>
        <w:right w:val="none" w:sz="0" w:space="0" w:color="auto"/>
      </w:divBdr>
    </w:div>
    <w:div w:id="1092049385">
      <w:bodyDiv w:val="1"/>
      <w:marLeft w:val="0"/>
      <w:marRight w:val="0"/>
      <w:marTop w:val="0"/>
      <w:marBottom w:val="0"/>
      <w:divBdr>
        <w:top w:val="none" w:sz="0" w:space="0" w:color="auto"/>
        <w:left w:val="none" w:sz="0" w:space="0" w:color="auto"/>
        <w:bottom w:val="none" w:sz="0" w:space="0" w:color="auto"/>
        <w:right w:val="none" w:sz="0" w:space="0" w:color="auto"/>
      </w:divBdr>
    </w:div>
    <w:div w:id="1097214066">
      <w:bodyDiv w:val="1"/>
      <w:marLeft w:val="0"/>
      <w:marRight w:val="0"/>
      <w:marTop w:val="0"/>
      <w:marBottom w:val="0"/>
      <w:divBdr>
        <w:top w:val="none" w:sz="0" w:space="0" w:color="auto"/>
        <w:left w:val="none" w:sz="0" w:space="0" w:color="auto"/>
        <w:bottom w:val="none" w:sz="0" w:space="0" w:color="auto"/>
        <w:right w:val="none" w:sz="0" w:space="0" w:color="auto"/>
      </w:divBdr>
    </w:div>
    <w:div w:id="1103114462">
      <w:bodyDiv w:val="1"/>
      <w:marLeft w:val="0"/>
      <w:marRight w:val="0"/>
      <w:marTop w:val="0"/>
      <w:marBottom w:val="0"/>
      <w:divBdr>
        <w:top w:val="none" w:sz="0" w:space="0" w:color="auto"/>
        <w:left w:val="none" w:sz="0" w:space="0" w:color="auto"/>
        <w:bottom w:val="none" w:sz="0" w:space="0" w:color="auto"/>
        <w:right w:val="none" w:sz="0" w:space="0" w:color="auto"/>
      </w:divBdr>
    </w:div>
    <w:div w:id="1159078336">
      <w:bodyDiv w:val="1"/>
      <w:marLeft w:val="0"/>
      <w:marRight w:val="0"/>
      <w:marTop w:val="0"/>
      <w:marBottom w:val="0"/>
      <w:divBdr>
        <w:top w:val="none" w:sz="0" w:space="0" w:color="auto"/>
        <w:left w:val="none" w:sz="0" w:space="0" w:color="auto"/>
        <w:bottom w:val="none" w:sz="0" w:space="0" w:color="auto"/>
        <w:right w:val="none" w:sz="0" w:space="0" w:color="auto"/>
      </w:divBdr>
    </w:div>
    <w:div w:id="1205099236">
      <w:bodyDiv w:val="1"/>
      <w:marLeft w:val="0"/>
      <w:marRight w:val="0"/>
      <w:marTop w:val="0"/>
      <w:marBottom w:val="0"/>
      <w:divBdr>
        <w:top w:val="none" w:sz="0" w:space="0" w:color="auto"/>
        <w:left w:val="none" w:sz="0" w:space="0" w:color="auto"/>
        <w:bottom w:val="none" w:sz="0" w:space="0" w:color="auto"/>
        <w:right w:val="none" w:sz="0" w:space="0" w:color="auto"/>
      </w:divBdr>
    </w:div>
    <w:div w:id="1206719346">
      <w:bodyDiv w:val="1"/>
      <w:marLeft w:val="0"/>
      <w:marRight w:val="0"/>
      <w:marTop w:val="0"/>
      <w:marBottom w:val="0"/>
      <w:divBdr>
        <w:top w:val="none" w:sz="0" w:space="0" w:color="auto"/>
        <w:left w:val="none" w:sz="0" w:space="0" w:color="auto"/>
        <w:bottom w:val="none" w:sz="0" w:space="0" w:color="auto"/>
        <w:right w:val="none" w:sz="0" w:space="0" w:color="auto"/>
      </w:divBdr>
    </w:div>
    <w:div w:id="1319725716">
      <w:bodyDiv w:val="1"/>
      <w:marLeft w:val="0"/>
      <w:marRight w:val="0"/>
      <w:marTop w:val="0"/>
      <w:marBottom w:val="0"/>
      <w:divBdr>
        <w:top w:val="none" w:sz="0" w:space="0" w:color="auto"/>
        <w:left w:val="none" w:sz="0" w:space="0" w:color="auto"/>
        <w:bottom w:val="none" w:sz="0" w:space="0" w:color="auto"/>
        <w:right w:val="none" w:sz="0" w:space="0" w:color="auto"/>
      </w:divBdr>
    </w:div>
    <w:div w:id="1324315996">
      <w:bodyDiv w:val="1"/>
      <w:marLeft w:val="0"/>
      <w:marRight w:val="0"/>
      <w:marTop w:val="0"/>
      <w:marBottom w:val="0"/>
      <w:divBdr>
        <w:top w:val="none" w:sz="0" w:space="0" w:color="auto"/>
        <w:left w:val="none" w:sz="0" w:space="0" w:color="auto"/>
        <w:bottom w:val="none" w:sz="0" w:space="0" w:color="auto"/>
        <w:right w:val="none" w:sz="0" w:space="0" w:color="auto"/>
      </w:divBdr>
    </w:div>
    <w:div w:id="1367172126">
      <w:bodyDiv w:val="1"/>
      <w:marLeft w:val="0"/>
      <w:marRight w:val="0"/>
      <w:marTop w:val="0"/>
      <w:marBottom w:val="0"/>
      <w:divBdr>
        <w:top w:val="none" w:sz="0" w:space="0" w:color="auto"/>
        <w:left w:val="none" w:sz="0" w:space="0" w:color="auto"/>
        <w:bottom w:val="none" w:sz="0" w:space="0" w:color="auto"/>
        <w:right w:val="none" w:sz="0" w:space="0" w:color="auto"/>
      </w:divBdr>
    </w:div>
    <w:div w:id="1368290867">
      <w:bodyDiv w:val="1"/>
      <w:marLeft w:val="0"/>
      <w:marRight w:val="0"/>
      <w:marTop w:val="0"/>
      <w:marBottom w:val="0"/>
      <w:divBdr>
        <w:top w:val="none" w:sz="0" w:space="0" w:color="auto"/>
        <w:left w:val="none" w:sz="0" w:space="0" w:color="auto"/>
        <w:bottom w:val="none" w:sz="0" w:space="0" w:color="auto"/>
        <w:right w:val="none" w:sz="0" w:space="0" w:color="auto"/>
      </w:divBdr>
    </w:div>
    <w:div w:id="1392997129">
      <w:bodyDiv w:val="1"/>
      <w:marLeft w:val="0"/>
      <w:marRight w:val="0"/>
      <w:marTop w:val="0"/>
      <w:marBottom w:val="0"/>
      <w:divBdr>
        <w:top w:val="none" w:sz="0" w:space="0" w:color="auto"/>
        <w:left w:val="none" w:sz="0" w:space="0" w:color="auto"/>
        <w:bottom w:val="none" w:sz="0" w:space="0" w:color="auto"/>
        <w:right w:val="none" w:sz="0" w:space="0" w:color="auto"/>
      </w:divBdr>
    </w:div>
    <w:div w:id="1405880552">
      <w:bodyDiv w:val="1"/>
      <w:marLeft w:val="0"/>
      <w:marRight w:val="0"/>
      <w:marTop w:val="0"/>
      <w:marBottom w:val="0"/>
      <w:divBdr>
        <w:top w:val="none" w:sz="0" w:space="0" w:color="auto"/>
        <w:left w:val="none" w:sz="0" w:space="0" w:color="auto"/>
        <w:bottom w:val="none" w:sz="0" w:space="0" w:color="auto"/>
        <w:right w:val="none" w:sz="0" w:space="0" w:color="auto"/>
      </w:divBdr>
    </w:div>
    <w:div w:id="1452170456">
      <w:bodyDiv w:val="1"/>
      <w:marLeft w:val="0"/>
      <w:marRight w:val="0"/>
      <w:marTop w:val="0"/>
      <w:marBottom w:val="0"/>
      <w:divBdr>
        <w:top w:val="none" w:sz="0" w:space="0" w:color="auto"/>
        <w:left w:val="none" w:sz="0" w:space="0" w:color="auto"/>
        <w:bottom w:val="none" w:sz="0" w:space="0" w:color="auto"/>
        <w:right w:val="none" w:sz="0" w:space="0" w:color="auto"/>
      </w:divBdr>
    </w:div>
    <w:div w:id="1466848181">
      <w:bodyDiv w:val="1"/>
      <w:marLeft w:val="0"/>
      <w:marRight w:val="0"/>
      <w:marTop w:val="0"/>
      <w:marBottom w:val="0"/>
      <w:divBdr>
        <w:top w:val="none" w:sz="0" w:space="0" w:color="auto"/>
        <w:left w:val="none" w:sz="0" w:space="0" w:color="auto"/>
        <w:bottom w:val="none" w:sz="0" w:space="0" w:color="auto"/>
        <w:right w:val="none" w:sz="0" w:space="0" w:color="auto"/>
      </w:divBdr>
    </w:div>
    <w:div w:id="1508443110">
      <w:bodyDiv w:val="1"/>
      <w:marLeft w:val="0"/>
      <w:marRight w:val="0"/>
      <w:marTop w:val="0"/>
      <w:marBottom w:val="0"/>
      <w:divBdr>
        <w:top w:val="none" w:sz="0" w:space="0" w:color="auto"/>
        <w:left w:val="none" w:sz="0" w:space="0" w:color="auto"/>
        <w:bottom w:val="none" w:sz="0" w:space="0" w:color="auto"/>
        <w:right w:val="none" w:sz="0" w:space="0" w:color="auto"/>
      </w:divBdr>
    </w:div>
    <w:div w:id="1531453627">
      <w:bodyDiv w:val="1"/>
      <w:marLeft w:val="0"/>
      <w:marRight w:val="0"/>
      <w:marTop w:val="0"/>
      <w:marBottom w:val="0"/>
      <w:divBdr>
        <w:top w:val="none" w:sz="0" w:space="0" w:color="auto"/>
        <w:left w:val="none" w:sz="0" w:space="0" w:color="auto"/>
        <w:bottom w:val="none" w:sz="0" w:space="0" w:color="auto"/>
        <w:right w:val="none" w:sz="0" w:space="0" w:color="auto"/>
      </w:divBdr>
    </w:div>
    <w:div w:id="1542938515">
      <w:bodyDiv w:val="1"/>
      <w:marLeft w:val="0"/>
      <w:marRight w:val="0"/>
      <w:marTop w:val="0"/>
      <w:marBottom w:val="0"/>
      <w:divBdr>
        <w:top w:val="none" w:sz="0" w:space="0" w:color="auto"/>
        <w:left w:val="none" w:sz="0" w:space="0" w:color="auto"/>
        <w:bottom w:val="none" w:sz="0" w:space="0" w:color="auto"/>
        <w:right w:val="none" w:sz="0" w:space="0" w:color="auto"/>
      </w:divBdr>
    </w:div>
    <w:div w:id="1547833872">
      <w:bodyDiv w:val="1"/>
      <w:marLeft w:val="0"/>
      <w:marRight w:val="0"/>
      <w:marTop w:val="0"/>
      <w:marBottom w:val="0"/>
      <w:divBdr>
        <w:top w:val="none" w:sz="0" w:space="0" w:color="auto"/>
        <w:left w:val="none" w:sz="0" w:space="0" w:color="auto"/>
        <w:bottom w:val="none" w:sz="0" w:space="0" w:color="auto"/>
        <w:right w:val="none" w:sz="0" w:space="0" w:color="auto"/>
      </w:divBdr>
    </w:div>
    <w:div w:id="1556893146">
      <w:bodyDiv w:val="1"/>
      <w:marLeft w:val="0"/>
      <w:marRight w:val="0"/>
      <w:marTop w:val="0"/>
      <w:marBottom w:val="0"/>
      <w:divBdr>
        <w:top w:val="none" w:sz="0" w:space="0" w:color="auto"/>
        <w:left w:val="none" w:sz="0" w:space="0" w:color="auto"/>
        <w:bottom w:val="none" w:sz="0" w:space="0" w:color="auto"/>
        <w:right w:val="none" w:sz="0" w:space="0" w:color="auto"/>
      </w:divBdr>
    </w:div>
    <w:div w:id="1582761236">
      <w:bodyDiv w:val="1"/>
      <w:marLeft w:val="0"/>
      <w:marRight w:val="0"/>
      <w:marTop w:val="0"/>
      <w:marBottom w:val="0"/>
      <w:divBdr>
        <w:top w:val="none" w:sz="0" w:space="0" w:color="auto"/>
        <w:left w:val="none" w:sz="0" w:space="0" w:color="auto"/>
        <w:bottom w:val="none" w:sz="0" w:space="0" w:color="auto"/>
        <w:right w:val="none" w:sz="0" w:space="0" w:color="auto"/>
      </w:divBdr>
    </w:div>
    <w:div w:id="1600135262">
      <w:bodyDiv w:val="1"/>
      <w:marLeft w:val="0"/>
      <w:marRight w:val="0"/>
      <w:marTop w:val="0"/>
      <w:marBottom w:val="0"/>
      <w:divBdr>
        <w:top w:val="none" w:sz="0" w:space="0" w:color="auto"/>
        <w:left w:val="none" w:sz="0" w:space="0" w:color="auto"/>
        <w:bottom w:val="none" w:sz="0" w:space="0" w:color="auto"/>
        <w:right w:val="none" w:sz="0" w:space="0" w:color="auto"/>
      </w:divBdr>
    </w:div>
    <w:div w:id="1605768916">
      <w:bodyDiv w:val="1"/>
      <w:marLeft w:val="0"/>
      <w:marRight w:val="0"/>
      <w:marTop w:val="0"/>
      <w:marBottom w:val="0"/>
      <w:divBdr>
        <w:top w:val="none" w:sz="0" w:space="0" w:color="auto"/>
        <w:left w:val="none" w:sz="0" w:space="0" w:color="auto"/>
        <w:bottom w:val="none" w:sz="0" w:space="0" w:color="auto"/>
        <w:right w:val="none" w:sz="0" w:space="0" w:color="auto"/>
      </w:divBdr>
    </w:div>
    <w:div w:id="1613365898">
      <w:bodyDiv w:val="1"/>
      <w:marLeft w:val="0"/>
      <w:marRight w:val="0"/>
      <w:marTop w:val="0"/>
      <w:marBottom w:val="0"/>
      <w:divBdr>
        <w:top w:val="none" w:sz="0" w:space="0" w:color="auto"/>
        <w:left w:val="none" w:sz="0" w:space="0" w:color="auto"/>
        <w:bottom w:val="none" w:sz="0" w:space="0" w:color="auto"/>
        <w:right w:val="none" w:sz="0" w:space="0" w:color="auto"/>
      </w:divBdr>
    </w:div>
    <w:div w:id="1641573700">
      <w:bodyDiv w:val="1"/>
      <w:marLeft w:val="0"/>
      <w:marRight w:val="0"/>
      <w:marTop w:val="0"/>
      <w:marBottom w:val="0"/>
      <w:divBdr>
        <w:top w:val="none" w:sz="0" w:space="0" w:color="auto"/>
        <w:left w:val="none" w:sz="0" w:space="0" w:color="auto"/>
        <w:bottom w:val="none" w:sz="0" w:space="0" w:color="auto"/>
        <w:right w:val="none" w:sz="0" w:space="0" w:color="auto"/>
      </w:divBdr>
      <w:divsChild>
        <w:div w:id="376324163">
          <w:marLeft w:val="0"/>
          <w:marRight w:val="0"/>
          <w:marTop w:val="0"/>
          <w:marBottom w:val="0"/>
          <w:divBdr>
            <w:top w:val="none" w:sz="0" w:space="0" w:color="auto"/>
            <w:left w:val="none" w:sz="0" w:space="0" w:color="auto"/>
            <w:bottom w:val="none" w:sz="0" w:space="0" w:color="auto"/>
            <w:right w:val="none" w:sz="0" w:space="0" w:color="auto"/>
          </w:divBdr>
          <w:divsChild>
            <w:div w:id="311451765">
              <w:marLeft w:val="0"/>
              <w:marRight w:val="0"/>
              <w:marTop w:val="0"/>
              <w:marBottom w:val="0"/>
              <w:divBdr>
                <w:top w:val="none" w:sz="0" w:space="0" w:color="auto"/>
                <w:left w:val="none" w:sz="0" w:space="0" w:color="auto"/>
                <w:bottom w:val="none" w:sz="0" w:space="0" w:color="auto"/>
                <w:right w:val="none" w:sz="0" w:space="0" w:color="auto"/>
              </w:divBdr>
              <w:divsChild>
                <w:div w:id="1208107410">
                  <w:marLeft w:val="0"/>
                  <w:marRight w:val="0"/>
                  <w:marTop w:val="0"/>
                  <w:marBottom w:val="0"/>
                  <w:divBdr>
                    <w:top w:val="none" w:sz="0" w:space="0" w:color="auto"/>
                    <w:left w:val="none" w:sz="0" w:space="0" w:color="auto"/>
                    <w:bottom w:val="none" w:sz="0" w:space="0" w:color="auto"/>
                    <w:right w:val="none" w:sz="0" w:space="0" w:color="auto"/>
                  </w:divBdr>
                  <w:divsChild>
                    <w:div w:id="1733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4431">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673532260">
      <w:bodyDiv w:val="1"/>
      <w:marLeft w:val="0"/>
      <w:marRight w:val="0"/>
      <w:marTop w:val="0"/>
      <w:marBottom w:val="0"/>
      <w:divBdr>
        <w:top w:val="none" w:sz="0" w:space="0" w:color="auto"/>
        <w:left w:val="none" w:sz="0" w:space="0" w:color="auto"/>
        <w:bottom w:val="none" w:sz="0" w:space="0" w:color="auto"/>
        <w:right w:val="none" w:sz="0" w:space="0" w:color="auto"/>
      </w:divBdr>
    </w:div>
    <w:div w:id="1691686343">
      <w:bodyDiv w:val="1"/>
      <w:marLeft w:val="0"/>
      <w:marRight w:val="0"/>
      <w:marTop w:val="0"/>
      <w:marBottom w:val="0"/>
      <w:divBdr>
        <w:top w:val="none" w:sz="0" w:space="0" w:color="auto"/>
        <w:left w:val="none" w:sz="0" w:space="0" w:color="auto"/>
        <w:bottom w:val="none" w:sz="0" w:space="0" w:color="auto"/>
        <w:right w:val="none" w:sz="0" w:space="0" w:color="auto"/>
      </w:divBdr>
    </w:div>
    <w:div w:id="1698965452">
      <w:bodyDiv w:val="1"/>
      <w:marLeft w:val="0"/>
      <w:marRight w:val="0"/>
      <w:marTop w:val="0"/>
      <w:marBottom w:val="0"/>
      <w:divBdr>
        <w:top w:val="none" w:sz="0" w:space="0" w:color="auto"/>
        <w:left w:val="none" w:sz="0" w:space="0" w:color="auto"/>
        <w:bottom w:val="none" w:sz="0" w:space="0" w:color="auto"/>
        <w:right w:val="none" w:sz="0" w:space="0" w:color="auto"/>
      </w:divBdr>
    </w:div>
    <w:div w:id="1750034085">
      <w:bodyDiv w:val="1"/>
      <w:marLeft w:val="0"/>
      <w:marRight w:val="0"/>
      <w:marTop w:val="0"/>
      <w:marBottom w:val="0"/>
      <w:divBdr>
        <w:top w:val="none" w:sz="0" w:space="0" w:color="auto"/>
        <w:left w:val="none" w:sz="0" w:space="0" w:color="auto"/>
        <w:bottom w:val="none" w:sz="0" w:space="0" w:color="auto"/>
        <w:right w:val="none" w:sz="0" w:space="0" w:color="auto"/>
      </w:divBdr>
      <w:divsChild>
        <w:div w:id="428233203">
          <w:marLeft w:val="0"/>
          <w:marRight w:val="0"/>
          <w:marTop w:val="0"/>
          <w:marBottom w:val="0"/>
          <w:divBdr>
            <w:top w:val="none" w:sz="0" w:space="0" w:color="auto"/>
            <w:left w:val="none" w:sz="0" w:space="0" w:color="auto"/>
            <w:bottom w:val="none" w:sz="0" w:space="0" w:color="auto"/>
            <w:right w:val="none" w:sz="0" w:space="0" w:color="auto"/>
          </w:divBdr>
          <w:divsChild>
            <w:div w:id="1571427814">
              <w:marLeft w:val="0"/>
              <w:marRight w:val="0"/>
              <w:marTop w:val="0"/>
              <w:marBottom w:val="0"/>
              <w:divBdr>
                <w:top w:val="none" w:sz="0" w:space="0" w:color="auto"/>
                <w:left w:val="none" w:sz="0" w:space="0" w:color="auto"/>
                <w:bottom w:val="none" w:sz="0" w:space="0" w:color="auto"/>
                <w:right w:val="none" w:sz="0" w:space="0" w:color="auto"/>
              </w:divBdr>
              <w:divsChild>
                <w:div w:id="1881554434">
                  <w:marLeft w:val="-268"/>
                  <w:marRight w:val="-268"/>
                  <w:marTop w:val="0"/>
                  <w:marBottom w:val="0"/>
                  <w:divBdr>
                    <w:top w:val="none" w:sz="0" w:space="0" w:color="auto"/>
                    <w:left w:val="none" w:sz="0" w:space="0" w:color="auto"/>
                    <w:bottom w:val="none" w:sz="0" w:space="0" w:color="auto"/>
                    <w:right w:val="none" w:sz="0" w:space="0" w:color="auto"/>
                  </w:divBdr>
                  <w:divsChild>
                    <w:div w:id="438183021">
                      <w:marLeft w:val="0"/>
                      <w:marRight w:val="0"/>
                      <w:marTop w:val="0"/>
                      <w:marBottom w:val="0"/>
                      <w:divBdr>
                        <w:top w:val="none" w:sz="0" w:space="0" w:color="auto"/>
                        <w:left w:val="none" w:sz="0" w:space="0" w:color="auto"/>
                        <w:bottom w:val="none" w:sz="0" w:space="0" w:color="auto"/>
                        <w:right w:val="none" w:sz="0" w:space="0" w:color="auto"/>
                      </w:divBdr>
                      <w:divsChild>
                        <w:div w:id="572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158306">
      <w:bodyDiv w:val="1"/>
      <w:marLeft w:val="0"/>
      <w:marRight w:val="0"/>
      <w:marTop w:val="0"/>
      <w:marBottom w:val="0"/>
      <w:divBdr>
        <w:top w:val="none" w:sz="0" w:space="0" w:color="auto"/>
        <w:left w:val="none" w:sz="0" w:space="0" w:color="auto"/>
        <w:bottom w:val="none" w:sz="0" w:space="0" w:color="auto"/>
        <w:right w:val="none" w:sz="0" w:space="0" w:color="auto"/>
      </w:divBdr>
    </w:div>
    <w:div w:id="1762679726">
      <w:bodyDiv w:val="1"/>
      <w:marLeft w:val="0"/>
      <w:marRight w:val="0"/>
      <w:marTop w:val="0"/>
      <w:marBottom w:val="0"/>
      <w:divBdr>
        <w:top w:val="none" w:sz="0" w:space="0" w:color="auto"/>
        <w:left w:val="none" w:sz="0" w:space="0" w:color="auto"/>
        <w:bottom w:val="none" w:sz="0" w:space="0" w:color="auto"/>
        <w:right w:val="none" w:sz="0" w:space="0" w:color="auto"/>
      </w:divBdr>
    </w:div>
    <w:div w:id="1767651808">
      <w:bodyDiv w:val="1"/>
      <w:marLeft w:val="0"/>
      <w:marRight w:val="0"/>
      <w:marTop w:val="0"/>
      <w:marBottom w:val="0"/>
      <w:divBdr>
        <w:top w:val="none" w:sz="0" w:space="0" w:color="auto"/>
        <w:left w:val="none" w:sz="0" w:space="0" w:color="auto"/>
        <w:bottom w:val="none" w:sz="0" w:space="0" w:color="auto"/>
        <w:right w:val="none" w:sz="0" w:space="0" w:color="auto"/>
      </w:divBdr>
    </w:div>
    <w:div w:id="1825387350">
      <w:bodyDiv w:val="1"/>
      <w:marLeft w:val="0"/>
      <w:marRight w:val="0"/>
      <w:marTop w:val="0"/>
      <w:marBottom w:val="0"/>
      <w:divBdr>
        <w:top w:val="none" w:sz="0" w:space="0" w:color="auto"/>
        <w:left w:val="none" w:sz="0" w:space="0" w:color="auto"/>
        <w:bottom w:val="none" w:sz="0" w:space="0" w:color="auto"/>
        <w:right w:val="none" w:sz="0" w:space="0" w:color="auto"/>
      </w:divBdr>
    </w:div>
    <w:div w:id="1834685668">
      <w:bodyDiv w:val="1"/>
      <w:marLeft w:val="0"/>
      <w:marRight w:val="0"/>
      <w:marTop w:val="0"/>
      <w:marBottom w:val="0"/>
      <w:divBdr>
        <w:top w:val="none" w:sz="0" w:space="0" w:color="auto"/>
        <w:left w:val="none" w:sz="0" w:space="0" w:color="auto"/>
        <w:bottom w:val="none" w:sz="0" w:space="0" w:color="auto"/>
        <w:right w:val="none" w:sz="0" w:space="0" w:color="auto"/>
      </w:divBdr>
    </w:div>
    <w:div w:id="1868979581">
      <w:bodyDiv w:val="1"/>
      <w:marLeft w:val="0"/>
      <w:marRight w:val="0"/>
      <w:marTop w:val="0"/>
      <w:marBottom w:val="0"/>
      <w:divBdr>
        <w:top w:val="none" w:sz="0" w:space="0" w:color="auto"/>
        <w:left w:val="none" w:sz="0" w:space="0" w:color="auto"/>
        <w:bottom w:val="none" w:sz="0" w:space="0" w:color="auto"/>
        <w:right w:val="none" w:sz="0" w:space="0" w:color="auto"/>
      </w:divBdr>
    </w:div>
    <w:div w:id="1919754570">
      <w:bodyDiv w:val="1"/>
      <w:marLeft w:val="0"/>
      <w:marRight w:val="0"/>
      <w:marTop w:val="0"/>
      <w:marBottom w:val="0"/>
      <w:divBdr>
        <w:top w:val="none" w:sz="0" w:space="0" w:color="auto"/>
        <w:left w:val="none" w:sz="0" w:space="0" w:color="auto"/>
        <w:bottom w:val="none" w:sz="0" w:space="0" w:color="auto"/>
        <w:right w:val="none" w:sz="0" w:space="0" w:color="auto"/>
      </w:divBdr>
    </w:div>
    <w:div w:id="1923878243">
      <w:bodyDiv w:val="1"/>
      <w:marLeft w:val="0"/>
      <w:marRight w:val="0"/>
      <w:marTop w:val="0"/>
      <w:marBottom w:val="0"/>
      <w:divBdr>
        <w:top w:val="none" w:sz="0" w:space="0" w:color="auto"/>
        <w:left w:val="none" w:sz="0" w:space="0" w:color="auto"/>
        <w:bottom w:val="none" w:sz="0" w:space="0" w:color="auto"/>
        <w:right w:val="none" w:sz="0" w:space="0" w:color="auto"/>
      </w:divBdr>
    </w:div>
    <w:div w:id="1928883045">
      <w:bodyDiv w:val="1"/>
      <w:marLeft w:val="0"/>
      <w:marRight w:val="0"/>
      <w:marTop w:val="0"/>
      <w:marBottom w:val="0"/>
      <w:divBdr>
        <w:top w:val="none" w:sz="0" w:space="0" w:color="auto"/>
        <w:left w:val="none" w:sz="0" w:space="0" w:color="auto"/>
        <w:bottom w:val="none" w:sz="0" w:space="0" w:color="auto"/>
        <w:right w:val="none" w:sz="0" w:space="0" w:color="auto"/>
      </w:divBdr>
    </w:div>
    <w:div w:id="1929347069">
      <w:bodyDiv w:val="1"/>
      <w:marLeft w:val="0"/>
      <w:marRight w:val="0"/>
      <w:marTop w:val="0"/>
      <w:marBottom w:val="0"/>
      <w:divBdr>
        <w:top w:val="none" w:sz="0" w:space="0" w:color="auto"/>
        <w:left w:val="none" w:sz="0" w:space="0" w:color="auto"/>
        <w:bottom w:val="none" w:sz="0" w:space="0" w:color="auto"/>
        <w:right w:val="none" w:sz="0" w:space="0" w:color="auto"/>
      </w:divBdr>
    </w:div>
    <w:div w:id="1951669879">
      <w:bodyDiv w:val="1"/>
      <w:marLeft w:val="0"/>
      <w:marRight w:val="0"/>
      <w:marTop w:val="0"/>
      <w:marBottom w:val="0"/>
      <w:divBdr>
        <w:top w:val="none" w:sz="0" w:space="0" w:color="auto"/>
        <w:left w:val="none" w:sz="0" w:space="0" w:color="auto"/>
        <w:bottom w:val="none" w:sz="0" w:space="0" w:color="auto"/>
        <w:right w:val="none" w:sz="0" w:space="0" w:color="auto"/>
      </w:divBdr>
    </w:div>
    <w:div w:id="1963655848">
      <w:bodyDiv w:val="1"/>
      <w:marLeft w:val="0"/>
      <w:marRight w:val="0"/>
      <w:marTop w:val="0"/>
      <w:marBottom w:val="0"/>
      <w:divBdr>
        <w:top w:val="none" w:sz="0" w:space="0" w:color="auto"/>
        <w:left w:val="none" w:sz="0" w:space="0" w:color="auto"/>
        <w:bottom w:val="none" w:sz="0" w:space="0" w:color="auto"/>
        <w:right w:val="none" w:sz="0" w:space="0" w:color="auto"/>
      </w:divBdr>
    </w:div>
    <w:div w:id="1989552414">
      <w:bodyDiv w:val="1"/>
      <w:marLeft w:val="0"/>
      <w:marRight w:val="0"/>
      <w:marTop w:val="0"/>
      <w:marBottom w:val="0"/>
      <w:divBdr>
        <w:top w:val="none" w:sz="0" w:space="0" w:color="auto"/>
        <w:left w:val="none" w:sz="0" w:space="0" w:color="auto"/>
        <w:bottom w:val="none" w:sz="0" w:space="0" w:color="auto"/>
        <w:right w:val="none" w:sz="0" w:space="0" w:color="auto"/>
      </w:divBdr>
    </w:div>
    <w:div w:id="1991136479">
      <w:bodyDiv w:val="1"/>
      <w:marLeft w:val="0"/>
      <w:marRight w:val="0"/>
      <w:marTop w:val="0"/>
      <w:marBottom w:val="0"/>
      <w:divBdr>
        <w:top w:val="none" w:sz="0" w:space="0" w:color="auto"/>
        <w:left w:val="none" w:sz="0" w:space="0" w:color="auto"/>
        <w:bottom w:val="none" w:sz="0" w:space="0" w:color="auto"/>
        <w:right w:val="none" w:sz="0" w:space="0" w:color="auto"/>
      </w:divBdr>
    </w:div>
    <w:div w:id="2004430510">
      <w:bodyDiv w:val="1"/>
      <w:marLeft w:val="0"/>
      <w:marRight w:val="0"/>
      <w:marTop w:val="0"/>
      <w:marBottom w:val="0"/>
      <w:divBdr>
        <w:top w:val="none" w:sz="0" w:space="0" w:color="auto"/>
        <w:left w:val="none" w:sz="0" w:space="0" w:color="auto"/>
        <w:bottom w:val="none" w:sz="0" w:space="0" w:color="auto"/>
        <w:right w:val="none" w:sz="0" w:space="0" w:color="auto"/>
      </w:divBdr>
    </w:div>
    <w:div w:id="2006935155">
      <w:bodyDiv w:val="1"/>
      <w:marLeft w:val="0"/>
      <w:marRight w:val="0"/>
      <w:marTop w:val="0"/>
      <w:marBottom w:val="0"/>
      <w:divBdr>
        <w:top w:val="none" w:sz="0" w:space="0" w:color="auto"/>
        <w:left w:val="none" w:sz="0" w:space="0" w:color="auto"/>
        <w:bottom w:val="none" w:sz="0" w:space="0" w:color="auto"/>
        <w:right w:val="none" w:sz="0" w:space="0" w:color="auto"/>
      </w:divBdr>
    </w:div>
    <w:div w:id="2051833568">
      <w:bodyDiv w:val="1"/>
      <w:marLeft w:val="0"/>
      <w:marRight w:val="0"/>
      <w:marTop w:val="0"/>
      <w:marBottom w:val="0"/>
      <w:divBdr>
        <w:top w:val="none" w:sz="0" w:space="0" w:color="auto"/>
        <w:left w:val="none" w:sz="0" w:space="0" w:color="auto"/>
        <w:bottom w:val="none" w:sz="0" w:space="0" w:color="auto"/>
        <w:right w:val="none" w:sz="0" w:space="0" w:color="auto"/>
      </w:divBdr>
    </w:div>
    <w:div w:id="2056930972">
      <w:bodyDiv w:val="1"/>
      <w:marLeft w:val="0"/>
      <w:marRight w:val="0"/>
      <w:marTop w:val="0"/>
      <w:marBottom w:val="0"/>
      <w:divBdr>
        <w:top w:val="none" w:sz="0" w:space="0" w:color="auto"/>
        <w:left w:val="none" w:sz="0" w:space="0" w:color="auto"/>
        <w:bottom w:val="none" w:sz="0" w:space="0" w:color="auto"/>
        <w:right w:val="none" w:sz="0" w:space="0" w:color="auto"/>
      </w:divBdr>
    </w:div>
    <w:div w:id="2070035183">
      <w:bodyDiv w:val="1"/>
      <w:marLeft w:val="0"/>
      <w:marRight w:val="0"/>
      <w:marTop w:val="0"/>
      <w:marBottom w:val="0"/>
      <w:divBdr>
        <w:top w:val="none" w:sz="0" w:space="0" w:color="auto"/>
        <w:left w:val="none" w:sz="0" w:space="0" w:color="auto"/>
        <w:bottom w:val="none" w:sz="0" w:space="0" w:color="auto"/>
        <w:right w:val="none" w:sz="0" w:space="0" w:color="auto"/>
      </w:divBdr>
    </w:div>
    <w:div w:id="2074770254">
      <w:bodyDiv w:val="1"/>
      <w:marLeft w:val="0"/>
      <w:marRight w:val="0"/>
      <w:marTop w:val="0"/>
      <w:marBottom w:val="0"/>
      <w:divBdr>
        <w:top w:val="none" w:sz="0" w:space="0" w:color="auto"/>
        <w:left w:val="none" w:sz="0" w:space="0" w:color="auto"/>
        <w:bottom w:val="none" w:sz="0" w:space="0" w:color="auto"/>
        <w:right w:val="none" w:sz="0" w:space="0" w:color="auto"/>
      </w:divBdr>
    </w:div>
    <w:div w:id="2082942289">
      <w:bodyDiv w:val="1"/>
      <w:marLeft w:val="0"/>
      <w:marRight w:val="0"/>
      <w:marTop w:val="0"/>
      <w:marBottom w:val="0"/>
      <w:divBdr>
        <w:top w:val="none" w:sz="0" w:space="0" w:color="auto"/>
        <w:left w:val="none" w:sz="0" w:space="0" w:color="auto"/>
        <w:bottom w:val="none" w:sz="0" w:space="0" w:color="auto"/>
        <w:right w:val="none" w:sz="0" w:space="0" w:color="auto"/>
      </w:divBdr>
    </w:div>
    <w:div w:id="2119252342">
      <w:bodyDiv w:val="1"/>
      <w:marLeft w:val="0"/>
      <w:marRight w:val="0"/>
      <w:marTop w:val="0"/>
      <w:marBottom w:val="0"/>
      <w:divBdr>
        <w:top w:val="none" w:sz="0" w:space="0" w:color="auto"/>
        <w:left w:val="none" w:sz="0" w:space="0" w:color="auto"/>
        <w:bottom w:val="none" w:sz="0" w:space="0" w:color="auto"/>
        <w:right w:val="none" w:sz="0" w:space="0" w:color="auto"/>
      </w:divBdr>
    </w:div>
    <w:div w:id="2127964257">
      <w:bodyDiv w:val="1"/>
      <w:marLeft w:val="0"/>
      <w:marRight w:val="0"/>
      <w:marTop w:val="0"/>
      <w:marBottom w:val="0"/>
      <w:divBdr>
        <w:top w:val="none" w:sz="0" w:space="0" w:color="auto"/>
        <w:left w:val="none" w:sz="0" w:space="0" w:color="auto"/>
        <w:bottom w:val="none" w:sz="0" w:space="0" w:color="auto"/>
        <w:right w:val="none" w:sz="0" w:space="0" w:color="auto"/>
      </w:divBdr>
    </w:div>
    <w:div w:id="21358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D105-3F8C-4BA6-B199-D35F0952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18</Pages>
  <Words>7200</Words>
  <Characters>41045</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gulistanbahat</dc:creator>
  <cp:lastModifiedBy>pc</cp:lastModifiedBy>
  <cp:revision>14</cp:revision>
  <dcterms:created xsi:type="dcterms:W3CDTF">2021-11-16T10:20:00Z</dcterms:created>
  <dcterms:modified xsi:type="dcterms:W3CDTF">2021-11-18T12:58:00Z</dcterms:modified>
</cp:coreProperties>
</file>