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1DCF9" w14:textId="77777777" w:rsidR="00580636" w:rsidRPr="00E21AE0" w:rsidRDefault="00580636" w:rsidP="0043334F">
      <w:pPr>
        <w:contextualSpacing/>
        <w:rPr>
          <w:rFonts w:cstheme="minorHAnsi"/>
          <w:color w:val="000000"/>
          <w:lang w:val="fr-FR"/>
        </w:rPr>
      </w:pPr>
    </w:p>
    <w:p w14:paraId="55C6EC09" w14:textId="130F74AA" w:rsidR="007D5087" w:rsidRPr="00E21AE0" w:rsidRDefault="007D5087" w:rsidP="0043334F">
      <w:pPr>
        <w:pStyle w:val="Balk3"/>
        <w:pBdr>
          <w:bottom w:val="single" w:sz="6" w:space="1" w:color="auto"/>
        </w:pBdr>
        <w:spacing w:line="240" w:lineRule="auto"/>
        <w:contextualSpacing/>
        <w:jc w:val="both"/>
        <w:rPr>
          <w:rFonts w:asciiTheme="minorHAnsi" w:hAnsiTheme="minorHAnsi" w:cstheme="minorHAnsi"/>
          <w:color w:val="FF0000"/>
          <w:sz w:val="24"/>
          <w:szCs w:val="24"/>
          <w:u w:val="single"/>
          <w:lang w:val="fr-FR"/>
        </w:rPr>
      </w:pPr>
      <w:r w:rsidRPr="00E21AE0">
        <w:rPr>
          <w:rFonts w:asciiTheme="minorHAnsi" w:hAnsiTheme="minorHAnsi" w:cstheme="minorHAnsi"/>
          <w:color w:val="FF0000"/>
          <w:sz w:val="24"/>
          <w:szCs w:val="24"/>
          <w:u w:val="single"/>
          <w:lang w:val="fr-FR"/>
        </w:rPr>
        <w:t xml:space="preserve">TIME to STOP- </w:t>
      </w:r>
      <w:r w:rsidR="00E21AE0" w:rsidRPr="00E21AE0">
        <w:rPr>
          <w:rFonts w:asciiTheme="minorHAnsi" w:hAnsiTheme="minorHAnsi" w:cstheme="minorHAnsi"/>
          <w:color w:val="FF0000"/>
          <w:sz w:val="24"/>
          <w:szCs w:val="24"/>
          <w:u w:val="single"/>
          <w:lang w:val="fr-FR"/>
        </w:rPr>
        <w:t>MÉDICAMENTS NON RECOMMANDÉS POUR LES PERSONNES ÂGÉES</w:t>
      </w:r>
    </w:p>
    <w:p w14:paraId="03570959" w14:textId="0DBE8242" w:rsidR="00E21AE0" w:rsidRPr="00E21AE0" w:rsidRDefault="00E21AE0" w:rsidP="0043334F">
      <w:pPr>
        <w:contextualSpacing/>
        <w:rPr>
          <w:rFonts w:asciiTheme="minorHAnsi" w:hAnsiTheme="minorHAnsi" w:cstheme="minorHAnsi"/>
          <w:b/>
          <w:color w:val="FF0000"/>
          <w:lang w:val="fr-FR"/>
        </w:rPr>
      </w:pPr>
      <w:r w:rsidRPr="00E21AE0">
        <w:rPr>
          <w:rFonts w:asciiTheme="minorHAnsi" w:hAnsiTheme="minorHAnsi" w:cstheme="minorHAnsi"/>
          <w:b/>
          <w:color w:val="FF0000"/>
          <w:lang w:val="fr-FR"/>
        </w:rPr>
        <w:t>L'utilisation de ce groupe de médicaments dans des conditions répondant aux critères a un potentiel d'effets secondaires « élevé » en raison d'une maladie médicamenteuse, d'un syndrome médicamenteux-gériatrique et/ou d'une interaction médicamenteuse chez les personnes âgées, et ils sont décrits comme « usage de médicaments pot</w:t>
      </w:r>
      <w:bookmarkStart w:id="0" w:name="_GoBack"/>
      <w:bookmarkEnd w:id="0"/>
      <w:r w:rsidRPr="00E21AE0">
        <w:rPr>
          <w:rFonts w:asciiTheme="minorHAnsi" w:hAnsiTheme="minorHAnsi" w:cstheme="minorHAnsi"/>
          <w:b/>
          <w:color w:val="FF0000"/>
          <w:lang w:val="fr-FR"/>
        </w:rPr>
        <w:t>entiellement inapproprié</w:t>
      </w:r>
      <w:r>
        <w:rPr>
          <w:rFonts w:asciiTheme="minorHAnsi" w:hAnsiTheme="minorHAnsi" w:cstheme="minorHAnsi"/>
          <w:b/>
          <w:color w:val="FF0000"/>
          <w:lang w:val="fr-FR"/>
        </w:rPr>
        <w:t> »</w:t>
      </w:r>
      <w:r w:rsidRPr="00E21AE0">
        <w:rPr>
          <w:rFonts w:asciiTheme="minorHAnsi" w:hAnsiTheme="minorHAnsi" w:cstheme="minorHAnsi"/>
          <w:b/>
          <w:color w:val="FF0000"/>
          <w:lang w:val="fr-FR"/>
        </w:rPr>
        <w:t xml:space="preserve">. Les cliniciens doivent prendre leurs décisions en tenant compte des avantages et des inconvénients potentiels du médicament chez le patient avec toutes les caractéristiques du patient (équilibre avantages/inconvénients) et les objectifs de traitement déterminés conformément aux préférences du patient/soignant. Les cliniciens peuvent encore juger approprié d'utiliser ce groupe de médicaments dans certains cas. Ce sont des médicaments qui doivent être utilisés avec prudence lorsqu'ils sont préférés, et doivent être suivis de près sur le plan clinique pour la présence d'effets secondaires. </w:t>
      </w:r>
    </w:p>
    <w:p w14:paraId="675CDF1B" w14:textId="77777777" w:rsidR="00E21AE0" w:rsidRPr="00E21AE0" w:rsidRDefault="00E21AE0" w:rsidP="0043334F">
      <w:pPr>
        <w:contextualSpacing/>
        <w:rPr>
          <w:rFonts w:asciiTheme="minorHAnsi" w:hAnsiTheme="minorHAnsi" w:cstheme="minorHAnsi"/>
          <w:b/>
          <w:color w:val="FF0000"/>
          <w:lang w:val="fr-FR"/>
        </w:rPr>
      </w:pPr>
    </w:p>
    <w:p w14:paraId="35916D99" w14:textId="77777777" w:rsidR="00E21AE0" w:rsidRDefault="00E21AE0" w:rsidP="00FE62C6">
      <w:pPr>
        <w:pStyle w:val="Balk3"/>
        <w:pBdr>
          <w:bottom w:val="single" w:sz="6" w:space="1" w:color="000000"/>
        </w:pBdr>
        <w:spacing w:line="360" w:lineRule="auto"/>
        <w:jc w:val="both"/>
        <w:rPr>
          <w:i/>
          <w:color w:val="000000"/>
          <w:lang w:val="fr-FR"/>
        </w:rPr>
      </w:pPr>
      <w:r w:rsidRPr="00E21AE0">
        <w:rPr>
          <w:i/>
          <w:color w:val="000000"/>
          <w:lang w:val="fr-FR"/>
        </w:rPr>
        <w:t>Pour faciliter l'utilisation clinique, les explications ajoutées à certains critères sont données en italique et avec le préfixe * immédiatement après les critères.</w:t>
      </w:r>
    </w:p>
    <w:p w14:paraId="33D6840E" w14:textId="224C5C28" w:rsidR="00E21AE0" w:rsidRDefault="00E21AE0" w:rsidP="00FE62C6">
      <w:pPr>
        <w:pStyle w:val="Balk3"/>
        <w:pBdr>
          <w:bottom w:val="single" w:sz="6" w:space="1" w:color="000000"/>
        </w:pBdr>
        <w:spacing w:line="360" w:lineRule="auto"/>
        <w:jc w:val="both"/>
        <w:rPr>
          <w:i/>
          <w:color w:val="000000"/>
          <w:lang w:val="fr-FR"/>
        </w:rPr>
      </w:pPr>
      <w:r w:rsidRPr="00E21AE0">
        <w:rPr>
          <w:i/>
          <w:color w:val="000000"/>
          <w:lang w:val="fr-FR"/>
        </w:rPr>
        <w:t xml:space="preserve">Les références; </w:t>
      </w:r>
      <w:r>
        <w:rPr>
          <w:i/>
          <w:color w:val="000000"/>
          <w:lang w:val="fr-FR"/>
        </w:rPr>
        <w:t>contiennent l</w:t>
      </w:r>
      <w:r w:rsidRPr="00E21AE0">
        <w:rPr>
          <w:i/>
          <w:color w:val="000000"/>
          <w:lang w:val="fr-FR"/>
        </w:rPr>
        <w:t xml:space="preserve">es références </w:t>
      </w:r>
      <w:r>
        <w:rPr>
          <w:i/>
          <w:color w:val="000000"/>
          <w:lang w:val="fr-FR"/>
        </w:rPr>
        <w:t>concernant les critères et, le cas échéant, celles sur l</w:t>
      </w:r>
      <w:r w:rsidRPr="00E21AE0">
        <w:rPr>
          <w:i/>
          <w:color w:val="000000"/>
          <w:lang w:val="fr-FR"/>
        </w:rPr>
        <w:t>es explications.</w:t>
      </w:r>
      <w:r>
        <w:rPr>
          <w:i/>
          <w:color w:val="000000"/>
          <w:lang w:val="fr-FR"/>
        </w:rPr>
        <w:t xml:space="preserve"> </w:t>
      </w:r>
    </w:p>
    <w:p w14:paraId="38FF58BA" w14:textId="77777777" w:rsidR="00580636" w:rsidRPr="00E21AE0" w:rsidRDefault="00580636" w:rsidP="0043334F">
      <w:pPr>
        <w:contextualSpacing/>
        <w:rPr>
          <w:rFonts w:cstheme="minorHAnsi"/>
          <w:bCs/>
          <w:lang w:val="fr-FR" w:eastAsia="en-GB"/>
        </w:rPr>
      </w:pPr>
    </w:p>
    <w:p w14:paraId="36FB9AA2" w14:textId="77777777" w:rsidR="007D5087" w:rsidRPr="00E21AE0" w:rsidRDefault="007D5087" w:rsidP="0043334F">
      <w:pPr>
        <w:contextualSpacing/>
        <w:rPr>
          <w:rFonts w:asciiTheme="minorHAnsi" w:hAnsiTheme="minorHAnsi" w:cstheme="minorHAnsi"/>
          <w:b/>
          <w:bCs/>
          <w:sz w:val="28"/>
          <w:szCs w:val="28"/>
          <w:u w:val="single"/>
          <w:lang w:val="fr-FR" w:eastAsia="en-GB"/>
        </w:rPr>
      </w:pPr>
    </w:p>
    <w:p w14:paraId="6D680221" w14:textId="2C9CB92A" w:rsidR="00580636" w:rsidRPr="00E21AE0" w:rsidRDefault="00E21AE0" w:rsidP="0043334F">
      <w:pPr>
        <w:contextualSpacing/>
        <w:rPr>
          <w:rFonts w:asciiTheme="minorHAnsi" w:hAnsiTheme="minorHAnsi" w:cstheme="minorHAnsi"/>
          <w:b/>
          <w:bCs/>
          <w:sz w:val="28"/>
          <w:szCs w:val="28"/>
          <w:u w:val="single"/>
          <w:lang w:val="fr-FR" w:eastAsia="en-GB"/>
        </w:rPr>
      </w:pPr>
      <w:r>
        <w:rPr>
          <w:rFonts w:asciiTheme="minorHAnsi" w:hAnsiTheme="minorHAnsi" w:cstheme="minorHAnsi"/>
          <w:b/>
          <w:bCs/>
          <w:sz w:val="28"/>
          <w:szCs w:val="28"/>
          <w:u w:val="single"/>
          <w:lang w:val="fr-FR" w:eastAsia="en-GB"/>
        </w:rPr>
        <w:t xml:space="preserve">Les critères de </w:t>
      </w:r>
      <w:r w:rsidR="00580636" w:rsidRPr="00E21AE0">
        <w:rPr>
          <w:rFonts w:asciiTheme="minorHAnsi" w:hAnsiTheme="minorHAnsi" w:cstheme="minorHAnsi"/>
          <w:b/>
          <w:bCs/>
          <w:sz w:val="28"/>
          <w:szCs w:val="28"/>
          <w:u w:val="single"/>
          <w:lang w:val="fr-FR" w:eastAsia="en-GB"/>
        </w:rPr>
        <w:t>TIME-to-STOP (</w:t>
      </w:r>
      <w:r>
        <w:rPr>
          <w:rFonts w:asciiTheme="minorHAnsi" w:hAnsiTheme="minorHAnsi" w:cstheme="minorHAnsi"/>
          <w:b/>
          <w:bCs/>
          <w:sz w:val="28"/>
          <w:szCs w:val="28"/>
          <w:u w:val="single"/>
          <w:lang w:val="fr-FR" w:eastAsia="en-GB"/>
        </w:rPr>
        <w:t>avec référence et explication</w:t>
      </w:r>
      <w:r w:rsidR="00580636" w:rsidRPr="00E21AE0">
        <w:rPr>
          <w:rFonts w:asciiTheme="minorHAnsi" w:hAnsiTheme="minorHAnsi" w:cstheme="minorHAnsi"/>
          <w:b/>
          <w:bCs/>
          <w:sz w:val="28"/>
          <w:szCs w:val="28"/>
          <w:u w:val="single"/>
          <w:lang w:val="fr-FR" w:eastAsia="en-GB"/>
        </w:rPr>
        <w:t>)</w:t>
      </w:r>
    </w:p>
    <w:p w14:paraId="22D4841E" w14:textId="77777777" w:rsidR="0043334F" w:rsidRPr="00E21AE0" w:rsidRDefault="0043334F" w:rsidP="0043334F">
      <w:pPr>
        <w:contextualSpacing/>
        <w:rPr>
          <w:rFonts w:asciiTheme="minorHAnsi" w:hAnsiTheme="minorHAnsi" w:cstheme="minorHAnsi"/>
          <w:b/>
          <w:bCs/>
          <w:sz w:val="28"/>
          <w:szCs w:val="28"/>
          <w:lang w:val="fr-FR" w:eastAsia="en-GB"/>
        </w:rPr>
      </w:pPr>
    </w:p>
    <w:p w14:paraId="4DDD458B" w14:textId="3034A5A0" w:rsidR="00E74F94" w:rsidRPr="00E21AE0" w:rsidRDefault="00D173A5" w:rsidP="0043334F">
      <w:pPr>
        <w:pStyle w:val="paragraph"/>
        <w:spacing w:before="0" w:beforeAutospacing="0" w:after="0" w:afterAutospacing="0"/>
        <w:contextualSpacing/>
        <w:jc w:val="both"/>
        <w:textAlignment w:val="baseline"/>
        <w:rPr>
          <w:rStyle w:val="normaltextrun"/>
          <w:rFonts w:asciiTheme="minorHAnsi" w:eastAsiaTheme="majorEastAsia" w:hAnsiTheme="minorHAnsi"/>
          <w:b/>
          <w:bCs/>
          <w:sz w:val="28"/>
          <w:szCs w:val="28"/>
          <w:lang w:val="fr-FR"/>
        </w:rPr>
      </w:pPr>
      <w:r w:rsidRPr="00E21AE0">
        <w:rPr>
          <w:rStyle w:val="normaltextrun"/>
          <w:rFonts w:asciiTheme="minorHAnsi" w:eastAsiaTheme="majorEastAsia" w:hAnsiTheme="minorHAnsi"/>
          <w:b/>
          <w:bCs/>
          <w:sz w:val="28"/>
          <w:szCs w:val="28"/>
          <w:lang w:val="fr-FR"/>
        </w:rPr>
        <w:t>A</w:t>
      </w:r>
      <w:r w:rsidR="009B4E92" w:rsidRPr="00E21AE0">
        <w:rPr>
          <w:rStyle w:val="normaltextrun"/>
          <w:rFonts w:asciiTheme="minorHAnsi" w:eastAsiaTheme="majorEastAsia" w:hAnsiTheme="minorHAnsi"/>
          <w:b/>
          <w:bCs/>
          <w:sz w:val="28"/>
          <w:szCs w:val="28"/>
          <w:lang w:val="fr-FR"/>
        </w:rPr>
        <w:t>:</w:t>
      </w:r>
      <w:r w:rsidRPr="00E21AE0">
        <w:rPr>
          <w:rStyle w:val="normaltextrun"/>
          <w:rFonts w:asciiTheme="minorHAnsi" w:eastAsiaTheme="majorEastAsia" w:hAnsiTheme="minorHAnsi"/>
          <w:b/>
          <w:bCs/>
          <w:sz w:val="28"/>
          <w:szCs w:val="28"/>
          <w:lang w:val="fr-FR"/>
        </w:rPr>
        <w:t xml:space="preserve"> </w:t>
      </w:r>
      <w:r w:rsidR="00E21AE0">
        <w:rPr>
          <w:rStyle w:val="normaltextrun"/>
          <w:rFonts w:asciiTheme="minorHAnsi" w:eastAsiaTheme="majorEastAsia" w:hAnsiTheme="minorHAnsi"/>
          <w:b/>
          <w:bCs/>
          <w:sz w:val="28"/>
          <w:szCs w:val="28"/>
          <w:lang w:val="fr-FR"/>
        </w:rPr>
        <w:t>Les critères du système cardio-vasculaire</w:t>
      </w:r>
      <w:r w:rsidR="009B4E92" w:rsidRPr="00E21AE0">
        <w:rPr>
          <w:rStyle w:val="normaltextrun"/>
          <w:rFonts w:asciiTheme="minorHAnsi" w:eastAsiaTheme="majorEastAsia" w:hAnsiTheme="minorHAnsi"/>
          <w:b/>
          <w:bCs/>
          <w:sz w:val="28"/>
          <w:szCs w:val="28"/>
          <w:lang w:val="fr-FR"/>
        </w:rPr>
        <w:t>.</w:t>
      </w:r>
    </w:p>
    <w:p w14:paraId="1E9C4FD4" w14:textId="77777777" w:rsidR="00580636" w:rsidRPr="00E21AE0" w:rsidRDefault="00580636" w:rsidP="0043334F">
      <w:pPr>
        <w:pStyle w:val="paragraph"/>
        <w:spacing w:before="0" w:beforeAutospacing="0" w:after="0" w:afterAutospacing="0"/>
        <w:contextualSpacing/>
        <w:jc w:val="both"/>
        <w:textAlignment w:val="baseline"/>
        <w:rPr>
          <w:rStyle w:val="normaltextrun"/>
          <w:rFonts w:asciiTheme="minorHAnsi" w:eastAsiaTheme="majorEastAsia" w:hAnsiTheme="minorHAnsi"/>
          <w:b/>
          <w:bCs/>
          <w:sz w:val="22"/>
          <w:szCs w:val="22"/>
          <w:lang w:val="fr-FR"/>
        </w:rPr>
      </w:pPr>
    </w:p>
    <w:p w14:paraId="6DAF3C93" w14:textId="4BC74D21" w:rsidR="00040C22" w:rsidRPr="00E21AE0" w:rsidRDefault="006C24B0" w:rsidP="0043334F">
      <w:pPr>
        <w:pStyle w:val="paragraph"/>
        <w:spacing w:before="0" w:beforeAutospacing="0" w:after="0" w:afterAutospacing="0"/>
        <w:contextualSpacing/>
        <w:jc w:val="both"/>
        <w:textAlignment w:val="baseline"/>
        <w:rPr>
          <w:rFonts w:asciiTheme="minorHAnsi" w:eastAsiaTheme="majorEastAsia" w:hAnsiTheme="minorHAnsi"/>
          <w:b/>
          <w:bCs/>
          <w:sz w:val="22"/>
          <w:szCs w:val="22"/>
          <w:lang w:val="fr-FR"/>
        </w:rPr>
      </w:pPr>
      <w:r w:rsidRPr="00E21AE0">
        <w:rPr>
          <w:rStyle w:val="normaltextrun"/>
          <w:rFonts w:asciiTheme="minorHAnsi" w:eastAsiaTheme="majorEastAsia" w:hAnsiTheme="minorHAnsi"/>
          <w:b/>
          <w:bCs/>
          <w:sz w:val="22"/>
          <w:szCs w:val="22"/>
          <w:lang w:val="fr-FR"/>
        </w:rPr>
        <w:t xml:space="preserve">A1. </w:t>
      </w:r>
      <w:r w:rsidR="00E21AE0" w:rsidRPr="00E21AE0">
        <w:rPr>
          <w:rStyle w:val="normaltextrun"/>
          <w:rFonts w:asciiTheme="minorHAnsi" w:eastAsiaTheme="majorEastAsia" w:hAnsiTheme="minorHAnsi"/>
          <w:b/>
          <w:bCs/>
          <w:sz w:val="22"/>
          <w:szCs w:val="22"/>
          <w:lang w:val="fr-FR"/>
        </w:rPr>
        <w:t xml:space="preserve">L'utilisation de la </w:t>
      </w:r>
      <w:proofErr w:type="spellStart"/>
      <w:r w:rsidR="00E21AE0" w:rsidRPr="00E21AE0">
        <w:rPr>
          <w:rStyle w:val="normaltextrun"/>
          <w:rFonts w:asciiTheme="minorHAnsi" w:eastAsiaTheme="majorEastAsia" w:hAnsiTheme="minorHAnsi"/>
          <w:b/>
          <w:bCs/>
          <w:sz w:val="22"/>
          <w:szCs w:val="22"/>
          <w:lang w:val="fr-FR"/>
        </w:rPr>
        <w:t>digoxine</w:t>
      </w:r>
      <w:proofErr w:type="spellEnd"/>
      <w:r w:rsidR="00E21AE0" w:rsidRPr="00E21AE0">
        <w:rPr>
          <w:rStyle w:val="normaltextrun"/>
          <w:rFonts w:asciiTheme="minorHAnsi" w:eastAsiaTheme="majorEastAsia" w:hAnsiTheme="minorHAnsi"/>
          <w:b/>
          <w:bCs/>
          <w:sz w:val="22"/>
          <w:szCs w:val="22"/>
          <w:lang w:val="fr-FR"/>
        </w:rPr>
        <w:t xml:space="preserve"> dans la première étape du traitement de la FA n'est pas appropriée. </w:t>
      </w:r>
      <w:r w:rsidR="00E21AE0">
        <w:rPr>
          <w:rStyle w:val="normaltextrun"/>
          <w:rFonts w:asciiTheme="minorHAnsi" w:eastAsiaTheme="majorEastAsia" w:hAnsiTheme="minorHAnsi"/>
          <w:b/>
          <w:bCs/>
          <w:sz w:val="22"/>
          <w:szCs w:val="22"/>
          <w:lang w:val="fr-FR"/>
        </w:rPr>
        <w:t xml:space="preserve"> </w:t>
      </w:r>
    </w:p>
    <w:p w14:paraId="76B3B4F5" w14:textId="5B93A3B9" w:rsidR="00CA5845" w:rsidRPr="00E21AE0" w:rsidRDefault="00E21AE0" w:rsidP="0043334F">
      <w:pPr>
        <w:spacing w:after="100" w:afterAutospacing="1"/>
        <w:contextualSpacing/>
        <w:jc w:val="both"/>
        <w:rPr>
          <w:rStyle w:val="eop"/>
          <w:rFonts w:asciiTheme="minorHAnsi" w:eastAsiaTheme="majorEastAsia" w:hAnsiTheme="minorHAnsi"/>
          <w:i/>
          <w:sz w:val="22"/>
          <w:szCs w:val="22"/>
          <w:lang w:val="fr-FR"/>
        </w:rPr>
      </w:pPr>
      <w:r w:rsidRPr="00E21AE0">
        <w:rPr>
          <w:rFonts w:asciiTheme="minorHAnsi" w:hAnsiTheme="minorHAnsi"/>
          <w:i/>
          <w:sz w:val="22"/>
          <w:szCs w:val="22"/>
          <w:lang w:val="fr-FR"/>
        </w:rPr>
        <w:t xml:space="preserve">*La </w:t>
      </w:r>
      <w:proofErr w:type="spellStart"/>
      <w:r w:rsidRPr="00E21AE0">
        <w:rPr>
          <w:rFonts w:asciiTheme="minorHAnsi" w:hAnsiTheme="minorHAnsi"/>
          <w:i/>
          <w:sz w:val="22"/>
          <w:szCs w:val="22"/>
          <w:lang w:val="fr-FR"/>
        </w:rPr>
        <w:t>digoxine</w:t>
      </w:r>
      <w:proofErr w:type="spellEnd"/>
      <w:r w:rsidRPr="00E21AE0">
        <w:rPr>
          <w:rFonts w:asciiTheme="minorHAnsi" w:hAnsiTheme="minorHAnsi"/>
          <w:i/>
          <w:sz w:val="22"/>
          <w:szCs w:val="22"/>
          <w:lang w:val="fr-FR"/>
        </w:rPr>
        <w:t xml:space="preserve"> peut être utilisée dans les cas de FA, dans les cas où les </w:t>
      </w:r>
      <w:proofErr w:type="spellStart"/>
      <w:r w:rsidRPr="00E21AE0">
        <w:rPr>
          <w:rFonts w:asciiTheme="minorHAnsi" w:hAnsiTheme="minorHAnsi"/>
          <w:i/>
          <w:sz w:val="22"/>
          <w:szCs w:val="22"/>
          <w:lang w:val="fr-FR"/>
        </w:rPr>
        <w:t>bêta-bloquants</w:t>
      </w:r>
      <w:proofErr w:type="spellEnd"/>
      <w:r w:rsidRPr="00E21AE0">
        <w:rPr>
          <w:rFonts w:asciiTheme="minorHAnsi" w:hAnsiTheme="minorHAnsi"/>
          <w:i/>
          <w:sz w:val="22"/>
          <w:szCs w:val="22"/>
          <w:lang w:val="fr-FR"/>
        </w:rPr>
        <w:t xml:space="preserve"> et les inhibiteurs calciques ne peuvent être tolérés (par exemple l'hypotension) ou dans des traitements combinés lorsque ces traitements ne sont pas suffisants. </w:t>
      </w:r>
    </w:p>
    <w:p w14:paraId="67320806" w14:textId="77777777" w:rsidR="00CA5845" w:rsidRPr="00E21AE0" w:rsidRDefault="00CA5845" w:rsidP="0043334F">
      <w:pPr>
        <w:spacing w:after="100" w:afterAutospacing="1"/>
        <w:contextualSpacing/>
        <w:jc w:val="both"/>
        <w:rPr>
          <w:rStyle w:val="eop"/>
          <w:rFonts w:asciiTheme="minorHAnsi" w:eastAsiaTheme="majorEastAsia" w:hAnsiTheme="minorHAnsi"/>
          <w:i/>
          <w:sz w:val="22"/>
          <w:szCs w:val="22"/>
          <w:lang w:val="fr-FR"/>
        </w:rPr>
      </w:pPr>
    </w:p>
    <w:p w14:paraId="64C3C9B5" w14:textId="77777777" w:rsidR="00CA5845" w:rsidRPr="00E21AE0" w:rsidRDefault="00CA5845" w:rsidP="0043334F">
      <w:pPr>
        <w:spacing w:after="100" w:afterAutospacing="1"/>
        <w:contextualSpacing/>
        <w:jc w:val="both"/>
        <w:rPr>
          <w:rFonts w:asciiTheme="minorHAnsi" w:eastAsiaTheme="majorEastAsia" w:hAnsiTheme="minorHAnsi"/>
          <w:i/>
          <w:sz w:val="22"/>
          <w:szCs w:val="22"/>
          <w:lang w:val="fr-FR"/>
        </w:rPr>
      </w:pPr>
    </w:p>
    <w:p w14:paraId="461E0064" w14:textId="526F9503" w:rsidR="00CA5845" w:rsidRPr="00E21AE0" w:rsidRDefault="006C24B0" w:rsidP="0043334F">
      <w:pPr>
        <w:spacing w:after="100" w:afterAutospacing="1"/>
        <w:contextualSpacing/>
        <w:jc w:val="both"/>
        <w:rPr>
          <w:rFonts w:asciiTheme="minorHAnsi" w:eastAsiaTheme="majorEastAsia" w:hAnsiTheme="minorHAnsi"/>
          <w:i/>
          <w:sz w:val="22"/>
          <w:szCs w:val="22"/>
          <w:lang w:val="fr-FR"/>
        </w:rPr>
      </w:pPr>
      <w:r w:rsidRPr="00E21AE0">
        <w:rPr>
          <w:rFonts w:asciiTheme="minorHAnsi" w:hAnsiTheme="minorHAnsi"/>
          <w:b/>
          <w:color w:val="000000"/>
          <w:sz w:val="22"/>
          <w:szCs w:val="22"/>
          <w:lang w:val="fr-FR"/>
        </w:rPr>
        <w:t>A2.</w:t>
      </w:r>
      <w:r w:rsidR="00181929" w:rsidRPr="00E21AE0">
        <w:rPr>
          <w:rFonts w:asciiTheme="minorHAnsi" w:hAnsiTheme="minorHAnsi"/>
          <w:b/>
          <w:color w:val="000000"/>
          <w:sz w:val="22"/>
          <w:szCs w:val="22"/>
          <w:lang w:val="fr-FR"/>
        </w:rPr>
        <w:t xml:space="preserve"> </w:t>
      </w:r>
      <w:r w:rsidR="00E21AE0" w:rsidRPr="00E21AE0">
        <w:rPr>
          <w:rFonts w:asciiTheme="minorHAnsi" w:hAnsiTheme="minorHAnsi"/>
          <w:b/>
          <w:color w:val="000000"/>
          <w:sz w:val="22"/>
          <w:szCs w:val="22"/>
          <w:lang w:val="fr-FR"/>
        </w:rPr>
        <w:t xml:space="preserve">L'utilisation de </w:t>
      </w:r>
      <w:proofErr w:type="spellStart"/>
      <w:r w:rsidR="00E21AE0" w:rsidRPr="00E21AE0">
        <w:rPr>
          <w:rFonts w:asciiTheme="minorHAnsi" w:hAnsiTheme="minorHAnsi"/>
          <w:b/>
          <w:color w:val="000000"/>
          <w:sz w:val="22"/>
          <w:szCs w:val="22"/>
          <w:lang w:val="fr-FR"/>
        </w:rPr>
        <w:t>digoxine</w:t>
      </w:r>
      <w:proofErr w:type="spellEnd"/>
      <w:r w:rsidR="00E21AE0" w:rsidRPr="00E21AE0">
        <w:rPr>
          <w:rFonts w:asciiTheme="minorHAnsi" w:hAnsiTheme="minorHAnsi"/>
          <w:b/>
          <w:color w:val="000000"/>
          <w:sz w:val="22"/>
          <w:szCs w:val="22"/>
          <w:lang w:val="fr-FR"/>
        </w:rPr>
        <w:t xml:space="preserve"> à des doses supérieures à 0,125 mg/jour n'est pas appropriée (risque de toxicité). </w:t>
      </w:r>
      <w:r w:rsidR="00E21AE0">
        <w:rPr>
          <w:rFonts w:asciiTheme="minorHAnsi" w:hAnsiTheme="minorHAnsi"/>
          <w:b/>
          <w:color w:val="000000"/>
          <w:sz w:val="22"/>
          <w:szCs w:val="22"/>
          <w:lang w:val="fr-FR"/>
        </w:rPr>
        <w:t xml:space="preserve"> </w:t>
      </w:r>
    </w:p>
    <w:p w14:paraId="0801DBCA" w14:textId="77777777" w:rsidR="00CA5845" w:rsidRPr="00E21AE0" w:rsidRDefault="00CA5845" w:rsidP="0043334F">
      <w:pPr>
        <w:spacing w:before="100" w:beforeAutospacing="1" w:after="100" w:afterAutospacing="1"/>
        <w:contextualSpacing/>
        <w:jc w:val="both"/>
        <w:rPr>
          <w:rFonts w:asciiTheme="minorHAnsi" w:hAnsiTheme="minorHAnsi"/>
          <w:b/>
          <w:color w:val="000000"/>
          <w:sz w:val="22"/>
          <w:szCs w:val="22"/>
          <w:lang w:val="fr-FR"/>
        </w:rPr>
      </w:pPr>
    </w:p>
    <w:p w14:paraId="528668F2" w14:textId="77777777" w:rsidR="0043334F" w:rsidRPr="00E21AE0" w:rsidRDefault="0043334F" w:rsidP="0043334F">
      <w:pPr>
        <w:spacing w:before="100" w:beforeAutospacing="1" w:after="100" w:afterAutospacing="1"/>
        <w:contextualSpacing/>
        <w:jc w:val="both"/>
        <w:rPr>
          <w:rFonts w:asciiTheme="minorHAnsi" w:hAnsiTheme="minorHAnsi" w:cstheme="minorHAnsi"/>
          <w:sz w:val="22"/>
          <w:szCs w:val="22"/>
          <w:lang w:val="fr-FR" w:eastAsia="en-GB"/>
        </w:rPr>
      </w:pPr>
    </w:p>
    <w:p w14:paraId="0974EDC6" w14:textId="759A8E65" w:rsidR="0043334F" w:rsidRPr="00E21AE0" w:rsidRDefault="006C24B0" w:rsidP="0043334F">
      <w:pPr>
        <w:spacing w:before="100" w:beforeAutospacing="1" w:after="100" w:afterAutospacing="1"/>
        <w:contextualSpacing/>
        <w:jc w:val="both"/>
        <w:rPr>
          <w:rStyle w:val="normaltextrun"/>
          <w:rFonts w:asciiTheme="minorHAnsi" w:eastAsiaTheme="majorEastAsia" w:hAnsiTheme="minorHAnsi"/>
          <w:b/>
          <w:bCs/>
          <w:sz w:val="22"/>
          <w:szCs w:val="22"/>
          <w:lang w:val="fr-FR"/>
        </w:rPr>
      </w:pPr>
      <w:r w:rsidRPr="00E21AE0">
        <w:rPr>
          <w:rStyle w:val="normaltextrun"/>
          <w:rFonts w:asciiTheme="minorHAnsi" w:eastAsiaTheme="majorEastAsia" w:hAnsiTheme="minorHAnsi"/>
          <w:b/>
          <w:bCs/>
          <w:sz w:val="22"/>
          <w:szCs w:val="22"/>
          <w:lang w:val="fr-FR"/>
        </w:rPr>
        <w:t>A3.</w:t>
      </w:r>
      <w:r w:rsidR="00181929" w:rsidRPr="00E21AE0">
        <w:rPr>
          <w:rStyle w:val="normaltextrun"/>
          <w:rFonts w:asciiTheme="minorHAnsi" w:eastAsiaTheme="majorEastAsia" w:hAnsiTheme="minorHAnsi"/>
          <w:b/>
          <w:bCs/>
          <w:sz w:val="22"/>
          <w:szCs w:val="22"/>
          <w:lang w:val="fr-FR"/>
        </w:rPr>
        <w:t xml:space="preserve"> </w:t>
      </w:r>
      <w:r w:rsidR="00E21AE0" w:rsidRPr="00E21AE0">
        <w:rPr>
          <w:rStyle w:val="normaltextrun"/>
          <w:rFonts w:asciiTheme="minorHAnsi" w:eastAsiaTheme="majorEastAsia" w:hAnsiTheme="minorHAnsi"/>
          <w:b/>
          <w:bCs/>
          <w:sz w:val="22"/>
          <w:szCs w:val="22"/>
          <w:lang w:val="fr-FR"/>
        </w:rPr>
        <w:t xml:space="preserve">La </w:t>
      </w:r>
      <w:proofErr w:type="spellStart"/>
      <w:r w:rsidR="00E21AE0" w:rsidRPr="00E21AE0">
        <w:rPr>
          <w:rStyle w:val="normaltextrun"/>
          <w:rFonts w:asciiTheme="minorHAnsi" w:eastAsiaTheme="majorEastAsia" w:hAnsiTheme="minorHAnsi"/>
          <w:b/>
          <w:bCs/>
          <w:sz w:val="22"/>
          <w:szCs w:val="22"/>
          <w:lang w:val="fr-FR"/>
        </w:rPr>
        <w:t>digoxine</w:t>
      </w:r>
      <w:proofErr w:type="spellEnd"/>
      <w:r w:rsidR="00E21AE0" w:rsidRPr="00E21AE0">
        <w:rPr>
          <w:rStyle w:val="normaltextrun"/>
          <w:rFonts w:asciiTheme="minorHAnsi" w:eastAsiaTheme="majorEastAsia" w:hAnsiTheme="minorHAnsi"/>
          <w:b/>
          <w:bCs/>
          <w:sz w:val="22"/>
          <w:szCs w:val="22"/>
          <w:lang w:val="fr-FR"/>
        </w:rPr>
        <w:t xml:space="preserve"> ne convient pas pour indiquer une insuffisance cardiaque avec une FE préservée (normale). </w:t>
      </w:r>
      <w:r w:rsidR="00E21AE0">
        <w:rPr>
          <w:rStyle w:val="normaltextrun"/>
          <w:rFonts w:asciiTheme="minorHAnsi" w:eastAsiaTheme="majorEastAsia" w:hAnsiTheme="minorHAnsi"/>
          <w:b/>
          <w:bCs/>
          <w:sz w:val="22"/>
          <w:szCs w:val="22"/>
          <w:lang w:val="fr-FR"/>
        </w:rPr>
        <w:t xml:space="preserve"> </w:t>
      </w:r>
    </w:p>
    <w:p w14:paraId="65D280F2" w14:textId="75067BE8" w:rsidR="006C24B0" w:rsidRPr="00E21AE0" w:rsidRDefault="00E21AE0" w:rsidP="0043334F">
      <w:pPr>
        <w:spacing w:before="100" w:beforeAutospacing="1" w:after="100" w:afterAutospacing="1"/>
        <w:contextualSpacing/>
        <w:jc w:val="both"/>
        <w:rPr>
          <w:rStyle w:val="normaltextrun"/>
          <w:rFonts w:asciiTheme="minorHAnsi" w:hAnsiTheme="minorHAnsi"/>
          <w:b/>
          <w:color w:val="000000"/>
          <w:sz w:val="22"/>
          <w:szCs w:val="22"/>
          <w:lang w:val="fr-FR"/>
        </w:rPr>
      </w:pPr>
      <w:r w:rsidRPr="00E21AE0">
        <w:rPr>
          <w:rStyle w:val="eop"/>
          <w:rFonts w:asciiTheme="minorHAnsi" w:eastAsiaTheme="majorEastAsia" w:hAnsiTheme="minorHAnsi"/>
          <w:i/>
          <w:sz w:val="22"/>
          <w:szCs w:val="22"/>
          <w:lang w:val="fr-FR"/>
        </w:rPr>
        <w:t xml:space="preserve">*La </w:t>
      </w:r>
      <w:proofErr w:type="spellStart"/>
      <w:r w:rsidRPr="00E21AE0">
        <w:rPr>
          <w:rStyle w:val="eop"/>
          <w:rFonts w:asciiTheme="minorHAnsi" w:eastAsiaTheme="majorEastAsia" w:hAnsiTheme="minorHAnsi"/>
          <w:i/>
          <w:sz w:val="22"/>
          <w:szCs w:val="22"/>
          <w:lang w:val="fr-FR"/>
        </w:rPr>
        <w:t>digoxine</w:t>
      </w:r>
      <w:proofErr w:type="spellEnd"/>
      <w:r w:rsidRPr="00E21AE0">
        <w:rPr>
          <w:rStyle w:val="eop"/>
          <w:rFonts w:asciiTheme="minorHAnsi" w:eastAsiaTheme="majorEastAsia" w:hAnsiTheme="minorHAnsi"/>
          <w:i/>
          <w:sz w:val="22"/>
          <w:szCs w:val="22"/>
          <w:lang w:val="fr-FR"/>
        </w:rPr>
        <w:t xml:space="preserve"> peut être indiquée pour la FA concomitante (voir A1).</w:t>
      </w:r>
    </w:p>
    <w:p w14:paraId="5C7ADC02" w14:textId="77777777" w:rsidR="00CA5845" w:rsidRPr="00E21AE0" w:rsidRDefault="00CA5845" w:rsidP="0043334F">
      <w:pPr>
        <w:pStyle w:val="HTMLncedenBiimlendirilmi"/>
        <w:contextualSpacing/>
        <w:jc w:val="both"/>
        <w:rPr>
          <w:rFonts w:asciiTheme="minorHAnsi" w:hAnsiTheme="minorHAnsi" w:cstheme="minorHAnsi"/>
          <w:color w:val="000000"/>
          <w:sz w:val="22"/>
          <w:szCs w:val="22"/>
          <w:lang w:val="fr-FR"/>
        </w:rPr>
      </w:pPr>
    </w:p>
    <w:p w14:paraId="7057272B" w14:textId="00AF3E65" w:rsidR="006C24B0" w:rsidRPr="00E21AE0" w:rsidRDefault="006C24B0" w:rsidP="0043334F">
      <w:pPr>
        <w:pStyle w:val="HTMLncedenBiimlendirilmi"/>
        <w:contextualSpacing/>
        <w:jc w:val="both"/>
        <w:rPr>
          <w:rFonts w:asciiTheme="minorHAnsi" w:hAnsiTheme="minorHAnsi" w:cstheme="minorHAnsi"/>
          <w:color w:val="000000"/>
          <w:sz w:val="22"/>
          <w:szCs w:val="22"/>
          <w:lang w:val="fr-FR"/>
        </w:rPr>
      </w:pPr>
      <w:r w:rsidRPr="00E21AE0">
        <w:rPr>
          <w:rFonts w:asciiTheme="minorHAnsi" w:hAnsiTheme="minorHAnsi"/>
          <w:b/>
          <w:sz w:val="22"/>
          <w:szCs w:val="22"/>
          <w:lang w:val="fr-FR"/>
        </w:rPr>
        <w:t xml:space="preserve">A4. </w:t>
      </w:r>
      <w:r w:rsidR="00E21AE0" w:rsidRPr="00E21AE0">
        <w:rPr>
          <w:rFonts w:asciiTheme="minorHAnsi" w:hAnsiTheme="minorHAnsi"/>
          <w:b/>
          <w:sz w:val="22"/>
          <w:szCs w:val="22"/>
          <w:lang w:val="fr-FR"/>
        </w:rPr>
        <w:t xml:space="preserve">L'utilisation de </w:t>
      </w:r>
      <w:proofErr w:type="spellStart"/>
      <w:r w:rsidR="00E21AE0" w:rsidRPr="00E21AE0">
        <w:rPr>
          <w:rFonts w:asciiTheme="minorHAnsi" w:hAnsiTheme="minorHAnsi"/>
          <w:b/>
          <w:sz w:val="22"/>
          <w:szCs w:val="22"/>
          <w:lang w:val="fr-FR"/>
        </w:rPr>
        <w:t>diltiazem</w:t>
      </w:r>
      <w:proofErr w:type="spellEnd"/>
      <w:r w:rsidR="00E21AE0" w:rsidRPr="00E21AE0">
        <w:rPr>
          <w:rFonts w:asciiTheme="minorHAnsi" w:hAnsiTheme="minorHAnsi"/>
          <w:b/>
          <w:sz w:val="22"/>
          <w:szCs w:val="22"/>
          <w:lang w:val="fr-FR"/>
        </w:rPr>
        <w:t xml:space="preserve"> ou de </w:t>
      </w:r>
      <w:proofErr w:type="spellStart"/>
      <w:r w:rsidR="00E21AE0" w:rsidRPr="00E21AE0">
        <w:rPr>
          <w:rFonts w:asciiTheme="minorHAnsi" w:hAnsiTheme="minorHAnsi"/>
          <w:b/>
          <w:sz w:val="22"/>
          <w:szCs w:val="22"/>
          <w:lang w:val="fr-FR"/>
        </w:rPr>
        <w:t>vérapamil</w:t>
      </w:r>
      <w:proofErr w:type="spellEnd"/>
      <w:r w:rsidR="00E21AE0" w:rsidRPr="00E21AE0">
        <w:rPr>
          <w:rFonts w:asciiTheme="minorHAnsi" w:hAnsiTheme="minorHAnsi"/>
          <w:b/>
          <w:sz w:val="22"/>
          <w:szCs w:val="22"/>
          <w:lang w:val="fr-FR"/>
        </w:rPr>
        <w:t xml:space="preserve"> n'est pas appropriée dans l'insuffisance cardiaque avec une faible FE. </w:t>
      </w:r>
      <w:r w:rsidR="00E21AE0">
        <w:rPr>
          <w:rFonts w:asciiTheme="minorHAnsi" w:hAnsiTheme="minorHAnsi"/>
          <w:b/>
          <w:sz w:val="22"/>
          <w:szCs w:val="22"/>
          <w:lang w:val="fr-FR"/>
        </w:rPr>
        <w:t xml:space="preserve"> </w:t>
      </w:r>
    </w:p>
    <w:p w14:paraId="5A8692C8" w14:textId="77777777" w:rsidR="00CA5845" w:rsidRPr="00E21AE0" w:rsidRDefault="00CA5845" w:rsidP="0043334F">
      <w:pPr>
        <w:pStyle w:val="HTMLncedenBiimlendirilmi"/>
        <w:contextualSpacing/>
        <w:jc w:val="both"/>
        <w:rPr>
          <w:rFonts w:asciiTheme="minorHAnsi" w:hAnsiTheme="minorHAnsi" w:cstheme="minorHAnsi"/>
          <w:sz w:val="22"/>
          <w:szCs w:val="22"/>
          <w:lang w:val="fr-FR"/>
        </w:rPr>
      </w:pPr>
    </w:p>
    <w:p w14:paraId="52A9EA40" w14:textId="77777777" w:rsidR="005E5EA5" w:rsidRPr="00E21AE0" w:rsidRDefault="005E5EA5" w:rsidP="0043334F">
      <w:pPr>
        <w:spacing w:after="100" w:afterAutospacing="1"/>
        <w:contextualSpacing/>
        <w:jc w:val="both"/>
        <w:rPr>
          <w:rFonts w:asciiTheme="minorHAnsi" w:hAnsiTheme="minorHAnsi"/>
          <w:b/>
          <w:sz w:val="22"/>
          <w:szCs w:val="22"/>
          <w:lang w:val="fr-FR"/>
        </w:rPr>
      </w:pPr>
    </w:p>
    <w:p w14:paraId="5B8C770F" w14:textId="3AC37B12" w:rsidR="00CA5845" w:rsidRPr="00E21AE0" w:rsidRDefault="006C24B0" w:rsidP="0043334F">
      <w:pPr>
        <w:spacing w:after="100" w:afterAutospacing="1"/>
        <w:contextualSpacing/>
        <w:jc w:val="both"/>
        <w:rPr>
          <w:rFonts w:asciiTheme="minorHAnsi" w:hAnsiTheme="minorHAnsi"/>
          <w:b/>
          <w:sz w:val="22"/>
          <w:szCs w:val="22"/>
          <w:lang w:val="fr-FR"/>
        </w:rPr>
      </w:pPr>
      <w:r w:rsidRPr="00E21AE0">
        <w:rPr>
          <w:rFonts w:asciiTheme="minorHAnsi" w:hAnsiTheme="minorHAnsi"/>
          <w:b/>
          <w:sz w:val="22"/>
          <w:szCs w:val="22"/>
          <w:lang w:val="fr-FR"/>
        </w:rPr>
        <w:lastRenderedPageBreak/>
        <w:t>A5.</w:t>
      </w:r>
      <w:r w:rsidR="00181929" w:rsidRPr="00E21AE0">
        <w:rPr>
          <w:rFonts w:asciiTheme="minorHAnsi" w:hAnsiTheme="minorHAnsi"/>
          <w:b/>
          <w:sz w:val="22"/>
          <w:szCs w:val="22"/>
          <w:lang w:val="fr-FR"/>
        </w:rPr>
        <w:t xml:space="preserve"> </w:t>
      </w:r>
      <w:r w:rsidR="00F83FF5" w:rsidRPr="00F83FF5">
        <w:rPr>
          <w:rFonts w:asciiTheme="minorHAnsi" w:hAnsiTheme="minorHAnsi"/>
          <w:b/>
          <w:sz w:val="22"/>
          <w:szCs w:val="22"/>
          <w:lang w:val="fr-FR"/>
        </w:rPr>
        <w:t>Il n'est pas approprié d'initier un traitement limitant la fréquence (</w:t>
      </w:r>
      <w:proofErr w:type="spellStart"/>
      <w:r w:rsidR="00F83FF5" w:rsidRPr="00F83FF5">
        <w:rPr>
          <w:rFonts w:asciiTheme="minorHAnsi" w:hAnsiTheme="minorHAnsi"/>
          <w:b/>
          <w:sz w:val="22"/>
          <w:szCs w:val="22"/>
          <w:lang w:val="fr-FR"/>
        </w:rPr>
        <w:t>bêta-bloquant</w:t>
      </w:r>
      <w:proofErr w:type="spellEnd"/>
      <w:r w:rsidR="00F83FF5" w:rsidRPr="00F83FF5">
        <w:rPr>
          <w:rFonts w:asciiTheme="minorHAnsi" w:hAnsiTheme="minorHAnsi"/>
          <w:b/>
          <w:sz w:val="22"/>
          <w:szCs w:val="22"/>
          <w:lang w:val="fr-FR"/>
        </w:rPr>
        <w:t xml:space="preserve">, </w:t>
      </w:r>
      <w:proofErr w:type="spellStart"/>
      <w:r w:rsidR="00F83FF5" w:rsidRPr="00F83FF5">
        <w:rPr>
          <w:rFonts w:asciiTheme="minorHAnsi" w:hAnsiTheme="minorHAnsi"/>
          <w:b/>
          <w:sz w:val="22"/>
          <w:szCs w:val="22"/>
          <w:lang w:val="fr-FR"/>
        </w:rPr>
        <w:t>vérapamil</w:t>
      </w:r>
      <w:proofErr w:type="spellEnd"/>
      <w:r w:rsidR="00F83FF5" w:rsidRPr="00F83FF5">
        <w:rPr>
          <w:rFonts w:asciiTheme="minorHAnsi" w:hAnsiTheme="minorHAnsi"/>
          <w:b/>
          <w:sz w:val="22"/>
          <w:szCs w:val="22"/>
          <w:lang w:val="fr-FR"/>
        </w:rPr>
        <w:t xml:space="preserve">, </w:t>
      </w:r>
      <w:proofErr w:type="spellStart"/>
      <w:r w:rsidR="00F83FF5" w:rsidRPr="00F83FF5">
        <w:rPr>
          <w:rFonts w:asciiTheme="minorHAnsi" w:hAnsiTheme="minorHAnsi"/>
          <w:b/>
          <w:sz w:val="22"/>
          <w:szCs w:val="22"/>
          <w:lang w:val="fr-FR"/>
        </w:rPr>
        <w:t>diltiazem</w:t>
      </w:r>
      <w:proofErr w:type="spellEnd"/>
      <w:r w:rsidR="00F83FF5" w:rsidRPr="00F83FF5">
        <w:rPr>
          <w:rFonts w:asciiTheme="minorHAnsi" w:hAnsiTheme="minorHAnsi"/>
          <w:b/>
          <w:sz w:val="22"/>
          <w:szCs w:val="22"/>
          <w:lang w:val="fr-FR"/>
        </w:rPr>
        <w:t xml:space="preserve">, </w:t>
      </w:r>
      <w:proofErr w:type="spellStart"/>
      <w:r w:rsidR="00F83FF5" w:rsidRPr="00F83FF5">
        <w:rPr>
          <w:rFonts w:asciiTheme="minorHAnsi" w:hAnsiTheme="minorHAnsi"/>
          <w:b/>
          <w:sz w:val="22"/>
          <w:szCs w:val="22"/>
          <w:lang w:val="fr-FR"/>
        </w:rPr>
        <w:t>digoxine</w:t>
      </w:r>
      <w:proofErr w:type="spellEnd"/>
      <w:r w:rsidR="00F83FF5" w:rsidRPr="00F83FF5">
        <w:rPr>
          <w:rFonts w:asciiTheme="minorHAnsi" w:hAnsiTheme="minorHAnsi"/>
          <w:b/>
          <w:sz w:val="22"/>
          <w:szCs w:val="22"/>
          <w:lang w:val="fr-FR"/>
        </w:rPr>
        <w:t xml:space="preserve">) chez les patients atteints de bradycardie (&lt;50/min), de bloc cardiaque de type 2 ou de bloc cardiaque complet </w:t>
      </w:r>
      <w:r w:rsidR="00F83FF5">
        <w:rPr>
          <w:rFonts w:asciiTheme="minorHAnsi" w:hAnsiTheme="minorHAnsi"/>
          <w:b/>
          <w:sz w:val="22"/>
          <w:szCs w:val="22"/>
          <w:lang w:val="fr-FR"/>
        </w:rPr>
        <w:t xml:space="preserve"> </w:t>
      </w:r>
    </w:p>
    <w:p w14:paraId="36C0642D" w14:textId="60BD903A" w:rsidR="006C24B0" w:rsidRPr="00F83FF5" w:rsidRDefault="00F83FF5" w:rsidP="0043334F">
      <w:pPr>
        <w:spacing w:after="100" w:afterAutospacing="1"/>
        <w:contextualSpacing/>
        <w:jc w:val="both"/>
        <w:rPr>
          <w:rFonts w:asciiTheme="minorHAnsi" w:hAnsiTheme="minorHAnsi"/>
          <w:b/>
          <w:i/>
          <w:sz w:val="22"/>
          <w:szCs w:val="22"/>
          <w:lang w:val="fr-FR"/>
        </w:rPr>
      </w:pPr>
      <w:r w:rsidRPr="00F83FF5">
        <w:rPr>
          <w:rFonts w:asciiTheme="minorHAnsi" w:hAnsiTheme="minorHAnsi"/>
          <w:i/>
          <w:sz w:val="22"/>
          <w:szCs w:val="22"/>
          <w:lang w:val="fr-FR"/>
        </w:rPr>
        <w:t xml:space="preserve">*Les bêtabloquants sont relativement contre-indiqués en cas d'intervalle PR &gt; 240 ms. Chez les patients utilisant actuellement des </w:t>
      </w:r>
      <w:proofErr w:type="spellStart"/>
      <w:r w:rsidRPr="00F83FF5">
        <w:rPr>
          <w:rFonts w:asciiTheme="minorHAnsi" w:hAnsiTheme="minorHAnsi"/>
          <w:i/>
          <w:sz w:val="22"/>
          <w:szCs w:val="22"/>
          <w:lang w:val="fr-FR"/>
        </w:rPr>
        <w:t>bêta-bloquants</w:t>
      </w:r>
      <w:proofErr w:type="spellEnd"/>
      <w:r w:rsidRPr="00F83FF5">
        <w:rPr>
          <w:rFonts w:asciiTheme="minorHAnsi" w:hAnsiTheme="minorHAnsi"/>
          <w:i/>
          <w:sz w:val="22"/>
          <w:szCs w:val="22"/>
          <w:lang w:val="fr-FR"/>
        </w:rPr>
        <w:t xml:space="preserve">, </w:t>
      </w:r>
      <w:proofErr w:type="spellStart"/>
      <w:r w:rsidRPr="00F83FF5">
        <w:rPr>
          <w:rFonts w:asciiTheme="minorHAnsi" w:hAnsiTheme="minorHAnsi"/>
          <w:i/>
          <w:sz w:val="22"/>
          <w:szCs w:val="22"/>
          <w:lang w:val="fr-FR"/>
        </w:rPr>
        <w:t>diltiazem</w:t>
      </w:r>
      <w:proofErr w:type="spellEnd"/>
      <w:r w:rsidRPr="00F83FF5">
        <w:rPr>
          <w:rFonts w:asciiTheme="minorHAnsi" w:hAnsiTheme="minorHAnsi"/>
          <w:i/>
          <w:sz w:val="22"/>
          <w:szCs w:val="22"/>
          <w:lang w:val="fr-FR"/>
        </w:rPr>
        <w:t xml:space="preserve">, </w:t>
      </w:r>
      <w:proofErr w:type="spellStart"/>
      <w:r w:rsidRPr="00F83FF5">
        <w:rPr>
          <w:rFonts w:asciiTheme="minorHAnsi" w:hAnsiTheme="minorHAnsi"/>
          <w:i/>
          <w:sz w:val="22"/>
          <w:szCs w:val="22"/>
          <w:lang w:val="fr-FR"/>
        </w:rPr>
        <w:t>vérapamil</w:t>
      </w:r>
      <w:proofErr w:type="spellEnd"/>
      <w:r w:rsidRPr="00F83FF5">
        <w:rPr>
          <w:rFonts w:asciiTheme="minorHAnsi" w:hAnsiTheme="minorHAnsi"/>
          <w:i/>
          <w:sz w:val="22"/>
          <w:szCs w:val="22"/>
          <w:lang w:val="fr-FR"/>
        </w:rPr>
        <w:t xml:space="preserve">, </w:t>
      </w:r>
      <w:proofErr w:type="spellStart"/>
      <w:r w:rsidRPr="00F83FF5">
        <w:rPr>
          <w:rFonts w:asciiTheme="minorHAnsi" w:hAnsiTheme="minorHAnsi"/>
          <w:i/>
          <w:sz w:val="22"/>
          <w:szCs w:val="22"/>
          <w:lang w:val="fr-FR"/>
        </w:rPr>
        <w:t>digoxine</w:t>
      </w:r>
      <w:proofErr w:type="spellEnd"/>
      <w:r w:rsidRPr="00F83FF5">
        <w:rPr>
          <w:rFonts w:asciiTheme="minorHAnsi" w:hAnsiTheme="minorHAnsi"/>
          <w:i/>
          <w:sz w:val="22"/>
          <w:szCs w:val="22"/>
          <w:lang w:val="fr-FR"/>
        </w:rPr>
        <w:t xml:space="preserve">, une réduction de dose doit être effectuée en présence de bradycardie (&lt;50/min). </w:t>
      </w:r>
    </w:p>
    <w:p w14:paraId="0DCFD124" w14:textId="77777777" w:rsidR="009B4E92" w:rsidRPr="00E21AE0" w:rsidRDefault="009B4E92" w:rsidP="0043334F">
      <w:pPr>
        <w:spacing w:before="100" w:beforeAutospacing="1" w:after="100" w:afterAutospacing="1"/>
        <w:contextualSpacing/>
        <w:jc w:val="both"/>
        <w:rPr>
          <w:rFonts w:asciiTheme="minorHAnsi" w:hAnsiTheme="minorHAnsi" w:cstheme="minorHAnsi"/>
          <w:sz w:val="22"/>
          <w:szCs w:val="22"/>
          <w:lang w:val="fr-FR"/>
        </w:rPr>
      </w:pPr>
    </w:p>
    <w:p w14:paraId="50B53F57" w14:textId="77777777" w:rsidR="00EB686B" w:rsidRPr="00E21AE0" w:rsidRDefault="00EB686B" w:rsidP="0043334F">
      <w:pPr>
        <w:spacing w:before="100" w:beforeAutospacing="1" w:after="100" w:afterAutospacing="1"/>
        <w:contextualSpacing/>
        <w:jc w:val="both"/>
        <w:rPr>
          <w:rFonts w:asciiTheme="minorHAnsi" w:hAnsiTheme="minorHAnsi"/>
          <w:b/>
          <w:sz w:val="22"/>
          <w:szCs w:val="22"/>
          <w:lang w:val="fr-FR"/>
        </w:rPr>
      </w:pPr>
    </w:p>
    <w:p w14:paraId="544BBDAD" w14:textId="77777777" w:rsidR="009B4E92" w:rsidRPr="00E21AE0" w:rsidRDefault="009B4E92" w:rsidP="0043334F">
      <w:pPr>
        <w:spacing w:before="100" w:beforeAutospacing="1" w:after="100" w:afterAutospacing="1"/>
        <w:contextualSpacing/>
        <w:jc w:val="both"/>
        <w:rPr>
          <w:rFonts w:asciiTheme="minorHAnsi" w:hAnsiTheme="minorHAnsi"/>
          <w:b/>
          <w:sz w:val="22"/>
          <w:szCs w:val="22"/>
          <w:lang w:val="fr-FR"/>
        </w:rPr>
      </w:pPr>
    </w:p>
    <w:p w14:paraId="78B88437" w14:textId="689B2A0D" w:rsidR="00325178" w:rsidRPr="00E21AE0" w:rsidRDefault="006C24B0" w:rsidP="0043334F">
      <w:pPr>
        <w:spacing w:before="100" w:beforeAutospacing="1" w:after="100" w:afterAutospacing="1"/>
        <w:contextualSpacing/>
        <w:jc w:val="both"/>
        <w:rPr>
          <w:rFonts w:asciiTheme="minorHAnsi" w:hAnsiTheme="minorHAnsi"/>
          <w:b/>
          <w:sz w:val="22"/>
          <w:szCs w:val="22"/>
          <w:lang w:val="fr-FR"/>
        </w:rPr>
      </w:pPr>
      <w:r w:rsidRPr="00E21AE0">
        <w:rPr>
          <w:rFonts w:asciiTheme="minorHAnsi" w:hAnsiTheme="minorHAnsi"/>
          <w:b/>
          <w:sz w:val="22"/>
          <w:szCs w:val="22"/>
          <w:lang w:val="fr-FR"/>
        </w:rPr>
        <w:t>A6.</w:t>
      </w:r>
      <w:r w:rsidR="00181929" w:rsidRPr="00E21AE0">
        <w:rPr>
          <w:rFonts w:asciiTheme="minorHAnsi" w:hAnsiTheme="minorHAnsi"/>
          <w:b/>
          <w:sz w:val="22"/>
          <w:szCs w:val="22"/>
          <w:lang w:val="fr-FR"/>
        </w:rPr>
        <w:t xml:space="preserve"> </w:t>
      </w:r>
      <w:r w:rsidR="00F83FF5" w:rsidRPr="00F83FF5">
        <w:rPr>
          <w:rFonts w:asciiTheme="minorHAnsi" w:hAnsiTheme="minorHAnsi"/>
          <w:b/>
          <w:sz w:val="22"/>
          <w:szCs w:val="22"/>
          <w:lang w:val="fr-FR"/>
        </w:rPr>
        <w:t>Les diurétiques de l'anse ne conviennent pas à l'œdème de la cheville sans signes cliniques, biochimiques ou radiologiques d'insuffisance cardiaque, d'insuffisance hépatique, de syndrome néphrotique ou d'insuffisance rénale (</w:t>
      </w:r>
      <w:r w:rsidR="00F83FF5">
        <w:rPr>
          <w:rFonts w:asciiTheme="minorHAnsi" w:hAnsiTheme="minorHAnsi"/>
          <w:b/>
          <w:sz w:val="22"/>
          <w:szCs w:val="22"/>
          <w:lang w:val="fr-FR"/>
        </w:rPr>
        <w:t>l’</w:t>
      </w:r>
      <w:proofErr w:type="spellStart"/>
      <w:r w:rsidR="00F83FF5">
        <w:rPr>
          <w:rFonts w:asciiTheme="minorHAnsi" w:hAnsiTheme="minorHAnsi"/>
          <w:b/>
          <w:sz w:val="22"/>
          <w:szCs w:val="22"/>
          <w:lang w:val="fr-FR"/>
        </w:rPr>
        <w:t>élevation</w:t>
      </w:r>
      <w:proofErr w:type="spellEnd"/>
      <w:r w:rsidR="00F83FF5">
        <w:rPr>
          <w:rFonts w:asciiTheme="minorHAnsi" w:hAnsiTheme="minorHAnsi"/>
          <w:b/>
          <w:sz w:val="22"/>
          <w:szCs w:val="22"/>
          <w:lang w:val="fr-FR"/>
        </w:rPr>
        <w:t xml:space="preserve"> des jambes </w:t>
      </w:r>
      <w:r w:rsidR="00F83FF5" w:rsidRPr="00F83FF5">
        <w:rPr>
          <w:rFonts w:asciiTheme="minorHAnsi" w:hAnsiTheme="minorHAnsi"/>
          <w:b/>
          <w:sz w:val="22"/>
          <w:szCs w:val="22"/>
          <w:lang w:val="fr-FR"/>
        </w:rPr>
        <w:t>et/ou les bas de contention sont généralement plus appropriés)</w:t>
      </w:r>
      <w:r w:rsidR="00F83FF5">
        <w:rPr>
          <w:rFonts w:asciiTheme="minorHAnsi" w:hAnsiTheme="minorHAnsi"/>
          <w:b/>
          <w:sz w:val="22"/>
          <w:szCs w:val="22"/>
          <w:lang w:val="fr-FR"/>
        </w:rPr>
        <w:t xml:space="preserve"> </w:t>
      </w:r>
    </w:p>
    <w:p w14:paraId="59B5212C" w14:textId="77777777" w:rsidR="009B4E92" w:rsidRPr="00E21AE0" w:rsidRDefault="009B4E92"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val="fr-FR"/>
        </w:rPr>
      </w:pPr>
    </w:p>
    <w:p w14:paraId="0A4FBBC7" w14:textId="77777777" w:rsidR="00EB686B" w:rsidRPr="00E21AE0" w:rsidRDefault="00EB686B" w:rsidP="0043334F">
      <w:pPr>
        <w:autoSpaceDE w:val="0"/>
        <w:autoSpaceDN w:val="0"/>
        <w:adjustRightInd w:val="0"/>
        <w:contextualSpacing/>
        <w:jc w:val="both"/>
        <w:rPr>
          <w:rFonts w:asciiTheme="minorHAnsi" w:hAnsiTheme="minorHAnsi"/>
          <w:b/>
          <w:color w:val="000000"/>
          <w:sz w:val="22"/>
          <w:szCs w:val="22"/>
          <w:lang w:val="fr-FR"/>
        </w:rPr>
      </w:pPr>
    </w:p>
    <w:p w14:paraId="2FE376B8" w14:textId="024A50DF" w:rsidR="00A964BC" w:rsidRPr="00E21AE0" w:rsidRDefault="006C24B0" w:rsidP="0043334F">
      <w:pPr>
        <w:autoSpaceDE w:val="0"/>
        <w:autoSpaceDN w:val="0"/>
        <w:adjustRightInd w:val="0"/>
        <w:contextualSpacing/>
        <w:jc w:val="both"/>
        <w:rPr>
          <w:rFonts w:asciiTheme="minorHAnsi" w:hAnsiTheme="minorHAnsi"/>
          <w:b/>
          <w:color w:val="000000" w:themeColor="text1"/>
          <w:sz w:val="22"/>
          <w:szCs w:val="22"/>
          <w:lang w:val="fr-FR"/>
        </w:rPr>
      </w:pPr>
      <w:r w:rsidRPr="00E21AE0">
        <w:rPr>
          <w:rFonts w:asciiTheme="minorHAnsi" w:hAnsiTheme="minorHAnsi"/>
          <w:b/>
          <w:color w:val="000000"/>
          <w:sz w:val="22"/>
          <w:szCs w:val="22"/>
          <w:lang w:val="fr-FR"/>
        </w:rPr>
        <w:t>A7.</w:t>
      </w:r>
      <w:r w:rsidR="00181929" w:rsidRPr="00E21AE0">
        <w:rPr>
          <w:rFonts w:asciiTheme="minorHAnsi" w:hAnsiTheme="minorHAnsi"/>
          <w:b/>
          <w:color w:val="000000"/>
          <w:sz w:val="22"/>
          <w:szCs w:val="22"/>
          <w:lang w:val="fr-FR"/>
        </w:rPr>
        <w:t xml:space="preserve"> </w:t>
      </w:r>
      <w:r w:rsidR="00F83FF5">
        <w:rPr>
          <w:rFonts w:asciiTheme="minorHAnsi" w:hAnsiTheme="minorHAnsi"/>
          <w:b/>
          <w:color w:val="000000"/>
          <w:sz w:val="22"/>
          <w:szCs w:val="22"/>
          <w:lang w:val="fr-FR"/>
        </w:rPr>
        <w:t xml:space="preserve">Sans </w:t>
      </w:r>
      <w:r w:rsidR="00F83FF5" w:rsidRPr="00F83FF5">
        <w:rPr>
          <w:rFonts w:asciiTheme="minorHAnsi" w:hAnsiTheme="minorHAnsi"/>
          <w:b/>
          <w:color w:val="000000"/>
          <w:sz w:val="22"/>
          <w:szCs w:val="22"/>
          <w:lang w:val="fr-FR"/>
        </w:rPr>
        <w:t xml:space="preserve">indication spécifique, les </w:t>
      </w:r>
      <w:proofErr w:type="spellStart"/>
      <w:r w:rsidR="00F83FF5" w:rsidRPr="00F83FF5">
        <w:rPr>
          <w:rFonts w:asciiTheme="minorHAnsi" w:hAnsiTheme="minorHAnsi"/>
          <w:b/>
          <w:color w:val="000000"/>
          <w:sz w:val="22"/>
          <w:szCs w:val="22"/>
          <w:lang w:val="fr-FR"/>
        </w:rPr>
        <w:t>bêta-bloquants</w:t>
      </w:r>
      <w:proofErr w:type="spellEnd"/>
      <w:r w:rsidR="00F83FF5" w:rsidRPr="00F83FF5">
        <w:rPr>
          <w:rFonts w:asciiTheme="minorHAnsi" w:hAnsiTheme="minorHAnsi"/>
          <w:b/>
          <w:color w:val="000000"/>
          <w:sz w:val="22"/>
          <w:szCs w:val="22"/>
          <w:lang w:val="fr-FR"/>
        </w:rPr>
        <w:t xml:space="preserve"> ne sont pas adaptés au traitement de l'HT</w:t>
      </w:r>
      <w:r w:rsidR="00696B06">
        <w:rPr>
          <w:rFonts w:asciiTheme="minorHAnsi" w:hAnsiTheme="minorHAnsi"/>
          <w:b/>
          <w:color w:val="000000"/>
          <w:sz w:val="22"/>
          <w:szCs w:val="22"/>
          <w:lang w:val="fr-FR"/>
        </w:rPr>
        <w:t>A</w:t>
      </w:r>
      <w:r w:rsidR="00F83FF5" w:rsidRPr="00F83FF5">
        <w:rPr>
          <w:rFonts w:asciiTheme="minorHAnsi" w:hAnsiTheme="minorHAnsi"/>
          <w:b/>
          <w:color w:val="000000"/>
          <w:sz w:val="22"/>
          <w:szCs w:val="22"/>
          <w:lang w:val="fr-FR"/>
        </w:rPr>
        <w:t xml:space="preserve"> essentielle en première intention (en raison d'un risque accru de bloc cardiaque, moins d'efficacité d</w:t>
      </w:r>
      <w:r w:rsidR="00F83FF5">
        <w:rPr>
          <w:rFonts w:asciiTheme="minorHAnsi" w:hAnsiTheme="minorHAnsi"/>
          <w:b/>
          <w:color w:val="000000"/>
          <w:sz w:val="22"/>
          <w:szCs w:val="22"/>
          <w:lang w:val="fr-FR"/>
        </w:rPr>
        <w:t>ans la prévention de la fatigue</w:t>
      </w:r>
      <w:r w:rsidR="00F83FF5" w:rsidRPr="00F83FF5">
        <w:rPr>
          <w:rFonts w:asciiTheme="minorHAnsi" w:hAnsiTheme="minorHAnsi"/>
          <w:b/>
          <w:color w:val="000000"/>
          <w:sz w:val="22"/>
          <w:szCs w:val="22"/>
          <w:lang w:val="fr-FR"/>
        </w:rPr>
        <w:t>, des dysfonctions sexuelles et des accidents vasculaires cérébraux ; de plus, il y a</w:t>
      </w:r>
      <w:r w:rsidR="00F83FF5">
        <w:rPr>
          <w:rFonts w:asciiTheme="minorHAnsi" w:hAnsiTheme="minorHAnsi"/>
          <w:b/>
          <w:color w:val="000000"/>
          <w:sz w:val="22"/>
          <w:szCs w:val="22"/>
          <w:lang w:val="fr-FR"/>
        </w:rPr>
        <w:t>ura</w:t>
      </w:r>
      <w:r w:rsidR="00F83FF5" w:rsidRPr="00F83FF5">
        <w:rPr>
          <w:rFonts w:asciiTheme="minorHAnsi" w:hAnsiTheme="minorHAnsi"/>
          <w:b/>
          <w:color w:val="000000"/>
          <w:sz w:val="22"/>
          <w:szCs w:val="22"/>
          <w:lang w:val="fr-FR"/>
        </w:rPr>
        <w:t xml:space="preserve"> une diminution de la fonction des récepteurs β-adrénergiques avec le vieillissement)</w:t>
      </w:r>
      <w:r w:rsidR="00F83FF5">
        <w:rPr>
          <w:rFonts w:asciiTheme="minorHAnsi" w:hAnsiTheme="minorHAnsi"/>
          <w:b/>
          <w:color w:val="000000"/>
          <w:sz w:val="22"/>
          <w:szCs w:val="22"/>
          <w:lang w:val="fr-FR"/>
        </w:rPr>
        <w:t xml:space="preserve"> </w:t>
      </w:r>
    </w:p>
    <w:p w14:paraId="07B91CA5" w14:textId="77777777" w:rsidR="002A1E62" w:rsidRPr="00E21AE0" w:rsidRDefault="002A1E62" w:rsidP="0043334F">
      <w:pPr>
        <w:contextualSpacing/>
        <w:jc w:val="both"/>
        <w:rPr>
          <w:rFonts w:asciiTheme="minorHAnsi" w:hAnsiTheme="minorHAnsi"/>
          <w:b/>
          <w:sz w:val="22"/>
          <w:szCs w:val="22"/>
          <w:lang w:val="fr-FR"/>
        </w:rPr>
      </w:pPr>
    </w:p>
    <w:p w14:paraId="638CA2EE" w14:textId="77777777" w:rsidR="002A1E62" w:rsidRPr="00E21AE0" w:rsidRDefault="002A1E62" w:rsidP="0043334F">
      <w:pPr>
        <w:contextualSpacing/>
        <w:jc w:val="both"/>
        <w:rPr>
          <w:rFonts w:asciiTheme="minorHAnsi" w:hAnsiTheme="minorHAnsi"/>
          <w:b/>
          <w:sz w:val="22"/>
          <w:szCs w:val="22"/>
          <w:lang w:val="fr-FR"/>
        </w:rPr>
      </w:pPr>
    </w:p>
    <w:p w14:paraId="25537F1F" w14:textId="7F8C5EFE" w:rsidR="004E6DCE" w:rsidRPr="00E21AE0" w:rsidRDefault="006C24B0" w:rsidP="0043334F">
      <w:pPr>
        <w:contextualSpacing/>
        <w:jc w:val="both"/>
        <w:rPr>
          <w:rFonts w:asciiTheme="minorHAnsi" w:hAnsiTheme="minorHAnsi"/>
          <w:b/>
          <w:sz w:val="22"/>
          <w:szCs w:val="22"/>
          <w:lang w:val="fr-FR"/>
        </w:rPr>
      </w:pPr>
      <w:r w:rsidRPr="00E21AE0">
        <w:rPr>
          <w:rFonts w:asciiTheme="minorHAnsi" w:hAnsiTheme="minorHAnsi"/>
          <w:b/>
          <w:sz w:val="22"/>
          <w:szCs w:val="22"/>
          <w:lang w:val="fr-FR"/>
        </w:rPr>
        <w:t>A8.</w:t>
      </w:r>
      <w:r w:rsidR="00181929" w:rsidRPr="00E21AE0">
        <w:rPr>
          <w:rFonts w:asciiTheme="minorHAnsi" w:hAnsiTheme="minorHAnsi"/>
          <w:b/>
          <w:sz w:val="22"/>
          <w:szCs w:val="22"/>
          <w:lang w:val="fr-FR"/>
        </w:rPr>
        <w:t xml:space="preserve"> </w:t>
      </w:r>
      <w:r w:rsidR="00696B06" w:rsidRPr="00696B06">
        <w:rPr>
          <w:rFonts w:asciiTheme="minorHAnsi" w:hAnsiTheme="minorHAnsi"/>
          <w:b/>
          <w:sz w:val="22"/>
          <w:szCs w:val="22"/>
          <w:lang w:val="fr-FR"/>
        </w:rPr>
        <w:t>Chez les patients souffrant d'incontinence urinaire, l'utilisation de diurétiques dans un premier temps n'est pas appropriée pour le traitement de l'HT</w:t>
      </w:r>
      <w:r w:rsidR="00696B06">
        <w:rPr>
          <w:rFonts w:asciiTheme="minorHAnsi" w:hAnsiTheme="minorHAnsi"/>
          <w:b/>
          <w:sz w:val="22"/>
          <w:szCs w:val="22"/>
          <w:lang w:val="fr-FR"/>
        </w:rPr>
        <w:t>A</w:t>
      </w:r>
      <w:r w:rsidR="00696B06" w:rsidRPr="00696B06">
        <w:rPr>
          <w:rFonts w:asciiTheme="minorHAnsi" w:hAnsiTheme="minorHAnsi"/>
          <w:b/>
          <w:sz w:val="22"/>
          <w:szCs w:val="22"/>
          <w:lang w:val="fr-FR"/>
        </w:rPr>
        <w:t xml:space="preserve"> essentielle (elle peut altérer la qualité de vie en augmentant l'incontinence et la sensation d'urgence, et peut augmenter les chutes).</w:t>
      </w:r>
      <w:r w:rsidR="00696B06">
        <w:rPr>
          <w:rFonts w:asciiTheme="minorHAnsi" w:hAnsiTheme="minorHAnsi"/>
          <w:b/>
          <w:sz w:val="22"/>
          <w:szCs w:val="22"/>
          <w:lang w:val="fr-FR"/>
        </w:rPr>
        <w:t xml:space="preserve"> </w:t>
      </w:r>
    </w:p>
    <w:p w14:paraId="0F408901" w14:textId="7E8AD4AE" w:rsidR="006C24B0" w:rsidRPr="00E21AE0" w:rsidRDefault="00696B06" w:rsidP="0043334F">
      <w:pPr>
        <w:spacing w:after="100" w:afterAutospacing="1"/>
        <w:contextualSpacing/>
        <w:jc w:val="both"/>
        <w:rPr>
          <w:rFonts w:asciiTheme="minorHAnsi" w:hAnsiTheme="minorHAnsi"/>
          <w:i/>
          <w:color w:val="000000" w:themeColor="text1"/>
          <w:sz w:val="22"/>
          <w:szCs w:val="22"/>
          <w:lang w:val="fr-FR"/>
        </w:rPr>
      </w:pPr>
      <w:r w:rsidRPr="00696B06">
        <w:rPr>
          <w:rFonts w:asciiTheme="minorHAnsi" w:hAnsiTheme="minorHAnsi"/>
          <w:i/>
          <w:color w:val="000000" w:themeColor="text1"/>
          <w:sz w:val="22"/>
          <w:szCs w:val="22"/>
          <w:lang w:val="fr-FR"/>
        </w:rPr>
        <w:t>*En général, les diurétiques chez les personnes âgées peuvent altérer la qualité de vie en diminuant le volume/en augmentant la fréquence et le volume des mictions et en provoquant une sensation de pincement, et peuvent être un facteur de risque de chute. Les cas utilisant des diurétiques doivent être suivis de près à ces égards.</w:t>
      </w:r>
      <w:r w:rsidR="006C24B0" w:rsidRPr="00E21AE0">
        <w:rPr>
          <w:rFonts w:asciiTheme="minorHAnsi" w:hAnsiTheme="minorHAnsi"/>
          <w:i/>
          <w:color w:val="000000" w:themeColor="text1"/>
          <w:sz w:val="22"/>
          <w:szCs w:val="22"/>
          <w:lang w:val="fr-FR"/>
        </w:rPr>
        <w:t xml:space="preserve"> </w:t>
      </w:r>
    </w:p>
    <w:p w14:paraId="2DF5B03F" w14:textId="274E5CEF" w:rsidR="00CA5845" w:rsidRPr="00E21AE0" w:rsidRDefault="00CA5845"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val="fr-FR"/>
        </w:rPr>
      </w:pPr>
    </w:p>
    <w:p w14:paraId="04500522" w14:textId="77777777" w:rsidR="00E85274" w:rsidRPr="00E21AE0" w:rsidRDefault="00E85274"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lang w:val="fr-FR"/>
        </w:rPr>
      </w:pPr>
    </w:p>
    <w:p w14:paraId="3693590B" w14:textId="11569852" w:rsidR="00696B06" w:rsidRDefault="006C24B0"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b/>
          <w:color w:val="000000"/>
          <w:sz w:val="22"/>
          <w:szCs w:val="22"/>
          <w:lang w:val="fr-FR"/>
        </w:rPr>
      </w:pPr>
      <w:r w:rsidRPr="00E21AE0">
        <w:rPr>
          <w:rFonts w:asciiTheme="minorHAnsi" w:hAnsiTheme="minorHAnsi"/>
          <w:b/>
          <w:color w:val="000000"/>
          <w:sz w:val="22"/>
          <w:szCs w:val="22"/>
          <w:lang w:val="fr-FR"/>
        </w:rPr>
        <w:t>A9.</w:t>
      </w:r>
      <w:r w:rsidR="002A1E62" w:rsidRPr="00E21AE0">
        <w:rPr>
          <w:rFonts w:asciiTheme="minorHAnsi" w:hAnsiTheme="minorHAnsi"/>
          <w:b/>
          <w:color w:val="000000"/>
          <w:sz w:val="22"/>
          <w:szCs w:val="22"/>
          <w:lang w:val="fr-FR"/>
        </w:rPr>
        <w:t xml:space="preserve"> </w:t>
      </w:r>
      <w:r w:rsidR="00696B06" w:rsidRPr="00696B06">
        <w:rPr>
          <w:rFonts w:asciiTheme="minorHAnsi" w:hAnsiTheme="minorHAnsi"/>
          <w:b/>
          <w:color w:val="000000"/>
          <w:sz w:val="22"/>
          <w:szCs w:val="22"/>
          <w:lang w:val="fr-FR"/>
        </w:rPr>
        <w:t xml:space="preserve">L'utilisation d'alpha-1-bloquants ou d'antihypertenseurs à action centrale (par ex. </w:t>
      </w:r>
      <w:proofErr w:type="spellStart"/>
      <w:r w:rsidR="00696B06" w:rsidRPr="00696B06">
        <w:rPr>
          <w:rFonts w:asciiTheme="minorHAnsi" w:hAnsiTheme="minorHAnsi"/>
          <w:b/>
          <w:color w:val="000000"/>
          <w:sz w:val="22"/>
          <w:szCs w:val="22"/>
          <w:lang w:val="fr-FR"/>
        </w:rPr>
        <w:t>méthyldopa</w:t>
      </w:r>
      <w:proofErr w:type="spellEnd"/>
      <w:r w:rsidR="00696B06" w:rsidRPr="00696B06">
        <w:rPr>
          <w:rFonts w:asciiTheme="minorHAnsi" w:hAnsiTheme="minorHAnsi"/>
          <w:b/>
          <w:color w:val="000000"/>
          <w:sz w:val="22"/>
          <w:szCs w:val="22"/>
          <w:lang w:val="fr-FR"/>
        </w:rPr>
        <w:t xml:space="preserve">, </w:t>
      </w:r>
      <w:proofErr w:type="spellStart"/>
      <w:r w:rsidR="00696B06" w:rsidRPr="00696B06">
        <w:rPr>
          <w:rFonts w:asciiTheme="minorHAnsi" w:hAnsiTheme="minorHAnsi"/>
          <w:b/>
          <w:color w:val="000000"/>
          <w:sz w:val="22"/>
          <w:szCs w:val="22"/>
          <w:lang w:val="fr-FR"/>
        </w:rPr>
        <w:t>rilménidine</w:t>
      </w:r>
      <w:proofErr w:type="spellEnd"/>
      <w:r w:rsidR="00696B06" w:rsidRPr="00696B06">
        <w:rPr>
          <w:rFonts w:asciiTheme="minorHAnsi" w:hAnsiTheme="minorHAnsi"/>
          <w:b/>
          <w:color w:val="000000"/>
          <w:sz w:val="22"/>
          <w:szCs w:val="22"/>
          <w:lang w:val="fr-FR"/>
        </w:rPr>
        <w:t>, réserpine) n'est pas appropriée dans le traitement de l'HT</w:t>
      </w:r>
      <w:r w:rsidR="00696B06">
        <w:rPr>
          <w:rFonts w:asciiTheme="minorHAnsi" w:hAnsiTheme="minorHAnsi"/>
          <w:b/>
          <w:color w:val="000000"/>
          <w:sz w:val="22"/>
          <w:szCs w:val="22"/>
          <w:lang w:val="fr-FR"/>
        </w:rPr>
        <w:t>A</w:t>
      </w:r>
      <w:r w:rsidR="00696B06" w:rsidRPr="00696B06">
        <w:rPr>
          <w:rFonts w:asciiTheme="minorHAnsi" w:hAnsiTheme="minorHAnsi"/>
          <w:b/>
          <w:color w:val="000000"/>
          <w:sz w:val="22"/>
          <w:szCs w:val="22"/>
          <w:lang w:val="fr-FR"/>
        </w:rPr>
        <w:t xml:space="preserve">, sauf dans les cas où d'autres classes d'antihypertenseurs ne sont pas tolérées ou inefficaces (avec les antihypertenseurs alpha-1, augmentation de l'insuffisance cardiaque et des événements cardiovasculaires, hypotension orthostatique, </w:t>
      </w:r>
      <w:r w:rsidR="00696B06">
        <w:rPr>
          <w:rFonts w:asciiTheme="minorHAnsi" w:hAnsiTheme="minorHAnsi"/>
          <w:b/>
          <w:color w:val="000000"/>
          <w:sz w:val="22"/>
          <w:szCs w:val="22"/>
          <w:lang w:val="fr-FR"/>
        </w:rPr>
        <w:t>chute</w:t>
      </w:r>
      <w:r w:rsidR="00696B06" w:rsidRPr="00696B06">
        <w:rPr>
          <w:rFonts w:asciiTheme="minorHAnsi" w:hAnsiTheme="minorHAnsi"/>
          <w:b/>
          <w:color w:val="000000"/>
          <w:sz w:val="22"/>
          <w:szCs w:val="22"/>
          <w:lang w:val="fr-FR"/>
        </w:rPr>
        <w:t>, syncope, aggravation de l'incontinence urinaire chez la femme ; effets secondaires sur le SNC des antihypertenseurs à action centrale, sédation-dépression-parkinsonisme et hypotension orthostatique, effets secondaires de la bradycardie)</w:t>
      </w:r>
      <w:r w:rsidR="00696B06">
        <w:rPr>
          <w:rFonts w:asciiTheme="minorHAnsi" w:hAnsiTheme="minorHAnsi"/>
          <w:b/>
          <w:color w:val="000000"/>
          <w:sz w:val="22"/>
          <w:szCs w:val="22"/>
          <w:lang w:val="fr-FR"/>
        </w:rPr>
        <w:t xml:space="preserve"> </w:t>
      </w:r>
    </w:p>
    <w:p w14:paraId="1F018F4E" w14:textId="77777777" w:rsidR="00696B06" w:rsidRDefault="00696B06"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b/>
          <w:color w:val="000000"/>
          <w:sz w:val="22"/>
          <w:szCs w:val="22"/>
          <w:lang w:val="fr-FR"/>
        </w:rPr>
      </w:pPr>
    </w:p>
    <w:p w14:paraId="07DB9CDA" w14:textId="77777777" w:rsidR="009B4E92" w:rsidRPr="00E21AE0" w:rsidRDefault="009B4E92" w:rsidP="0043334F">
      <w:pPr>
        <w:pStyle w:val="HTMLncedenBiimlendirilmi"/>
        <w:contextualSpacing/>
        <w:jc w:val="both"/>
        <w:rPr>
          <w:rFonts w:asciiTheme="minorHAnsi" w:hAnsiTheme="minorHAnsi" w:cstheme="minorHAnsi"/>
          <w:color w:val="000000" w:themeColor="text1"/>
          <w:sz w:val="22"/>
          <w:szCs w:val="22"/>
          <w:lang w:val="fr-FR"/>
        </w:rPr>
      </w:pPr>
    </w:p>
    <w:p w14:paraId="70B7A5E3" w14:textId="77777777" w:rsidR="00C75B3A" w:rsidRPr="00E21AE0" w:rsidRDefault="00C75B3A" w:rsidP="0043334F">
      <w:pPr>
        <w:pStyle w:val="HTMLncedenBiimlendirilmi"/>
        <w:contextualSpacing/>
        <w:jc w:val="both"/>
        <w:rPr>
          <w:rFonts w:asciiTheme="minorHAnsi" w:hAnsiTheme="minorHAnsi" w:cstheme="minorHAnsi"/>
          <w:color w:val="000000"/>
          <w:sz w:val="22"/>
          <w:szCs w:val="22"/>
          <w:lang w:val="fr-FR"/>
        </w:rPr>
      </w:pPr>
    </w:p>
    <w:p w14:paraId="5063E76E" w14:textId="7701A77C" w:rsidR="006C24B0" w:rsidRPr="00E21AE0" w:rsidRDefault="006C24B0" w:rsidP="0043334F">
      <w:pPr>
        <w:pStyle w:val="HTMLncedenBiimlendirilmi"/>
        <w:contextualSpacing/>
        <w:jc w:val="both"/>
        <w:rPr>
          <w:rFonts w:asciiTheme="minorHAnsi" w:hAnsiTheme="minorHAnsi" w:cstheme="minorHAnsi"/>
          <w:color w:val="000000"/>
          <w:sz w:val="22"/>
          <w:szCs w:val="22"/>
          <w:lang w:val="fr-FR"/>
        </w:rPr>
      </w:pPr>
      <w:r w:rsidRPr="00E21AE0">
        <w:rPr>
          <w:rFonts w:asciiTheme="minorHAnsi" w:hAnsiTheme="minorHAnsi"/>
          <w:b/>
          <w:sz w:val="22"/>
          <w:szCs w:val="22"/>
          <w:lang w:val="fr-FR"/>
        </w:rPr>
        <w:t>A10.</w:t>
      </w:r>
      <w:r w:rsidR="002A1E62" w:rsidRPr="00E21AE0">
        <w:rPr>
          <w:rFonts w:asciiTheme="minorHAnsi" w:hAnsiTheme="minorHAnsi"/>
          <w:b/>
          <w:sz w:val="22"/>
          <w:szCs w:val="22"/>
          <w:lang w:val="fr-FR"/>
        </w:rPr>
        <w:t xml:space="preserve"> </w:t>
      </w:r>
      <w:r w:rsidR="00696B06" w:rsidRPr="00696B06">
        <w:rPr>
          <w:rFonts w:asciiTheme="minorHAnsi" w:hAnsiTheme="minorHAnsi"/>
          <w:b/>
          <w:sz w:val="22"/>
          <w:szCs w:val="22"/>
          <w:lang w:val="fr-FR"/>
        </w:rPr>
        <w:t>Les antihypertenseurs vasodilatateurs (alpha-</w:t>
      </w:r>
      <w:r w:rsidR="00D42F87" w:rsidRPr="00696B06">
        <w:rPr>
          <w:rFonts w:asciiTheme="minorHAnsi" w:hAnsiTheme="minorHAnsi"/>
          <w:b/>
          <w:sz w:val="22"/>
          <w:szCs w:val="22"/>
          <w:lang w:val="fr-FR"/>
        </w:rPr>
        <w:t>bloquants) /</w:t>
      </w:r>
      <w:r w:rsidR="00696B06" w:rsidRPr="00696B06">
        <w:rPr>
          <w:rFonts w:asciiTheme="minorHAnsi" w:hAnsiTheme="minorHAnsi"/>
          <w:b/>
          <w:sz w:val="22"/>
          <w:szCs w:val="22"/>
          <w:lang w:val="fr-FR"/>
        </w:rPr>
        <w:t xml:space="preserve">nitrates ne conviennent pas aux patients souffrant d'hypotension orthostatique (diminution &gt;=20 </w:t>
      </w:r>
      <w:proofErr w:type="spellStart"/>
      <w:r w:rsidR="00696B06" w:rsidRPr="00696B06">
        <w:rPr>
          <w:rFonts w:asciiTheme="minorHAnsi" w:hAnsiTheme="minorHAnsi"/>
          <w:b/>
          <w:sz w:val="22"/>
          <w:szCs w:val="22"/>
          <w:lang w:val="fr-FR"/>
        </w:rPr>
        <w:t>mmHg</w:t>
      </w:r>
      <w:proofErr w:type="spellEnd"/>
      <w:r w:rsidR="00696B06" w:rsidRPr="00696B06">
        <w:rPr>
          <w:rFonts w:asciiTheme="minorHAnsi" w:hAnsiTheme="minorHAnsi"/>
          <w:b/>
          <w:sz w:val="22"/>
          <w:szCs w:val="22"/>
          <w:lang w:val="fr-FR"/>
        </w:rPr>
        <w:t xml:space="preserve"> de la pression artérielle systolique ou diminution &gt;=10 </w:t>
      </w:r>
      <w:proofErr w:type="spellStart"/>
      <w:r w:rsidR="00696B06" w:rsidRPr="00696B06">
        <w:rPr>
          <w:rFonts w:asciiTheme="minorHAnsi" w:hAnsiTheme="minorHAnsi"/>
          <w:b/>
          <w:sz w:val="22"/>
          <w:szCs w:val="22"/>
          <w:lang w:val="fr-FR"/>
        </w:rPr>
        <w:t>mmHg</w:t>
      </w:r>
      <w:proofErr w:type="spellEnd"/>
      <w:r w:rsidR="00696B06" w:rsidRPr="00696B06">
        <w:rPr>
          <w:rFonts w:asciiTheme="minorHAnsi" w:hAnsiTheme="minorHAnsi"/>
          <w:b/>
          <w:sz w:val="22"/>
          <w:szCs w:val="22"/>
          <w:lang w:val="fr-FR"/>
        </w:rPr>
        <w:t xml:space="preserve"> de la pression artérielle diastolique) (risque d'augmentation de l'hypotension orthostatique)</w:t>
      </w:r>
      <w:r w:rsidR="00696B06">
        <w:rPr>
          <w:rFonts w:asciiTheme="minorHAnsi" w:hAnsiTheme="minorHAnsi"/>
          <w:b/>
          <w:sz w:val="22"/>
          <w:szCs w:val="22"/>
          <w:lang w:val="fr-FR"/>
        </w:rPr>
        <w:t xml:space="preserve"> </w:t>
      </w:r>
    </w:p>
    <w:p w14:paraId="1FB57679" w14:textId="5B3A8CA8" w:rsidR="00696B06" w:rsidRDefault="00696B06" w:rsidP="0043334F">
      <w:pPr>
        <w:contextualSpacing/>
        <w:jc w:val="both"/>
        <w:rPr>
          <w:rFonts w:asciiTheme="minorHAnsi" w:hAnsiTheme="minorHAnsi"/>
          <w:i/>
          <w:sz w:val="22"/>
          <w:szCs w:val="22"/>
          <w:lang w:val="fr-FR"/>
        </w:rPr>
      </w:pPr>
      <w:r w:rsidRPr="00696B06">
        <w:rPr>
          <w:rFonts w:asciiTheme="minorHAnsi" w:hAnsiTheme="minorHAnsi"/>
          <w:i/>
          <w:sz w:val="22"/>
          <w:szCs w:val="22"/>
          <w:lang w:val="fr-FR"/>
        </w:rPr>
        <w:t>*L'utilisation d'antihypertenseurs vasodilatateurs en présence d'hypotension orthostatique peut être appropriée uniquement lorsque l'HT</w:t>
      </w:r>
      <w:r>
        <w:rPr>
          <w:rFonts w:asciiTheme="minorHAnsi" w:hAnsiTheme="minorHAnsi"/>
          <w:i/>
          <w:sz w:val="22"/>
          <w:szCs w:val="22"/>
          <w:lang w:val="fr-FR"/>
        </w:rPr>
        <w:t>A</w:t>
      </w:r>
      <w:r w:rsidRPr="00696B06">
        <w:rPr>
          <w:rFonts w:asciiTheme="minorHAnsi" w:hAnsiTheme="minorHAnsi"/>
          <w:i/>
          <w:sz w:val="22"/>
          <w:szCs w:val="22"/>
          <w:lang w:val="fr-FR"/>
        </w:rPr>
        <w:t xml:space="preserve"> sévère </w:t>
      </w:r>
      <w:r>
        <w:rPr>
          <w:rFonts w:asciiTheme="minorHAnsi" w:hAnsiTheme="minorHAnsi"/>
          <w:i/>
          <w:sz w:val="22"/>
          <w:szCs w:val="22"/>
          <w:lang w:val="fr-FR"/>
        </w:rPr>
        <w:t>de</w:t>
      </w:r>
      <w:r w:rsidRPr="00696B06">
        <w:rPr>
          <w:rFonts w:asciiTheme="minorHAnsi" w:hAnsiTheme="minorHAnsi"/>
          <w:i/>
          <w:sz w:val="22"/>
          <w:szCs w:val="22"/>
          <w:lang w:val="fr-FR"/>
        </w:rPr>
        <w:t xml:space="preserve"> décubitus dorsal ne peut pas être contrôlée avec d'autres antihypertenseurs. S'ils sont utilisés, des mesures de protection contre l'hypotension orthostatique doivent être appliquées de façon concomitante. Tous les antihypertenseurs doivent être évalués pour une réduction de dose en présence d'hypotension orthostatique.</w:t>
      </w:r>
      <w:r>
        <w:rPr>
          <w:rFonts w:asciiTheme="minorHAnsi" w:hAnsiTheme="minorHAnsi"/>
          <w:i/>
          <w:sz w:val="22"/>
          <w:szCs w:val="22"/>
          <w:lang w:val="fr-FR"/>
        </w:rPr>
        <w:t xml:space="preserve"> </w:t>
      </w:r>
    </w:p>
    <w:p w14:paraId="74355093" w14:textId="77777777" w:rsidR="00696B06" w:rsidRDefault="00696B06" w:rsidP="0043334F">
      <w:pPr>
        <w:contextualSpacing/>
        <w:jc w:val="both"/>
        <w:rPr>
          <w:rFonts w:asciiTheme="minorHAnsi" w:hAnsiTheme="minorHAnsi"/>
          <w:i/>
          <w:sz w:val="22"/>
          <w:szCs w:val="22"/>
          <w:lang w:val="fr-FR"/>
        </w:rPr>
      </w:pPr>
    </w:p>
    <w:p w14:paraId="0A04F7C9" w14:textId="77777777" w:rsidR="009B4E92" w:rsidRPr="00E21AE0" w:rsidRDefault="009B4E92"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val="fr-FR" w:eastAsia="en-GB"/>
        </w:rPr>
      </w:pPr>
    </w:p>
    <w:p w14:paraId="2E594CB6" w14:textId="77777777" w:rsidR="00E86B5B" w:rsidRPr="00E21AE0" w:rsidRDefault="00E86B5B"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b/>
          <w:sz w:val="22"/>
          <w:szCs w:val="22"/>
          <w:lang w:val="fr-FR"/>
        </w:rPr>
      </w:pPr>
    </w:p>
    <w:p w14:paraId="32E0A361" w14:textId="1A933E6F" w:rsidR="009B4E92" w:rsidRPr="00E21AE0" w:rsidRDefault="006C24B0"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olor w:val="000000"/>
          <w:sz w:val="22"/>
          <w:szCs w:val="22"/>
          <w:vertAlign w:val="superscript"/>
          <w:lang w:val="fr-FR"/>
        </w:rPr>
      </w:pPr>
      <w:r w:rsidRPr="00E21AE0">
        <w:rPr>
          <w:rFonts w:asciiTheme="minorHAnsi" w:hAnsiTheme="minorHAnsi"/>
          <w:b/>
          <w:sz w:val="22"/>
          <w:szCs w:val="22"/>
          <w:lang w:val="fr-FR"/>
        </w:rPr>
        <w:lastRenderedPageBreak/>
        <w:t>A11.</w:t>
      </w:r>
      <w:r w:rsidR="00181929" w:rsidRPr="00E21AE0">
        <w:rPr>
          <w:rFonts w:asciiTheme="minorHAnsi" w:hAnsiTheme="minorHAnsi"/>
          <w:b/>
          <w:sz w:val="22"/>
          <w:szCs w:val="22"/>
          <w:lang w:val="fr-FR"/>
        </w:rPr>
        <w:t xml:space="preserve"> </w:t>
      </w:r>
      <w:r w:rsidR="00E65BAB" w:rsidRPr="00E65BAB">
        <w:rPr>
          <w:rFonts w:asciiTheme="minorHAnsi" w:hAnsiTheme="minorHAnsi"/>
          <w:b/>
          <w:sz w:val="22"/>
          <w:szCs w:val="22"/>
          <w:lang w:val="fr-FR"/>
        </w:rPr>
        <w:t xml:space="preserve">Un contrôle strict de la pression artérielle (&lt;140/90 </w:t>
      </w:r>
      <w:proofErr w:type="spellStart"/>
      <w:r w:rsidR="00E65BAB" w:rsidRPr="00E65BAB">
        <w:rPr>
          <w:rFonts w:asciiTheme="minorHAnsi" w:hAnsiTheme="minorHAnsi"/>
          <w:b/>
          <w:sz w:val="22"/>
          <w:szCs w:val="22"/>
          <w:lang w:val="fr-FR"/>
        </w:rPr>
        <w:t>mmHg</w:t>
      </w:r>
      <w:proofErr w:type="spellEnd"/>
      <w:r w:rsidR="00E65BAB" w:rsidRPr="00E65BAB">
        <w:rPr>
          <w:rFonts w:asciiTheme="minorHAnsi" w:hAnsiTheme="minorHAnsi"/>
          <w:b/>
          <w:sz w:val="22"/>
          <w:szCs w:val="22"/>
          <w:lang w:val="fr-FR"/>
        </w:rPr>
        <w:t xml:space="preserve">) n'est pas approprié chez les patients présentant une hypotension orthostatique/une déficience cognitive (par exemple, une </w:t>
      </w:r>
      <w:proofErr w:type="gramStart"/>
      <w:r w:rsidR="00E65BAB" w:rsidRPr="00E65BAB">
        <w:rPr>
          <w:rFonts w:asciiTheme="minorHAnsi" w:hAnsiTheme="minorHAnsi"/>
          <w:b/>
          <w:sz w:val="22"/>
          <w:szCs w:val="22"/>
          <w:lang w:val="fr-FR"/>
        </w:rPr>
        <w:t>démence)/</w:t>
      </w:r>
      <w:proofErr w:type="gramEnd"/>
      <w:r w:rsidR="00E65BAB" w:rsidRPr="00E65BAB">
        <w:rPr>
          <w:rFonts w:asciiTheme="minorHAnsi" w:hAnsiTheme="minorHAnsi"/>
          <w:b/>
          <w:sz w:val="22"/>
          <w:szCs w:val="22"/>
          <w:lang w:val="fr-FR"/>
        </w:rPr>
        <w:t>une limitation fonctionnelle/une faible espérance de vie (&lt;2 ans)/un risque élevé de chute</w:t>
      </w:r>
      <w:r w:rsidR="00E65BAB">
        <w:rPr>
          <w:rFonts w:asciiTheme="minorHAnsi" w:hAnsiTheme="minorHAnsi"/>
          <w:b/>
          <w:sz w:val="22"/>
          <w:szCs w:val="22"/>
          <w:lang w:val="fr-FR"/>
        </w:rPr>
        <w:t xml:space="preserve"> </w:t>
      </w:r>
    </w:p>
    <w:p w14:paraId="5DC1FA9A" w14:textId="77777777" w:rsidR="00C75B3A" w:rsidRPr="00E21AE0" w:rsidRDefault="00C75B3A" w:rsidP="0043334F">
      <w:pPr>
        <w:autoSpaceDE w:val="0"/>
        <w:autoSpaceDN w:val="0"/>
        <w:adjustRightInd w:val="0"/>
        <w:contextualSpacing/>
        <w:jc w:val="both"/>
        <w:rPr>
          <w:rFonts w:asciiTheme="minorHAnsi" w:eastAsiaTheme="minorHAnsi" w:hAnsiTheme="minorHAnsi" w:cstheme="minorHAnsi"/>
          <w:sz w:val="22"/>
          <w:szCs w:val="22"/>
          <w:lang w:val="fr-FR"/>
        </w:rPr>
      </w:pPr>
    </w:p>
    <w:p w14:paraId="75B7CC4B" w14:textId="77777777" w:rsidR="00C75B3A" w:rsidRPr="00E21AE0" w:rsidRDefault="00C75B3A" w:rsidP="0043334F">
      <w:pPr>
        <w:autoSpaceDE w:val="0"/>
        <w:autoSpaceDN w:val="0"/>
        <w:adjustRightInd w:val="0"/>
        <w:contextualSpacing/>
        <w:jc w:val="both"/>
        <w:rPr>
          <w:rFonts w:asciiTheme="minorHAnsi" w:eastAsiaTheme="minorHAnsi" w:hAnsiTheme="minorHAnsi" w:cstheme="minorHAnsi"/>
          <w:sz w:val="22"/>
          <w:szCs w:val="22"/>
          <w:lang w:val="fr-FR"/>
        </w:rPr>
      </w:pPr>
    </w:p>
    <w:p w14:paraId="27255E19" w14:textId="78371B4F" w:rsidR="006C24B0" w:rsidRPr="00E21AE0" w:rsidRDefault="006C24B0" w:rsidP="0043334F">
      <w:pPr>
        <w:autoSpaceDE w:val="0"/>
        <w:autoSpaceDN w:val="0"/>
        <w:adjustRightInd w:val="0"/>
        <w:contextualSpacing/>
        <w:jc w:val="both"/>
        <w:rPr>
          <w:rFonts w:asciiTheme="minorHAnsi" w:eastAsiaTheme="minorHAnsi" w:hAnsiTheme="minorHAnsi" w:cstheme="minorHAnsi"/>
          <w:sz w:val="22"/>
          <w:szCs w:val="22"/>
          <w:lang w:val="fr-FR"/>
        </w:rPr>
      </w:pPr>
      <w:r w:rsidRPr="00E21AE0">
        <w:rPr>
          <w:rFonts w:asciiTheme="minorHAnsi" w:hAnsiTheme="minorHAnsi"/>
          <w:b/>
          <w:sz w:val="22"/>
          <w:szCs w:val="22"/>
          <w:lang w:val="fr-FR"/>
        </w:rPr>
        <w:t xml:space="preserve">A12. </w:t>
      </w:r>
      <w:r w:rsidR="00E65BAB" w:rsidRPr="00E65BAB">
        <w:rPr>
          <w:rFonts w:asciiTheme="minorHAnsi" w:hAnsiTheme="minorHAnsi"/>
          <w:b/>
          <w:sz w:val="22"/>
          <w:szCs w:val="22"/>
          <w:lang w:val="fr-FR"/>
        </w:rPr>
        <w:t xml:space="preserve">La </w:t>
      </w:r>
      <w:proofErr w:type="spellStart"/>
      <w:r w:rsidR="00E65BAB" w:rsidRPr="00E65BAB">
        <w:rPr>
          <w:rFonts w:asciiTheme="minorHAnsi" w:hAnsiTheme="minorHAnsi"/>
          <w:b/>
          <w:sz w:val="22"/>
          <w:szCs w:val="22"/>
          <w:lang w:val="fr-FR"/>
        </w:rPr>
        <w:t>fludrocortisone</w:t>
      </w:r>
      <w:proofErr w:type="spellEnd"/>
      <w:r w:rsidR="00E65BAB" w:rsidRPr="00E65BAB">
        <w:rPr>
          <w:rFonts w:asciiTheme="minorHAnsi" w:hAnsiTheme="minorHAnsi"/>
          <w:b/>
          <w:sz w:val="22"/>
          <w:szCs w:val="22"/>
          <w:lang w:val="fr-FR"/>
        </w:rPr>
        <w:t xml:space="preserve"> ne convient pas au traitement de l'hypotension orthostatique sans exclure les facteurs secondaires et appliquer des approches non médicamenteuses. </w:t>
      </w:r>
      <w:r w:rsidR="00E65BAB">
        <w:rPr>
          <w:rFonts w:asciiTheme="minorHAnsi" w:hAnsiTheme="minorHAnsi"/>
          <w:b/>
          <w:sz w:val="22"/>
          <w:szCs w:val="22"/>
          <w:lang w:val="fr-FR"/>
        </w:rPr>
        <w:t xml:space="preserve"> </w:t>
      </w:r>
    </w:p>
    <w:p w14:paraId="78B92D8A" w14:textId="3F2E0D34" w:rsidR="00E65BAB" w:rsidRDefault="00E65BAB" w:rsidP="0043334F">
      <w:pPr>
        <w:spacing w:after="100" w:afterAutospacing="1"/>
        <w:contextualSpacing/>
        <w:jc w:val="both"/>
        <w:rPr>
          <w:rFonts w:asciiTheme="minorHAnsi" w:hAnsiTheme="minorHAnsi"/>
          <w:i/>
          <w:color w:val="000000" w:themeColor="text1"/>
          <w:sz w:val="22"/>
          <w:szCs w:val="22"/>
          <w:lang w:val="fr-FR"/>
        </w:rPr>
      </w:pPr>
      <w:r w:rsidRPr="00E65BAB">
        <w:rPr>
          <w:rFonts w:asciiTheme="minorHAnsi" w:hAnsiTheme="minorHAnsi"/>
          <w:i/>
          <w:color w:val="000000" w:themeColor="text1"/>
          <w:sz w:val="22"/>
          <w:szCs w:val="22"/>
          <w:lang w:val="fr-FR"/>
        </w:rPr>
        <w:t>*Les approches non médicamenteuses de la prise en charge de l'hypotension orthostatique sont les suivantes : se lever lentement, exercices de résistance des membres inférieurs, porter des bas de contention, apport hydrique adéquat [2–3 L/jour], éviter l'alcool, manger de petits repas fréquents, apport</w:t>
      </w:r>
      <w:r>
        <w:rPr>
          <w:rFonts w:asciiTheme="minorHAnsi" w:hAnsiTheme="minorHAnsi"/>
          <w:i/>
          <w:color w:val="000000" w:themeColor="text1"/>
          <w:sz w:val="22"/>
          <w:szCs w:val="22"/>
          <w:lang w:val="fr-FR"/>
        </w:rPr>
        <w:t xml:space="preserve"> suffisant</w:t>
      </w:r>
      <w:r w:rsidRPr="00E65BAB">
        <w:rPr>
          <w:rFonts w:asciiTheme="minorHAnsi" w:hAnsiTheme="minorHAnsi"/>
          <w:i/>
          <w:color w:val="000000" w:themeColor="text1"/>
          <w:sz w:val="22"/>
          <w:szCs w:val="22"/>
          <w:lang w:val="fr-FR"/>
        </w:rPr>
        <w:t xml:space="preserve"> de sel [6-10 g/jour], éviter les aliments riches en glucides, éviter les exercices intenses par temps chaud, garder la tête surélevée à 30-45 degrés en position couchée</w:t>
      </w:r>
      <w:r w:rsidR="002818FD">
        <w:rPr>
          <w:rFonts w:asciiTheme="minorHAnsi" w:hAnsiTheme="minorHAnsi"/>
          <w:i/>
          <w:color w:val="000000" w:themeColor="text1"/>
          <w:sz w:val="22"/>
          <w:szCs w:val="22"/>
          <w:lang w:val="fr-FR"/>
        </w:rPr>
        <w:t>.</w:t>
      </w:r>
    </w:p>
    <w:p w14:paraId="0848C5AF" w14:textId="77777777" w:rsidR="00E65BAB" w:rsidRDefault="00E65BAB" w:rsidP="0043334F">
      <w:pPr>
        <w:spacing w:after="100" w:afterAutospacing="1"/>
        <w:contextualSpacing/>
        <w:jc w:val="both"/>
        <w:rPr>
          <w:rFonts w:asciiTheme="minorHAnsi" w:hAnsiTheme="minorHAnsi"/>
          <w:i/>
          <w:color w:val="000000" w:themeColor="text1"/>
          <w:sz w:val="22"/>
          <w:szCs w:val="22"/>
          <w:lang w:val="fr-FR"/>
        </w:rPr>
      </w:pPr>
    </w:p>
    <w:p w14:paraId="63FE8218" w14:textId="77777777" w:rsidR="0077695B" w:rsidRPr="00E21AE0" w:rsidRDefault="0077695B" w:rsidP="0043334F">
      <w:pPr>
        <w:spacing w:before="100" w:beforeAutospacing="1"/>
        <w:contextualSpacing/>
        <w:jc w:val="both"/>
        <w:rPr>
          <w:rFonts w:asciiTheme="minorHAnsi" w:hAnsiTheme="minorHAnsi"/>
          <w:b/>
          <w:sz w:val="22"/>
          <w:szCs w:val="22"/>
          <w:lang w:val="fr-FR"/>
        </w:rPr>
      </w:pPr>
    </w:p>
    <w:p w14:paraId="35D1CC07" w14:textId="4CB887C0" w:rsidR="006C24B0" w:rsidRPr="00E21AE0" w:rsidRDefault="006C24B0" w:rsidP="0043334F">
      <w:pPr>
        <w:spacing w:before="100" w:beforeAutospacing="1"/>
        <w:contextualSpacing/>
        <w:jc w:val="both"/>
        <w:rPr>
          <w:rFonts w:asciiTheme="minorHAnsi" w:hAnsiTheme="minorHAnsi"/>
          <w:b/>
          <w:sz w:val="22"/>
          <w:szCs w:val="22"/>
          <w:lang w:val="fr-FR"/>
        </w:rPr>
      </w:pPr>
      <w:r w:rsidRPr="00E21AE0">
        <w:rPr>
          <w:rFonts w:asciiTheme="minorHAnsi" w:hAnsiTheme="minorHAnsi"/>
          <w:b/>
          <w:sz w:val="22"/>
          <w:szCs w:val="22"/>
          <w:lang w:val="fr-FR"/>
        </w:rPr>
        <w:t>A13.</w:t>
      </w:r>
      <w:r w:rsidR="00181929" w:rsidRPr="00E21AE0">
        <w:rPr>
          <w:rFonts w:asciiTheme="minorHAnsi" w:hAnsiTheme="minorHAnsi"/>
          <w:b/>
          <w:sz w:val="22"/>
          <w:szCs w:val="22"/>
          <w:lang w:val="fr-FR"/>
        </w:rPr>
        <w:t xml:space="preserve"> </w:t>
      </w:r>
      <w:r w:rsidR="00E65BAB" w:rsidRPr="00E65BAB">
        <w:rPr>
          <w:rFonts w:asciiTheme="minorHAnsi" w:hAnsiTheme="minorHAnsi"/>
          <w:b/>
          <w:sz w:val="22"/>
          <w:szCs w:val="22"/>
          <w:lang w:val="fr-FR"/>
        </w:rPr>
        <w:t xml:space="preserve">L'utilisation de l'association </w:t>
      </w:r>
      <w:proofErr w:type="spellStart"/>
      <w:r w:rsidR="00E65BAB" w:rsidRPr="00E65BAB">
        <w:rPr>
          <w:rFonts w:asciiTheme="minorHAnsi" w:hAnsiTheme="minorHAnsi"/>
          <w:b/>
          <w:sz w:val="22"/>
          <w:szCs w:val="22"/>
          <w:lang w:val="fr-FR"/>
        </w:rPr>
        <w:t>bêta-bloquant</w:t>
      </w:r>
      <w:proofErr w:type="spellEnd"/>
      <w:r w:rsidR="00E65BAB" w:rsidRPr="00E65BAB">
        <w:rPr>
          <w:rFonts w:asciiTheme="minorHAnsi" w:hAnsiTheme="minorHAnsi"/>
          <w:b/>
          <w:sz w:val="22"/>
          <w:szCs w:val="22"/>
          <w:lang w:val="fr-FR"/>
        </w:rPr>
        <w:t xml:space="preserve"> et </w:t>
      </w:r>
      <w:proofErr w:type="spellStart"/>
      <w:r w:rsidR="00E65BAB" w:rsidRPr="00E65BAB">
        <w:rPr>
          <w:rFonts w:asciiTheme="minorHAnsi" w:hAnsiTheme="minorHAnsi"/>
          <w:b/>
          <w:sz w:val="22"/>
          <w:szCs w:val="22"/>
          <w:lang w:val="fr-FR"/>
        </w:rPr>
        <w:t>vérapamil</w:t>
      </w:r>
      <w:proofErr w:type="spellEnd"/>
      <w:r w:rsidR="00E65BAB" w:rsidRPr="00E65BAB">
        <w:rPr>
          <w:rFonts w:asciiTheme="minorHAnsi" w:hAnsiTheme="minorHAnsi"/>
          <w:b/>
          <w:sz w:val="22"/>
          <w:szCs w:val="22"/>
          <w:lang w:val="fr-FR"/>
        </w:rPr>
        <w:t>/</w:t>
      </w:r>
      <w:proofErr w:type="spellStart"/>
      <w:r w:rsidR="00E65BAB" w:rsidRPr="00E65BAB">
        <w:rPr>
          <w:rFonts w:asciiTheme="minorHAnsi" w:hAnsiTheme="minorHAnsi"/>
          <w:b/>
          <w:sz w:val="22"/>
          <w:szCs w:val="22"/>
          <w:lang w:val="fr-FR"/>
        </w:rPr>
        <w:t>diltiazem</w:t>
      </w:r>
      <w:proofErr w:type="spellEnd"/>
      <w:r w:rsidR="00E65BAB" w:rsidRPr="00E65BAB">
        <w:rPr>
          <w:rFonts w:asciiTheme="minorHAnsi" w:hAnsiTheme="minorHAnsi"/>
          <w:b/>
          <w:sz w:val="22"/>
          <w:szCs w:val="22"/>
          <w:lang w:val="fr-FR"/>
        </w:rPr>
        <w:t xml:space="preserve"> n'est pas appropriée chez les patients atteints d'HT</w:t>
      </w:r>
      <w:r w:rsidR="00E65BAB">
        <w:rPr>
          <w:rFonts w:asciiTheme="minorHAnsi" w:hAnsiTheme="minorHAnsi"/>
          <w:b/>
          <w:sz w:val="22"/>
          <w:szCs w:val="22"/>
          <w:lang w:val="fr-FR"/>
        </w:rPr>
        <w:t>A</w:t>
      </w:r>
      <w:r w:rsidR="00E65BAB" w:rsidRPr="00E65BAB">
        <w:rPr>
          <w:rFonts w:asciiTheme="minorHAnsi" w:hAnsiTheme="minorHAnsi"/>
          <w:b/>
          <w:sz w:val="22"/>
          <w:szCs w:val="22"/>
          <w:lang w:val="fr-FR"/>
        </w:rPr>
        <w:t xml:space="preserve"> (risque de bloc cardiaque)</w:t>
      </w:r>
      <w:r w:rsidR="00E65BAB">
        <w:rPr>
          <w:rFonts w:asciiTheme="minorHAnsi" w:hAnsiTheme="minorHAnsi"/>
          <w:b/>
          <w:sz w:val="22"/>
          <w:szCs w:val="22"/>
          <w:lang w:val="fr-FR"/>
        </w:rPr>
        <w:t xml:space="preserve"> </w:t>
      </w:r>
    </w:p>
    <w:p w14:paraId="0C14D0C2" w14:textId="77777777" w:rsidR="00E65BAB" w:rsidRDefault="00E65BAB" w:rsidP="0043334F">
      <w:pPr>
        <w:contextualSpacing/>
        <w:jc w:val="both"/>
        <w:rPr>
          <w:rFonts w:asciiTheme="minorHAnsi" w:hAnsiTheme="minorHAnsi"/>
          <w:i/>
          <w:color w:val="000000" w:themeColor="text1"/>
          <w:sz w:val="22"/>
          <w:szCs w:val="22"/>
          <w:lang w:val="fr-FR"/>
        </w:rPr>
      </w:pPr>
      <w:r w:rsidRPr="00E65BAB">
        <w:rPr>
          <w:rFonts w:asciiTheme="minorHAnsi" w:hAnsiTheme="minorHAnsi"/>
          <w:i/>
          <w:color w:val="000000" w:themeColor="text1"/>
          <w:sz w:val="22"/>
          <w:szCs w:val="22"/>
          <w:lang w:val="fr-FR"/>
        </w:rPr>
        <w:t xml:space="preserve">*Les inhibiteurs calciques du groupe des </w:t>
      </w:r>
      <w:proofErr w:type="spellStart"/>
      <w:r w:rsidRPr="00E65BAB">
        <w:rPr>
          <w:rFonts w:asciiTheme="minorHAnsi" w:hAnsiTheme="minorHAnsi"/>
          <w:i/>
          <w:color w:val="000000" w:themeColor="text1"/>
          <w:sz w:val="22"/>
          <w:szCs w:val="22"/>
          <w:lang w:val="fr-FR"/>
        </w:rPr>
        <w:t>dihydropyridines</w:t>
      </w:r>
      <w:proofErr w:type="spellEnd"/>
      <w:r w:rsidRPr="00E65BAB">
        <w:rPr>
          <w:rFonts w:asciiTheme="minorHAnsi" w:hAnsiTheme="minorHAnsi"/>
          <w:i/>
          <w:color w:val="000000" w:themeColor="text1"/>
          <w:sz w:val="22"/>
          <w:szCs w:val="22"/>
          <w:lang w:val="fr-FR"/>
        </w:rPr>
        <w:t xml:space="preserve"> à longue durée d'action doivent généralement être préférés dans le traitement de l'HT chez les personnes âgées (l'utilisation de </w:t>
      </w:r>
      <w:proofErr w:type="spellStart"/>
      <w:r w:rsidRPr="00E65BAB">
        <w:rPr>
          <w:rFonts w:asciiTheme="minorHAnsi" w:hAnsiTheme="minorHAnsi"/>
          <w:i/>
          <w:color w:val="000000" w:themeColor="text1"/>
          <w:sz w:val="22"/>
          <w:szCs w:val="22"/>
          <w:lang w:val="fr-FR"/>
        </w:rPr>
        <w:t>vérapamil</w:t>
      </w:r>
      <w:proofErr w:type="spellEnd"/>
      <w:r w:rsidRPr="00E65BAB">
        <w:rPr>
          <w:rFonts w:asciiTheme="minorHAnsi" w:hAnsiTheme="minorHAnsi"/>
          <w:i/>
          <w:color w:val="000000" w:themeColor="text1"/>
          <w:sz w:val="22"/>
          <w:szCs w:val="22"/>
          <w:lang w:val="fr-FR"/>
        </w:rPr>
        <w:t>/</w:t>
      </w:r>
      <w:proofErr w:type="spellStart"/>
      <w:r w:rsidRPr="00E65BAB">
        <w:rPr>
          <w:rFonts w:asciiTheme="minorHAnsi" w:hAnsiTheme="minorHAnsi"/>
          <w:i/>
          <w:color w:val="000000" w:themeColor="text1"/>
          <w:sz w:val="22"/>
          <w:szCs w:val="22"/>
          <w:lang w:val="fr-FR"/>
        </w:rPr>
        <w:t>diltiazem</w:t>
      </w:r>
      <w:proofErr w:type="spellEnd"/>
      <w:r w:rsidRPr="00E65BAB">
        <w:rPr>
          <w:rFonts w:asciiTheme="minorHAnsi" w:hAnsiTheme="minorHAnsi"/>
          <w:i/>
          <w:color w:val="000000" w:themeColor="text1"/>
          <w:sz w:val="22"/>
          <w:szCs w:val="22"/>
          <w:lang w:val="fr-FR"/>
        </w:rPr>
        <w:t xml:space="preserve"> peut augmenter le risque de bloc cardiaque). </w:t>
      </w:r>
    </w:p>
    <w:p w14:paraId="39DA7390" w14:textId="50E2138C" w:rsidR="00E65BAB" w:rsidRDefault="00E65BAB" w:rsidP="0043334F">
      <w:pPr>
        <w:contextualSpacing/>
        <w:jc w:val="both"/>
        <w:rPr>
          <w:rFonts w:asciiTheme="minorHAnsi" w:hAnsiTheme="minorHAnsi"/>
          <w:i/>
          <w:color w:val="000000" w:themeColor="text1"/>
          <w:sz w:val="22"/>
          <w:szCs w:val="22"/>
          <w:lang w:val="fr-FR"/>
        </w:rPr>
      </w:pPr>
      <w:r w:rsidRPr="00E65BAB">
        <w:rPr>
          <w:rFonts w:asciiTheme="minorHAnsi" w:hAnsiTheme="minorHAnsi"/>
          <w:i/>
          <w:color w:val="000000" w:themeColor="text1"/>
          <w:sz w:val="22"/>
          <w:szCs w:val="22"/>
          <w:lang w:val="fr-FR"/>
        </w:rPr>
        <w:t xml:space="preserve">*L'association de bêtabloquants avec le </w:t>
      </w:r>
      <w:proofErr w:type="spellStart"/>
      <w:r w:rsidRPr="00E65BAB">
        <w:rPr>
          <w:rFonts w:asciiTheme="minorHAnsi" w:hAnsiTheme="minorHAnsi"/>
          <w:i/>
          <w:color w:val="000000" w:themeColor="text1"/>
          <w:sz w:val="22"/>
          <w:szCs w:val="22"/>
          <w:lang w:val="fr-FR"/>
        </w:rPr>
        <w:t>vérapamil</w:t>
      </w:r>
      <w:proofErr w:type="spellEnd"/>
      <w:r w:rsidRPr="00E65BAB">
        <w:rPr>
          <w:rFonts w:asciiTheme="minorHAnsi" w:hAnsiTheme="minorHAnsi"/>
          <w:i/>
          <w:color w:val="000000" w:themeColor="text1"/>
          <w:sz w:val="22"/>
          <w:szCs w:val="22"/>
          <w:lang w:val="fr-FR"/>
        </w:rPr>
        <w:t>/</w:t>
      </w:r>
      <w:proofErr w:type="spellStart"/>
      <w:r w:rsidRPr="00E65BAB">
        <w:rPr>
          <w:rFonts w:asciiTheme="minorHAnsi" w:hAnsiTheme="minorHAnsi"/>
          <w:i/>
          <w:color w:val="000000" w:themeColor="text1"/>
          <w:sz w:val="22"/>
          <w:szCs w:val="22"/>
          <w:lang w:val="fr-FR"/>
        </w:rPr>
        <w:t>diltiazem</w:t>
      </w:r>
      <w:proofErr w:type="spellEnd"/>
      <w:r w:rsidRPr="00E65BAB">
        <w:rPr>
          <w:rFonts w:asciiTheme="minorHAnsi" w:hAnsiTheme="minorHAnsi"/>
          <w:i/>
          <w:color w:val="000000" w:themeColor="text1"/>
          <w:sz w:val="22"/>
          <w:szCs w:val="22"/>
          <w:lang w:val="fr-FR"/>
        </w:rPr>
        <w:t xml:space="preserve"> peut être appropriée dans certains cas de tachycardie supraventriculaire. Dans ce cas, il doit être utilisé avec prudence.</w:t>
      </w:r>
    </w:p>
    <w:p w14:paraId="10DB874B" w14:textId="77777777" w:rsidR="00E65BAB" w:rsidRDefault="00E65BAB" w:rsidP="0043334F">
      <w:pPr>
        <w:contextualSpacing/>
        <w:jc w:val="both"/>
        <w:rPr>
          <w:rFonts w:asciiTheme="minorHAnsi" w:hAnsiTheme="minorHAnsi"/>
          <w:i/>
          <w:color w:val="000000" w:themeColor="text1"/>
          <w:sz w:val="22"/>
          <w:szCs w:val="22"/>
          <w:lang w:val="fr-FR"/>
        </w:rPr>
      </w:pPr>
    </w:p>
    <w:p w14:paraId="47EB0FEF" w14:textId="77777777" w:rsidR="00E85274" w:rsidRPr="00E21AE0" w:rsidRDefault="00E85274" w:rsidP="0043334F">
      <w:pPr>
        <w:contextualSpacing/>
        <w:jc w:val="both"/>
        <w:rPr>
          <w:rFonts w:asciiTheme="minorHAnsi" w:hAnsiTheme="minorHAnsi"/>
          <w:b/>
          <w:sz w:val="22"/>
          <w:szCs w:val="22"/>
          <w:lang w:val="fr-FR"/>
        </w:rPr>
      </w:pPr>
    </w:p>
    <w:p w14:paraId="5C3A4CDF" w14:textId="77777777" w:rsidR="00E65BAB" w:rsidRDefault="0018466D" w:rsidP="0043334F">
      <w:pPr>
        <w:contextualSpacing/>
        <w:jc w:val="both"/>
        <w:rPr>
          <w:rFonts w:asciiTheme="minorHAnsi" w:hAnsiTheme="minorHAnsi"/>
          <w:b/>
          <w:sz w:val="22"/>
          <w:szCs w:val="22"/>
          <w:lang w:val="fr-FR"/>
        </w:rPr>
      </w:pPr>
      <w:r w:rsidRPr="00E21AE0">
        <w:rPr>
          <w:rFonts w:asciiTheme="minorHAnsi" w:hAnsiTheme="minorHAnsi"/>
          <w:b/>
          <w:sz w:val="22"/>
          <w:szCs w:val="22"/>
          <w:lang w:val="fr-FR"/>
        </w:rPr>
        <w:t xml:space="preserve">A14. </w:t>
      </w:r>
      <w:r w:rsidR="00E65BAB" w:rsidRPr="00E65BAB">
        <w:rPr>
          <w:rFonts w:asciiTheme="minorHAnsi" w:hAnsiTheme="minorHAnsi"/>
          <w:b/>
          <w:sz w:val="22"/>
          <w:szCs w:val="22"/>
          <w:lang w:val="fr-FR"/>
        </w:rPr>
        <w:t>Il n'est pas approprié de commencer un inhibiteur du SRA (inhibiteur de l'ECA, ARA, inhibiteur direct de la rénine) ou un diurétique d'épargne potassique (</w:t>
      </w:r>
      <w:proofErr w:type="spellStart"/>
      <w:r w:rsidR="00E65BAB" w:rsidRPr="00E65BAB">
        <w:rPr>
          <w:rFonts w:asciiTheme="minorHAnsi" w:hAnsiTheme="minorHAnsi"/>
          <w:b/>
          <w:sz w:val="22"/>
          <w:szCs w:val="22"/>
          <w:lang w:val="fr-FR"/>
        </w:rPr>
        <w:t>spironolactone</w:t>
      </w:r>
      <w:proofErr w:type="spellEnd"/>
      <w:r w:rsidR="00E65BAB" w:rsidRPr="00E65BAB">
        <w:rPr>
          <w:rFonts w:asciiTheme="minorHAnsi" w:hAnsiTheme="minorHAnsi"/>
          <w:b/>
          <w:sz w:val="22"/>
          <w:szCs w:val="22"/>
          <w:lang w:val="fr-FR"/>
        </w:rPr>
        <w:t xml:space="preserve">, </w:t>
      </w:r>
      <w:proofErr w:type="spellStart"/>
      <w:r w:rsidR="00E65BAB" w:rsidRPr="00E65BAB">
        <w:rPr>
          <w:rFonts w:asciiTheme="minorHAnsi" w:hAnsiTheme="minorHAnsi"/>
          <w:b/>
          <w:sz w:val="22"/>
          <w:szCs w:val="22"/>
          <w:lang w:val="fr-FR"/>
        </w:rPr>
        <w:t>éplérénone</w:t>
      </w:r>
      <w:proofErr w:type="spellEnd"/>
      <w:r w:rsidR="00E65BAB" w:rsidRPr="00E65BAB">
        <w:rPr>
          <w:rFonts w:asciiTheme="minorHAnsi" w:hAnsiTheme="minorHAnsi"/>
          <w:b/>
          <w:sz w:val="22"/>
          <w:szCs w:val="22"/>
          <w:lang w:val="fr-FR"/>
        </w:rPr>
        <w:t xml:space="preserve">, </w:t>
      </w:r>
      <w:proofErr w:type="spellStart"/>
      <w:r w:rsidR="00E65BAB" w:rsidRPr="00E65BAB">
        <w:rPr>
          <w:rFonts w:asciiTheme="minorHAnsi" w:hAnsiTheme="minorHAnsi"/>
          <w:b/>
          <w:sz w:val="22"/>
          <w:szCs w:val="22"/>
          <w:lang w:val="fr-FR"/>
        </w:rPr>
        <w:t>amiloride</w:t>
      </w:r>
      <w:proofErr w:type="spellEnd"/>
      <w:r w:rsidR="00E65BAB" w:rsidRPr="00E65BAB">
        <w:rPr>
          <w:rFonts w:asciiTheme="minorHAnsi" w:hAnsiTheme="minorHAnsi"/>
          <w:b/>
          <w:sz w:val="22"/>
          <w:szCs w:val="22"/>
          <w:lang w:val="fr-FR"/>
        </w:rPr>
        <w:t xml:space="preserve">, </w:t>
      </w:r>
      <w:proofErr w:type="spellStart"/>
      <w:r w:rsidR="00E65BAB" w:rsidRPr="00E65BAB">
        <w:rPr>
          <w:rFonts w:asciiTheme="minorHAnsi" w:hAnsiTheme="minorHAnsi"/>
          <w:b/>
          <w:sz w:val="22"/>
          <w:szCs w:val="22"/>
          <w:lang w:val="fr-FR"/>
        </w:rPr>
        <w:t>triamtérène</w:t>
      </w:r>
      <w:proofErr w:type="spellEnd"/>
      <w:r w:rsidR="00E65BAB" w:rsidRPr="00E65BAB">
        <w:rPr>
          <w:rFonts w:asciiTheme="minorHAnsi" w:hAnsiTheme="minorHAnsi"/>
          <w:b/>
          <w:sz w:val="22"/>
          <w:szCs w:val="22"/>
          <w:lang w:val="fr-FR"/>
        </w:rPr>
        <w:t xml:space="preserve">) en cas de taux de potassium sérique supérieur à 5,5 </w:t>
      </w:r>
      <w:proofErr w:type="spellStart"/>
      <w:r w:rsidR="00E65BAB" w:rsidRPr="00E65BAB">
        <w:rPr>
          <w:rFonts w:asciiTheme="minorHAnsi" w:hAnsiTheme="minorHAnsi"/>
          <w:b/>
          <w:sz w:val="22"/>
          <w:szCs w:val="22"/>
          <w:lang w:val="fr-FR"/>
        </w:rPr>
        <w:t>mEq</w:t>
      </w:r>
      <w:proofErr w:type="spellEnd"/>
      <w:r w:rsidR="00E65BAB" w:rsidRPr="00E65BAB">
        <w:rPr>
          <w:rFonts w:asciiTheme="minorHAnsi" w:hAnsiTheme="minorHAnsi"/>
          <w:b/>
          <w:sz w:val="22"/>
          <w:szCs w:val="22"/>
          <w:lang w:val="fr-FR"/>
        </w:rPr>
        <w:t xml:space="preserve">/L. </w:t>
      </w:r>
      <w:r w:rsidR="00E65BAB">
        <w:rPr>
          <w:rFonts w:asciiTheme="minorHAnsi" w:hAnsiTheme="minorHAnsi"/>
          <w:b/>
          <w:sz w:val="22"/>
          <w:szCs w:val="22"/>
          <w:lang w:val="fr-FR"/>
        </w:rPr>
        <w:t xml:space="preserve"> </w:t>
      </w:r>
    </w:p>
    <w:p w14:paraId="427C88C3" w14:textId="77777777" w:rsidR="00E65BAB" w:rsidRDefault="00E65BAB" w:rsidP="0043334F">
      <w:pPr>
        <w:contextualSpacing/>
        <w:jc w:val="both"/>
        <w:rPr>
          <w:rFonts w:asciiTheme="minorHAnsi" w:hAnsiTheme="minorHAnsi"/>
          <w:sz w:val="22"/>
          <w:szCs w:val="22"/>
          <w:lang w:val="fr-FR"/>
        </w:rPr>
      </w:pPr>
      <w:r w:rsidRPr="00E65BAB">
        <w:rPr>
          <w:rFonts w:asciiTheme="minorHAnsi" w:hAnsiTheme="minorHAnsi"/>
          <w:sz w:val="22"/>
          <w:szCs w:val="22"/>
          <w:lang w:val="fr-FR"/>
        </w:rPr>
        <w:t xml:space="preserve">*Si ce groupe de médicaments est utilisé dans des cas avec un taux de potassium supérieur à 6 </w:t>
      </w:r>
      <w:proofErr w:type="spellStart"/>
      <w:r w:rsidRPr="00E65BAB">
        <w:rPr>
          <w:rFonts w:asciiTheme="minorHAnsi" w:hAnsiTheme="minorHAnsi"/>
          <w:sz w:val="22"/>
          <w:szCs w:val="22"/>
          <w:lang w:val="fr-FR"/>
        </w:rPr>
        <w:t>mEq</w:t>
      </w:r>
      <w:proofErr w:type="spellEnd"/>
      <w:r w:rsidRPr="00E65BAB">
        <w:rPr>
          <w:rFonts w:asciiTheme="minorHAnsi" w:hAnsiTheme="minorHAnsi"/>
          <w:sz w:val="22"/>
          <w:szCs w:val="22"/>
          <w:lang w:val="fr-FR"/>
        </w:rPr>
        <w:t xml:space="preserve">/L, ils doivent être arrêtés. </w:t>
      </w:r>
    </w:p>
    <w:p w14:paraId="590ABDDB" w14:textId="5DBD4E95" w:rsidR="00E65BAB" w:rsidRDefault="00E65BAB" w:rsidP="0043334F">
      <w:pPr>
        <w:contextualSpacing/>
        <w:jc w:val="both"/>
        <w:rPr>
          <w:rFonts w:asciiTheme="minorHAnsi" w:hAnsiTheme="minorHAnsi"/>
          <w:sz w:val="22"/>
          <w:szCs w:val="22"/>
          <w:lang w:val="fr-FR"/>
        </w:rPr>
      </w:pPr>
      <w:r w:rsidRPr="00E65BAB">
        <w:rPr>
          <w:rFonts w:asciiTheme="minorHAnsi" w:hAnsiTheme="minorHAnsi"/>
          <w:sz w:val="22"/>
          <w:szCs w:val="22"/>
          <w:lang w:val="fr-FR"/>
        </w:rPr>
        <w:t xml:space="preserve">*L'utilisation combinée d'inhibiteurs de l'ECA et d'ARA à des fins </w:t>
      </w:r>
      <w:proofErr w:type="spellStart"/>
      <w:r w:rsidRPr="00E65BAB">
        <w:rPr>
          <w:rFonts w:asciiTheme="minorHAnsi" w:hAnsiTheme="minorHAnsi"/>
          <w:sz w:val="22"/>
          <w:szCs w:val="22"/>
          <w:lang w:val="fr-FR"/>
        </w:rPr>
        <w:t>antihypertensives</w:t>
      </w:r>
      <w:proofErr w:type="spellEnd"/>
      <w:r w:rsidRPr="00E65BAB">
        <w:rPr>
          <w:rFonts w:asciiTheme="minorHAnsi" w:hAnsiTheme="minorHAnsi"/>
          <w:sz w:val="22"/>
          <w:szCs w:val="22"/>
          <w:lang w:val="fr-FR"/>
        </w:rPr>
        <w:t xml:space="preserve"> n'est pas appropriée.</w:t>
      </w:r>
      <w:r>
        <w:rPr>
          <w:rFonts w:asciiTheme="minorHAnsi" w:hAnsiTheme="minorHAnsi"/>
          <w:sz w:val="22"/>
          <w:szCs w:val="22"/>
          <w:lang w:val="fr-FR"/>
        </w:rPr>
        <w:t xml:space="preserve"> </w:t>
      </w:r>
    </w:p>
    <w:p w14:paraId="1FFD9156" w14:textId="77777777" w:rsidR="00E65BAB" w:rsidRDefault="00E65BAB" w:rsidP="0043334F">
      <w:pPr>
        <w:contextualSpacing/>
        <w:jc w:val="both"/>
        <w:rPr>
          <w:rFonts w:asciiTheme="minorHAnsi" w:hAnsiTheme="minorHAnsi"/>
          <w:sz w:val="22"/>
          <w:szCs w:val="22"/>
          <w:lang w:val="fr-FR"/>
        </w:rPr>
      </w:pPr>
    </w:p>
    <w:p w14:paraId="4788B18B" w14:textId="77777777" w:rsidR="0077695B" w:rsidRPr="00E21AE0" w:rsidRDefault="0077695B" w:rsidP="0043334F">
      <w:pPr>
        <w:contextualSpacing/>
        <w:rPr>
          <w:rFonts w:asciiTheme="minorHAnsi" w:hAnsiTheme="minorHAnsi" w:cstheme="minorHAnsi"/>
          <w:color w:val="000000"/>
          <w:sz w:val="22"/>
          <w:szCs w:val="22"/>
          <w:lang w:val="fr-FR"/>
        </w:rPr>
      </w:pPr>
    </w:p>
    <w:p w14:paraId="67E12332" w14:textId="77777777" w:rsidR="00E65BAB" w:rsidRDefault="0018466D" w:rsidP="0043334F">
      <w:pPr>
        <w:contextualSpacing/>
        <w:rPr>
          <w:rFonts w:asciiTheme="minorHAnsi" w:hAnsiTheme="minorHAnsi"/>
          <w:b/>
          <w:sz w:val="22"/>
          <w:szCs w:val="22"/>
          <w:lang w:val="fr-FR"/>
        </w:rPr>
      </w:pPr>
      <w:r w:rsidRPr="00E21AE0">
        <w:rPr>
          <w:rFonts w:asciiTheme="minorHAnsi" w:hAnsiTheme="minorHAnsi"/>
          <w:b/>
          <w:sz w:val="22"/>
          <w:szCs w:val="22"/>
          <w:lang w:val="fr-FR"/>
        </w:rPr>
        <w:t xml:space="preserve">A15. </w:t>
      </w:r>
      <w:r w:rsidR="00E65BAB" w:rsidRPr="00E65BAB">
        <w:rPr>
          <w:rFonts w:asciiTheme="minorHAnsi" w:hAnsiTheme="minorHAnsi"/>
          <w:b/>
          <w:sz w:val="22"/>
          <w:szCs w:val="22"/>
          <w:lang w:val="fr-FR"/>
        </w:rPr>
        <w:t xml:space="preserve">Il n'est pas approprié d'associer des inhibiteurs du SRA (IEC, ARA, inhibiteur direct de la rénine) et des diurétiques </w:t>
      </w:r>
      <w:proofErr w:type="spellStart"/>
      <w:r w:rsidR="00E65BAB" w:rsidRPr="00E65BAB">
        <w:rPr>
          <w:rFonts w:asciiTheme="minorHAnsi" w:hAnsiTheme="minorHAnsi"/>
          <w:b/>
          <w:sz w:val="22"/>
          <w:szCs w:val="22"/>
          <w:lang w:val="fr-FR"/>
        </w:rPr>
        <w:t>épargneurs</w:t>
      </w:r>
      <w:proofErr w:type="spellEnd"/>
      <w:r w:rsidR="00E65BAB" w:rsidRPr="00E65BAB">
        <w:rPr>
          <w:rFonts w:asciiTheme="minorHAnsi" w:hAnsiTheme="minorHAnsi"/>
          <w:b/>
          <w:sz w:val="22"/>
          <w:szCs w:val="22"/>
          <w:lang w:val="fr-FR"/>
        </w:rPr>
        <w:t xml:space="preserve"> de potassium (</w:t>
      </w:r>
      <w:proofErr w:type="spellStart"/>
      <w:r w:rsidR="00E65BAB" w:rsidRPr="00E65BAB">
        <w:rPr>
          <w:rFonts w:asciiTheme="minorHAnsi" w:hAnsiTheme="minorHAnsi"/>
          <w:b/>
          <w:sz w:val="22"/>
          <w:szCs w:val="22"/>
          <w:lang w:val="fr-FR"/>
        </w:rPr>
        <w:t>spironolactone</w:t>
      </w:r>
      <w:proofErr w:type="spellEnd"/>
      <w:r w:rsidR="00E65BAB" w:rsidRPr="00E65BAB">
        <w:rPr>
          <w:rFonts w:asciiTheme="minorHAnsi" w:hAnsiTheme="minorHAnsi"/>
          <w:b/>
          <w:sz w:val="22"/>
          <w:szCs w:val="22"/>
          <w:lang w:val="fr-FR"/>
        </w:rPr>
        <w:t xml:space="preserve">, </w:t>
      </w:r>
      <w:proofErr w:type="spellStart"/>
      <w:r w:rsidR="00E65BAB" w:rsidRPr="00E65BAB">
        <w:rPr>
          <w:rFonts w:asciiTheme="minorHAnsi" w:hAnsiTheme="minorHAnsi"/>
          <w:b/>
          <w:sz w:val="22"/>
          <w:szCs w:val="22"/>
          <w:lang w:val="fr-FR"/>
        </w:rPr>
        <w:t>éplérénone</w:t>
      </w:r>
      <w:proofErr w:type="spellEnd"/>
      <w:r w:rsidR="00E65BAB" w:rsidRPr="00E65BAB">
        <w:rPr>
          <w:rFonts w:asciiTheme="minorHAnsi" w:hAnsiTheme="minorHAnsi"/>
          <w:b/>
          <w:sz w:val="22"/>
          <w:szCs w:val="22"/>
          <w:lang w:val="fr-FR"/>
        </w:rPr>
        <w:t xml:space="preserve">, </w:t>
      </w:r>
      <w:proofErr w:type="spellStart"/>
      <w:r w:rsidR="00E65BAB" w:rsidRPr="00E65BAB">
        <w:rPr>
          <w:rFonts w:asciiTheme="minorHAnsi" w:hAnsiTheme="minorHAnsi"/>
          <w:b/>
          <w:sz w:val="22"/>
          <w:szCs w:val="22"/>
          <w:lang w:val="fr-FR"/>
        </w:rPr>
        <w:t>amiloride</w:t>
      </w:r>
      <w:proofErr w:type="spellEnd"/>
      <w:r w:rsidR="00E65BAB" w:rsidRPr="00E65BAB">
        <w:rPr>
          <w:rFonts w:asciiTheme="minorHAnsi" w:hAnsiTheme="minorHAnsi"/>
          <w:b/>
          <w:sz w:val="22"/>
          <w:szCs w:val="22"/>
          <w:lang w:val="fr-FR"/>
        </w:rPr>
        <w:t xml:space="preserve">, </w:t>
      </w:r>
      <w:proofErr w:type="spellStart"/>
      <w:r w:rsidR="00E65BAB" w:rsidRPr="00E65BAB">
        <w:rPr>
          <w:rFonts w:asciiTheme="minorHAnsi" w:hAnsiTheme="minorHAnsi"/>
          <w:b/>
          <w:sz w:val="22"/>
          <w:szCs w:val="22"/>
          <w:lang w:val="fr-FR"/>
        </w:rPr>
        <w:t>triamtérène</w:t>
      </w:r>
      <w:proofErr w:type="spellEnd"/>
      <w:r w:rsidR="00E65BAB" w:rsidRPr="00E65BAB">
        <w:rPr>
          <w:rFonts w:asciiTheme="minorHAnsi" w:hAnsiTheme="minorHAnsi"/>
          <w:b/>
          <w:sz w:val="22"/>
          <w:szCs w:val="22"/>
          <w:lang w:val="fr-FR"/>
        </w:rPr>
        <w:t>) sans surveiller la kaliémie (risque d'hyperkaliémie dangereuse).</w:t>
      </w:r>
      <w:r w:rsidR="00E65BAB">
        <w:rPr>
          <w:rFonts w:asciiTheme="minorHAnsi" w:hAnsiTheme="minorHAnsi"/>
          <w:b/>
          <w:sz w:val="22"/>
          <w:szCs w:val="22"/>
          <w:lang w:val="fr-FR"/>
        </w:rPr>
        <w:t xml:space="preserve"> </w:t>
      </w:r>
    </w:p>
    <w:p w14:paraId="6AC43497" w14:textId="77777777" w:rsidR="00E65BAB" w:rsidRDefault="00E65BAB" w:rsidP="0043334F">
      <w:pPr>
        <w:spacing w:after="100" w:afterAutospacing="1"/>
        <w:contextualSpacing/>
        <w:jc w:val="both"/>
        <w:rPr>
          <w:rFonts w:asciiTheme="minorHAnsi" w:hAnsiTheme="minorHAnsi"/>
          <w:i/>
          <w:sz w:val="22"/>
          <w:szCs w:val="22"/>
          <w:lang w:val="fr-FR"/>
        </w:rPr>
      </w:pPr>
      <w:r w:rsidRPr="00E65BAB">
        <w:rPr>
          <w:rFonts w:asciiTheme="minorHAnsi" w:hAnsiTheme="minorHAnsi"/>
          <w:i/>
          <w:sz w:val="22"/>
          <w:szCs w:val="22"/>
          <w:lang w:val="fr-FR"/>
        </w:rPr>
        <w:t>*Ce risque est particulièrement élevé chez les patients atteints de diabète sucré, d'insuffisance rénale, les personnes âgées et les personnes prenant des suppléments de sel de potassium.</w:t>
      </w:r>
      <w:r>
        <w:rPr>
          <w:rFonts w:asciiTheme="minorHAnsi" w:hAnsiTheme="minorHAnsi"/>
          <w:i/>
          <w:sz w:val="22"/>
          <w:szCs w:val="22"/>
          <w:lang w:val="fr-FR"/>
        </w:rPr>
        <w:t xml:space="preserve"> </w:t>
      </w:r>
    </w:p>
    <w:p w14:paraId="58C5921C" w14:textId="77777777" w:rsidR="00E86B5B" w:rsidRPr="00E21AE0" w:rsidRDefault="00E86B5B" w:rsidP="0043334F">
      <w:pPr>
        <w:contextualSpacing/>
        <w:jc w:val="both"/>
        <w:rPr>
          <w:rFonts w:asciiTheme="minorHAnsi" w:hAnsiTheme="minorHAnsi"/>
          <w:b/>
          <w:color w:val="000000" w:themeColor="text1"/>
          <w:sz w:val="22"/>
          <w:szCs w:val="22"/>
          <w:lang w:val="fr-FR"/>
        </w:rPr>
      </w:pPr>
    </w:p>
    <w:p w14:paraId="2E8320E0" w14:textId="77777777" w:rsidR="00E86B5B" w:rsidRPr="00E21AE0" w:rsidRDefault="00E86B5B" w:rsidP="0043334F">
      <w:pPr>
        <w:contextualSpacing/>
        <w:jc w:val="both"/>
        <w:rPr>
          <w:rFonts w:asciiTheme="minorHAnsi" w:hAnsiTheme="minorHAnsi"/>
          <w:b/>
          <w:color w:val="000000" w:themeColor="text1"/>
          <w:sz w:val="22"/>
          <w:szCs w:val="22"/>
          <w:lang w:val="fr-FR"/>
        </w:rPr>
      </w:pPr>
    </w:p>
    <w:p w14:paraId="152AC51A" w14:textId="77777777" w:rsidR="00E65BAB" w:rsidRDefault="003814F4" w:rsidP="0043334F">
      <w:pPr>
        <w:contextualSpacing/>
        <w:jc w:val="both"/>
        <w:rPr>
          <w:rFonts w:asciiTheme="minorHAnsi" w:hAnsiTheme="minorHAnsi"/>
          <w:b/>
          <w:color w:val="000000" w:themeColor="text1"/>
          <w:sz w:val="22"/>
          <w:szCs w:val="22"/>
          <w:lang w:val="fr-FR"/>
        </w:rPr>
      </w:pPr>
      <w:r w:rsidRPr="00E21AE0">
        <w:rPr>
          <w:rFonts w:asciiTheme="minorHAnsi" w:hAnsiTheme="minorHAnsi"/>
          <w:b/>
          <w:color w:val="000000" w:themeColor="text1"/>
          <w:sz w:val="22"/>
          <w:szCs w:val="22"/>
          <w:lang w:val="fr-FR"/>
        </w:rPr>
        <w:t xml:space="preserve">A16. </w:t>
      </w:r>
      <w:r w:rsidR="00E65BAB" w:rsidRPr="00E65BAB">
        <w:rPr>
          <w:rFonts w:asciiTheme="minorHAnsi" w:hAnsiTheme="minorHAnsi"/>
          <w:b/>
          <w:color w:val="000000" w:themeColor="text1"/>
          <w:sz w:val="22"/>
          <w:szCs w:val="22"/>
          <w:lang w:val="fr-FR"/>
        </w:rPr>
        <w:t xml:space="preserve">Les médicaments d'épargne potassique (antagonistes de l'aldostérone, </w:t>
      </w:r>
      <w:proofErr w:type="spellStart"/>
      <w:r w:rsidR="00E65BAB" w:rsidRPr="00E65BAB">
        <w:rPr>
          <w:rFonts w:asciiTheme="minorHAnsi" w:hAnsiTheme="minorHAnsi"/>
          <w:b/>
          <w:color w:val="000000" w:themeColor="text1"/>
          <w:sz w:val="22"/>
          <w:szCs w:val="22"/>
          <w:lang w:val="fr-FR"/>
        </w:rPr>
        <w:t>triamtérène</w:t>
      </w:r>
      <w:proofErr w:type="spellEnd"/>
      <w:r w:rsidR="00E65BAB" w:rsidRPr="00E65BAB">
        <w:rPr>
          <w:rFonts w:asciiTheme="minorHAnsi" w:hAnsiTheme="minorHAnsi"/>
          <w:b/>
          <w:color w:val="000000" w:themeColor="text1"/>
          <w:sz w:val="22"/>
          <w:szCs w:val="22"/>
          <w:lang w:val="fr-FR"/>
        </w:rPr>
        <w:t xml:space="preserve">, </w:t>
      </w:r>
      <w:proofErr w:type="spellStart"/>
      <w:r w:rsidR="00E65BAB" w:rsidRPr="00E65BAB">
        <w:rPr>
          <w:rFonts w:asciiTheme="minorHAnsi" w:hAnsiTheme="minorHAnsi"/>
          <w:b/>
          <w:color w:val="000000" w:themeColor="text1"/>
          <w:sz w:val="22"/>
          <w:szCs w:val="22"/>
          <w:lang w:val="fr-FR"/>
        </w:rPr>
        <w:t>amiloride</w:t>
      </w:r>
      <w:proofErr w:type="spellEnd"/>
      <w:r w:rsidR="00E65BAB" w:rsidRPr="00E65BAB">
        <w:rPr>
          <w:rFonts w:asciiTheme="minorHAnsi" w:hAnsiTheme="minorHAnsi"/>
          <w:b/>
          <w:color w:val="000000" w:themeColor="text1"/>
          <w:sz w:val="22"/>
          <w:szCs w:val="22"/>
          <w:lang w:val="fr-FR"/>
        </w:rPr>
        <w:t>, IECA, ARA) ne conviennent pas aux patients avec un DFG &lt; 30 ml/min/1,73 m2 et dont la kaliémie ne peut être étroitement surveillée (risque d'hyperkaliémie).</w:t>
      </w:r>
      <w:r w:rsidR="00E65BAB">
        <w:rPr>
          <w:rFonts w:asciiTheme="minorHAnsi" w:hAnsiTheme="minorHAnsi"/>
          <w:b/>
          <w:color w:val="000000" w:themeColor="text1"/>
          <w:sz w:val="22"/>
          <w:szCs w:val="22"/>
          <w:lang w:val="fr-FR"/>
        </w:rPr>
        <w:t xml:space="preserve"> </w:t>
      </w:r>
    </w:p>
    <w:p w14:paraId="14CCE8E6" w14:textId="77777777" w:rsidR="00E65BAB" w:rsidRDefault="00E65BAB" w:rsidP="0043334F">
      <w:pPr>
        <w:contextualSpacing/>
        <w:jc w:val="both"/>
        <w:rPr>
          <w:rFonts w:asciiTheme="minorHAnsi" w:hAnsiTheme="minorHAnsi"/>
          <w:b/>
          <w:color w:val="000000" w:themeColor="text1"/>
          <w:sz w:val="22"/>
          <w:szCs w:val="22"/>
          <w:lang w:val="fr-FR"/>
        </w:rPr>
      </w:pPr>
    </w:p>
    <w:p w14:paraId="486442FF" w14:textId="77777777" w:rsidR="009B4E92" w:rsidRPr="00E21AE0" w:rsidRDefault="009B4E92" w:rsidP="0043334F">
      <w:pPr>
        <w:contextualSpacing/>
        <w:jc w:val="both"/>
        <w:rPr>
          <w:rFonts w:asciiTheme="minorHAnsi" w:hAnsiTheme="minorHAnsi"/>
          <w:b/>
          <w:color w:val="000000" w:themeColor="text1"/>
          <w:sz w:val="22"/>
          <w:szCs w:val="22"/>
          <w:lang w:val="fr-FR"/>
        </w:rPr>
      </w:pPr>
    </w:p>
    <w:p w14:paraId="496B1557" w14:textId="544656DF" w:rsidR="00C75B3A" w:rsidRPr="00E21AE0" w:rsidRDefault="006C24B0" w:rsidP="0043334F">
      <w:pPr>
        <w:spacing w:before="100" w:beforeAutospacing="1" w:after="100" w:afterAutospacing="1"/>
        <w:contextualSpacing/>
        <w:jc w:val="both"/>
        <w:rPr>
          <w:rFonts w:asciiTheme="minorHAnsi" w:hAnsiTheme="minorHAnsi"/>
          <w:b/>
          <w:sz w:val="22"/>
          <w:szCs w:val="22"/>
          <w:lang w:val="fr-FR"/>
        </w:rPr>
      </w:pPr>
      <w:r w:rsidRPr="00E21AE0">
        <w:rPr>
          <w:rFonts w:asciiTheme="minorHAnsi" w:hAnsiTheme="minorHAnsi"/>
          <w:b/>
          <w:sz w:val="22"/>
          <w:szCs w:val="22"/>
          <w:lang w:val="fr-FR"/>
        </w:rPr>
        <w:t>A17.</w:t>
      </w:r>
      <w:r w:rsidR="00181929" w:rsidRPr="00E21AE0">
        <w:rPr>
          <w:rFonts w:asciiTheme="minorHAnsi" w:hAnsiTheme="minorHAnsi"/>
          <w:b/>
          <w:sz w:val="22"/>
          <w:szCs w:val="22"/>
          <w:lang w:val="fr-FR"/>
        </w:rPr>
        <w:t xml:space="preserve"> </w:t>
      </w:r>
      <w:r w:rsidR="00E65BAB" w:rsidRPr="00E65BAB">
        <w:rPr>
          <w:rFonts w:asciiTheme="minorHAnsi" w:hAnsiTheme="minorHAnsi"/>
          <w:b/>
          <w:sz w:val="22"/>
          <w:szCs w:val="22"/>
          <w:lang w:val="fr-FR"/>
        </w:rPr>
        <w:t xml:space="preserve">Les diurétiques thiazidiques ne conviennent pas aux patients ayant des antécédents d'hypokaliémie significative (K sérique &lt; 3,0 mg/L), d'hyponatrémie (Na sérique &lt; 130 </w:t>
      </w:r>
      <w:proofErr w:type="spellStart"/>
      <w:r w:rsidR="00E65BAB" w:rsidRPr="00E65BAB">
        <w:rPr>
          <w:rFonts w:asciiTheme="minorHAnsi" w:hAnsiTheme="minorHAnsi"/>
          <w:b/>
          <w:sz w:val="22"/>
          <w:szCs w:val="22"/>
          <w:lang w:val="fr-FR"/>
        </w:rPr>
        <w:t>mEq</w:t>
      </w:r>
      <w:proofErr w:type="spellEnd"/>
      <w:r w:rsidR="00E65BAB" w:rsidRPr="00E65BAB">
        <w:rPr>
          <w:rFonts w:asciiTheme="minorHAnsi" w:hAnsiTheme="minorHAnsi"/>
          <w:b/>
          <w:sz w:val="22"/>
          <w:szCs w:val="22"/>
          <w:lang w:val="fr-FR"/>
        </w:rPr>
        <w:t>/L), d'hypercalcémie (</w:t>
      </w:r>
      <w:proofErr w:type="gramStart"/>
      <w:r w:rsidR="00E65BAB" w:rsidRPr="00E65BAB">
        <w:rPr>
          <w:rFonts w:asciiTheme="minorHAnsi" w:hAnsiTheme="minorHAnsi"/>
          <w:b/>
          <w:sz w:val="22"/>
          <w:szCs w:val="22"/>
          <w:lang w:val="fr-FR"/>
        </w:rPr>
        <w:t>Ca</w:t>
      </w:r>
      <w:proofErr w:type="gramEnd"/>
      <w:r w:rsidR="00E65BAB" w:rsidRPr="00E65BAB">
        <w:rPr>
          <w:rFonts w:asciiTheme="minorHAnsi" w:hAnsiTheme="minorHAnsi"/>
          <w:b/>
          <w:sz w:val="22"/>
          <w:szCs w:val="22"/>
          <w:lang w:val="fr-FR"/>
        </w:rPr>
        <w:t xml:space="preserve"> sérique corrigé &gt; 10,6 mg/</w:t>
      </w:r>
      <w:proofErr w:type="spellStart"/>
      <w:r w:rsidR="00E65BAB" w:rsidRPr="00E65BAB">
        <w:rPr>
          <w:rFonts w:asciiTheme="minorHAnsi" w:hAnsiTheme="minorHAnsi"/>
          <w:b/>
          <w:sz w:val="22"/>
          <w:szCs w:val="22"/>
          <w:lang w:val="fr-FR"/>
        </w:rPr>
        <w:t>dL</w:t>
      </w:r>
      <w:proofErr w:type="spellEnd"/>
      <w:r w:rsidR="00E65BAB" w:rsidRPr="00E65BAB">
        <w:rPr>
          <w:rFonts w:asciiTheme="minorHAnsi" w:hAnsiTheme="minorHAnsi"/>
          <w:b/>
          <w:sz w:val="22"/>
          <w:szCs w:val="22"/>
          <w:lang w:val="fr-FR"/>
        </w:rPr>
        <w:t>) ou de goutte</w:t>
      </w:r>
    </w:p>
    <w:p w14:paraId="2C1E893E" w14:textId="77777777" w:rsidR="0077695B" w:rsidRPr="00E21AE0" w:rsidRDefault="0077695B" w:rsidP="0043334F">
      <w:pPr>
        <w:spacing w:before="100" w:beforeAutospacing="1" w:after="100" w:afterAutospacing="1"/>
        <w:contextualSpacing/>
        <w:jc w:val="both"/>
        <w:rPr>
          <w:rFonts w:asciiTheme="minorHAnsi" w:hAnsiTheme="minorHAnsi"/>
          <w:b/>
          <w:sz w:val="22"/>
          <w:szCs w:val="22"/>
          <w:lang w:val="fr-FR"/>
        </w:rPr>
      </w:pPr>
    </w:p>
    <w:p w14:paraId="2FED048F" w14:textId="77777777" w:rsidR="009B4E92" w:rsidRPr="00E21AE0" w:rsidRDefault="009B4E92" w:rsidP="0043334F">
      <w:pPr>
        <w:spacing w:before="100" w:beforeAutospacing="1" w:after="100" w:afterAutospacing="1"/>
        <w:contextualSpacing/>
        <w:jc w:val="both"/>
        <w:rPr>
          <w:rFonts w:asciiTheme="minorHAnsi" w:hAnsiTheme="minorHAnsi"/>
          <w:b/>
          <w:sz w:val="22"/>
          <w:szCs w:val="22"/>
          <w:lang w:val="fr-FR"/>
        </w:rPr>
      </w:pPr>
    </w:p>
    <w:p w14:paraId="28128A72" w14:textId="77777777" w:rsidR="00105255" w:rsidRDefault="006C24B0" w:rsidP="0043334F">
      <w:pPr>
        <w:spacing w:before="100" w:beforeAutospacing="1"/>
        <w:contextualSpacing/>
        <w:jc w:val="both"/>
        <w:rPr>
          <w:rFonts w:asciiTheme="minorHAnsi" w:hAnsiTheme="minorHAnsi"/>
          <w:b/>
          <w:sz w:val="22"/>
          <w:szCs w:val="22"/>
          <w:lang w:val="fr-FR"/>
        </w:rPr>
      </w:pPr>
      <w:r w:rsidRPr="00E21AE0">
        <w:rPr>
          <w:rFonts w:asciiTheme="minorHAnsi" w:hAnsiTheme="minorHAnsi"/>
          <w:b/>
          <w:sz w:val="22"/>
          <w:szCs w:val="22"/>
          <w:lang w:val="fr-FR"/>
        </w:rPr>
        <w:t>A18.</w:t>
      </w:r>
      <w:r w:rsidR="00181929" w:rsidRPr="00E21AE0">
        <w:rPr>
          <w:rFonts w:asciiTheme="minorHAnsi" w:hAnsiTheme="minorHAnsi"/>
          <w:b/>
          <w:sz w:val="22"/>
          <w:szCs w:val="22"/>
          <w:lang w:val="fr-FR"/>
        </w:rPr>
        <w:t xml:space="preserve"> </w:t>
      </w:r>
      <w:r w:rsidR="00105255" w:rsidRPr="00105255">
        <w:rPr>
          <w:rFonts w:asciiTheme="minorHAnsi" w:hAnsiTheme="minorHAnsi"/>
          <w:b/>
          <w:sz w:val="22"/>
          <w:szCs w:val="22"/>
          <w:lang w:val="fr-FR"/>
        </w:rPr>
        <w:t xml:space="preserve">L'utilisation d'AINS n'est pas appropriée chez les patients atteints de maladies cardiovasculaires (hypertension sévère, insuffisance cardiaque ou antécédents d'IM, accident vasculaire cérébral) </w:t>
      </w:r>
      <w:r w:rsidR="00105255" w:rsidRPr="00105255">
        <w:rPr>
          <w:rFonts w:asciiTheme="minorHAnsi" w:hAnsiTheme="minorHAnsi"/>
          <w:b/>
          <w:sz w:val="22"/>
          <w:szCs w:val="22"/>
          <w:lang w:val="fr-FR"/>
        </w:rPr>
        <w:lastRenderedPageBreak/>
        <w:t>(augmentation des événements cardiovasculaires : risque d'IM, d'accident vasculaire cérébral, d'insuffisance cardiaque et de décès)</w:t>
      </w:r>
      <w:r w:rsidR="00105255">
        <w:rPr>
          <w:rFonts w:asciiTheme="minorHAnsi" w:hAnsiTheme="minorHAnsi"/>
          <w:b/>
          <w:sz w:val="22"/>
          <w:szCs w:val="22"/>
          <w:lang w:val="fr-FR"/>
        </w:rPr>
        <w:t xml:space="preserve"> </w:t>
      </w:r>
    </w:p>
    <w:p w14:paraId="4BCE5DB7" w14:textId="77777777" w:rsidR="00105255" w:rsidRDefault="00105255" w:rsidP="0043334F">
      <w:pPr>
        <w:contextualSpacing/>
        <w:jc w:val="both"/>
        <w:rPr>
          <w:rFonts w:asciiTheme="minorHAnsi" w:hAnsiTheme="minorHAnsi"/>
          <w:i/>
          <w:sz w:val="22"/>
          <w:szCs w:val="22"/>
          <w:lang w:val="fr-FR"/>
        </w:rPr>
      </w:pPr>
      <w:r w:rsidRPr="00105255">
        <w:rPr>
          <w:rFonts w:asciiTheme="minorHAnsi" w:hAnsiTheme="minorHAnsi"/>
          <w:i/>
          <w:sz w:val="22"/>
          <w:szCs w:val="22"/>
          <w:lang w:val="fr-FR"/>
        </w:rPr>
        <w:t xml:space="preserve">*Dans les cas où l'utilisation d'AINS est cliniquement indiquée, une utilisation à court terme avec une surveillance clinique étroite et à la dose la plus faible possible peut être préférée. </w:t>
      </w:r>
    </w:p>
    <w:p w14:paraId="37A5F941" w14:textId="77777777" w:rsidR="00105255" w:rsidRDefault="00105255" w:rsidP="0043334F">
      <w:pPr>
        <w:contextualSpacing/>
        <w:jc w:val="both"/>
        <w:rPr>
          <w:rFonts w:asciiTheme="minorHAnsi" w:hAnsiTheme="minorHAnsi"/>
          <w:i/>
          <w:sz w:val="22"/>
          <w:szCs w:val="22"/>
          <w:lang w:val="fr-FR"/>
        </w:rPr>
      </w:pPr>
      <w:r w:rsidRPr="00105255">
        <w:rPr>
          <w:rFonts w:asciiTheme="minorHAnsi" w:hAnsiTheme="minorHAnsi"/>
          <w:i/>
          <w:sz w:val="22"/>
          <w:szCs w:val="22"/>
          <w:lang w:val="fr-FR"/>
        </w:rPr>
        <w:t xml:space="preserve">* Bien que tous les AINS soient risqués d'un point de vue cardiovasculaire, le </w:t>
      </w:r>
      <w:proofErr w:type="spellStart"/>
      <w:r w:rsidRPr="00105255">
        <w:rPr>
          <w:rFonts w:asciiTheme="minorHAnsi" w:hAnsiTheme="minorHAnsi"/>
          <w:i/>
          <w:sz w:val="22"/>
          <w:szCs w:val="22"/>
          <w:lang w:val="fr-FR"/>
        </w:rPr>
        <w:t>naproxène</w:t>
      </w:r>
      <w:proofErr w:type="spellEnd"/>
      <w:r w:rsidRPr="00105255">
        <w:rPr>
          <w:rFonts w:asciiTheme="minorHAnsi" w:hAnsiTheme="minorHAnsi"/>
          <w:i/>
          <w:sz w:val="22"/>
          <w:szCs w:val="22"/>
          <w:lang w:val="fr-FR"/>
        </w:rPr>
        <w:t xml:space="preserve"> et l'ibuprofène peuvent être relativement sûrs. </w:t>
      </w:r>
    </w:p>
    <w:p w14:paraId="3458E34B" w14:textId="46EE1B9C" w:rsidR="00105255" w:rsidRDefault="00105255" w:rsidP="0043334F">
      <w:pPr>
        <w:contextualSpacing/>
        <w:jc w:val="both"/>
        <w:rPr>
          <w:rFonts w:asciiTheme="minorHAnsi" w:hAnsiTheme="minorHAnsi"/>
          <w:i/>
          <w:sz w:val="22"/>
          <w:szCs w:val="22"/>
          <w:lang w:val="fr-FR"/>
        </w:rPr>
      </w:pPr>
      <w:r w:rsidRPr="00105255">
        <w:rPr>
          <w:rFonts w:asciiTheme="minorHAnsi" w:hAnsiTheme="minorHAnsi"/>
          <w:i/>
          <w:sz w:val="22"/>
          <w:szCs w:val="22"/>
          <w:lang w:val="fr-FR"/>
        </w:rPr>
        <w:t>* Si des AINS doivent être administrés à un patient utilisant de l'aspirine, il peut être plus approprié de les administrer au moins 2 heures après l'aspirine.</w:t>
      </w:r>
    </w:p>
    <w:p w14:paraId="19B61508" w14:textId="77777777" w:rsidR="00105255" w:rsidRDefault="00105255" w:rsidP="0043334F">
      <w:pPr>
        <w:contextualSpacing/>
        <w:jc w:val="both"/>
        <w:rPr>
          <w:rFonts w:asciiTheme="minorHAnsi" w:hAnsiTheme="minorHAnsi"/>
          <w:i/>
          <w:sz w:val="22"/>
          <w:szCs w:val="22"/>
          <w:lang w:val="fr-FR"/>
        </w:rPr>
      </w:pPr>
    </w:p>
    <w:p w14:paraId="05A6FCC9" w14:textId="77777777" w:rsidR="00D03264" w:rsidRPr="00E21AE0" w:rsidRDefault="00D03264"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lang w:val="fr-FR"/>
        </w:rPr>
      </w:pPr>
    </w:p>
    <w:p w14:paraId="723C698B" w14:textId="033C849A" w:rsidR="006C24B0" w:rsidRPr="00E21AE0" w:rsidRDefault="006C24B0" w:rsidP="0043334F">
      <w:pPr>
        <w:spacing w:before="100" w:beforeAutospacing="1" w:after="100" w:afterAutospacing="1"/>
        <w:contextualSpacing/>
        <w:jc w:val="both"/>
        <w:rPr>
          <w:rFonts w:asciiTheme="minorHAnsi" w:hAnsiTheme="minorHAnsi"/>
          <w:b/>
          <w:sz w:val="22"/>
          <w:szCs w:val="22"/>
          <w:lang w:val="fr-FR"/>
        </w:rPr>
      </w:pPr>
      <w:r w:rsidRPr="00E21AE0">
        <w:rPr>
          <w:rFonts w:asciiTheme="minorHAnsi" w:hAnsiTheme="minorHAnsi"/>
          <w:b/>
          <w:sz w:val="22"/>
          <w:szCs w:val="22"/>
          <w:lang w:val="fr-FR"/>
        </w:rPr>
        <w:t>A19.</w:t>
      </w:r>
      <w:r w:rsidR="00181929" w:rsidRPr="00E21AE0">
        <w:rPr>
          <w:rFonts w:asciiTheme="minorHAnsi" w:hAnsiTheme="minorHAnsi"/>
          <w:b/>
          <w:sz w:val="22"/>
          <w:szCs w:val="22"/>
          <w:lang w:val="fr-FR"/>
        </w:rPr>
        <w:t xml:space="preserve"> </w:t>
      </w:r>
      <w:r w:rsidR="00105255" w:rsidRPr="00105255">
        <w:rPr>
          <w:rFonts w:asciiTheme="minorHAnsi" w:hAnsiTheme="minorHAnsi"/>
          <w:b/>
          <w:sz w:val="22"/>
          <w:szCs w:val="22"/>
          <w:lang w:val="fr-FR"/>
        </w:rPr>
        <w:t xml:space="preserve">Les </w:t>
      </w:r>
      <w:proofErr w:type="spellStart"/>
      <w:r w:rsidR="00105255" w:rsidRPr="00105255">
        <w:rPr>
          <w:rFonts w:asciiTheme="minorHAnsi" w:hAnsiTheme="minorHAnsi"/>
          <w:b/>
          <w:sz w:val="22"/>
          <w:szCs w:val="22"/>
          <w:lang w:val="fr-FR"/>
        </w:rPr>
        <w:t>bêta-bloquants</w:t>
      </w:r>
      <w:proofErr w:type="spellEnd"/>
      <w:r w:rsidR="00105255" w:rsidRPr="00105255">
        <w:rPr>
          <w:rFonts w:asciiTheme="minorHAnsi" w:hAnsiTheme="minorHAnsi"/>
          <w:b/>
          <w:sz w:val="22"/>
          <w:szCs w:val="22"/>
          <w:lang w:val="fr-FR"/>
        </w:rPr>
        <w:t xml:space="preserve"> ne conviennent pas aux patients diabétiques présentant des épisodes fréquents d'hypoglycémie (risque de suppression des symptômes hypoglycémiques).</w:t>
      </w:r>
      <w:r w:rsidR="00105255">
        <w:rPr>
          <w:rFonts w:asciiTheme="minorHAnsi" w:hAnsiTheme="minorHAnsi"/>
          <w:b/>
          <w:sz w:val="22"/>
          <w:szCs w:val="22"/>
          <w:lang w:val="fr-FR"/>
        </w:rPr>
        <w:t xml:space="preserve"> </w:t>
      </w:r>
    </w:p>
    <w:p w14:paraId="12A9FCBC" w14:textId="77777777" w:rsidR="009B4E92" w:rsidRPr="00E21AE0" w:rsidRDefault="009B4E92"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val="fr-FR"/>
        </w:rPr>
      </w:pPr>
    </w:p>
    <w:p w14:paraId="1A3F951E" w14:textId="77777777" w:rsidR="00D03264" w:rsidRPr="00E21AE0" w:rsidRDefault="00D03264"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lang w:val="fr-FR"/>
        </w:rPr>
      </w:pPr>
    </w:p>
    <w:p w14:paraId="5ECC0BAA" w14:textId="1AB6ADA6" w:rsidR="00D03264" w:rsidRPr="00E21AE0" w:rsidRDefault="006C24B0" w:rsidP="00105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lang w:val="fr-FR"/>
        </w:rPr>
      </w:pPr>
      <w:r w:rsidRPr="00E21AE0">
        <w:rPr>
          <w:rFonts w:asciiTheme="minorHAnsi" w:hAnsiTheme="minorHAnsi"/>
          <w:b/>
          <w:sz w:val="22"/>
          <w:szCs w:val="22"/>
          <w:lang w:val="fr-FR"/>
        </w:rPr>
        <w:t>A20.</w:t>
      </w:r>
      <w:r w:rsidR="00181929" w:rsidRPr="00E21AE0">
        <w:rPr>
          <w:rFonts w:asciiTheme="minorHAnsi" w:hAnsiTheme="minorHAnsi"/>
          <w:b/>
          <w:sz w:val="22"/>
          <w:szCs w:val="22"/>
          <w:lang w:val="fr-FR"/>
        </w:rPr>
        <w:t xml:space="preserve"> </w:t>
      </w:r>
      <w:r w:rsidR="00105255" w:rsidRPr="00105255">
        <w:rPr>
          <w:rFonts w:asciiTheme="minorHAnsi" w:hAnsiTheme="minorHAnsi"/>
          <w:b/>
          <w:sz w:val="22"/>
          <w:szCs w:val="22"/>
          <w:lang w:val="fr-FR"/>
        </w:rPr>
        <w:t xml:space="preserve">L'utilisation de </w:t>
      </w:r>
      <w:proofErr w:type="spellStart"/>
      <w:r w:rsidR="00105255" w:rsidRPr="00105255">
        <w:rPr>
          <w:rFonts w:asciiTheme="minorHAnsi" w:hAnsiTheme="minorHAnsi"/>
          <w:b/>
          <w:sz w:val="22"/>
          <w:szCs w:val="22"/>
          <w:lang w:val="fr-FR"/>
        </w:rPr>
        <w:t>bêta-bloquants</w:t>
      </w:r>
      <w:proofErr w:type="spellEnd"/>
      <w:r w:rsidR="00105255" w:rsidRPr="00105255">
        <w:rPr>
          <w:rFonts w:asciiTheme="minorHAnsi" w:hAnsiTheme="minorHAnsi"/>
          <w:b/>
          <w:sz w:val="22"/>
          <w:szCs w:val="22"/>
          <w:lang w:val="fr-FR"/>
        </w:rPr>
        <w:t xml:space="preserve"> non sélectifs (oraux ou topiques pour le glaucome) n'est pas appropriée chez les patients ayant des antécédents d'asthme (risque de bronchospasme accru)</w:t>
      </w:r>
    </w:p>
    <w:p w14:paraId="54E869D3" w14:textId="77777777" w:rsidR="009B4E92" w:rsidRPr="00E21AE0" w:rsidRDefault="009B4E92" w:rsidP="0043334F">
      <w:pPr>
        <w:pStyle w:val="HTMLncedenBiimlendirilmi"/>
        <w:contextualSpacing/>
        <w:jc w:val="both"/>
        <w:rPr>
          <w:rFonts w:asciiTheme="minorHAnsi" w:hAnsiTheme="minorHAnsi" w:cstheme="minorHAnsi"/>
          <w:color w:val="000000"/>
          <w:sz w:val="22"/>
          <w:szCs w:val="22"/>
          <w:lang w:val="fr-FR"/>
        </w:rPr>
      </w:pPr>
    </w:p>
    <w:p w14:paraId="2BA3961C" w14:textId="6312D1A8" w:rsidR="006C24B0" w:rsidRPr="00E21AE0" w:rsidRDefault="006C24B0" w:rsidP="0043334F">
      <w:pPr>
        <w:pStyle w:val="HTMLncedenBiimlendirilmi"/>
        <w:contextualSpacing/>
        <w:jc w:val="both"/>
        <w:rPr>
          <w:rFonts w:asciiTheme="minorHAnsi" w:hAnsiTheme="minorHAnsi" w:cs="Times New Roman"/>
          <w:b/>
          <w:color w:val="000000" w:themeColor="text1"/>
          <w:sz w:val="22"/>
          <w:szCs w:val="22"/>
          <w:lang w:val="fr-FR"/>
        </w:rPr>
      </w:pPr>
      <w:r w:rsidRPr="00E21AE0">
        <w:rPr>
          <w:rFonts w:asciiTheme="minorHAnsi" w:hAnsiTheme="minorHAnsi" w:cs="Times New Roman"/>
          <w:b/>
          <w:sz w:val="22"/>
          <w:szCs w:val="22"/>
          <w:lang w:val="fr-FR"/>
        </w:rPr>
        <w:t xml:space="preserve">A21. </w:t>
      </w:r>
      <w:r w:rsidR="00105255" w:rsidRPr="00105255">
        <w:rPr>
          <w:rFonts w:asciiTheme="minorHAnsi" w:hAnsiTheme="minorHAnsi" w:cs="Times New Roman"/>
          <w:b/>
          <w:sz w:val="22"/>
          <w:szCs w:val="22"/>
          <w:lang w:val="fr-FR"/>
        </w:rPr>
        <w:t>L'utilisation chronique d'aspirine à des doses supérieures à 75-150 mg/jour n'est pas appropriée pour la protection cardiovasculaire primaire ou secondaire (pas d'avantage supplémentaire prouvé et augmente le risque de saignement)</w:t>
      </w:r>
    </w:p>
    <w:p w14:paraId="6369DB6A" w14:textId="77777777" w:rsidR="0092741D" w:rsidRPr="00E21AE0" w:rsidRDefault="0092741D" w:rsidP="0043334F">
      <w:pPr>
        <w:spacing w:before="100" w:beforeAutospacing="1" w:after="100" w:afterAutospacing="1"/>
        <w:contextualSpacing/>
        <w:jc w:val="both"/>
        <w:rPr>
          <w:rFonts w:asciiTheme="minorHAnsi" w:hAnsiTheme="minorHAnsi"/>
          <w:b/>
          <w:sz w:val="22"/>
          <w:szCs w:val="22"/>
          <w:lang w:val="fr-FR"/>
        </w:rPr>
      </w:pPr>
    </w:p>
    <w:p w14:paraId="6F136C9D" w14:textId="77777777" w:rsidR="009B4E92" w:rsidRPr="00E21AE0" w:rsidRDefault="009B4E92" w:rsidP="0043334F">
      <w:pPr>
        <w:spacing w:before="100" w:beforeAutospacing="1" w:after="100" w:afterAutospacing="1"/>
        <w:contextualSpacing/>
        <w:jc w:val="both"/>
        <w:rPr>
          <w:rFonts w:asciiTheme="minorHAnsi" w:hAnsiTheme="minorHAnsi"/>
          <w:b/>
          <w:sz w:val="22"/>
          <w:szCs w:val="22"/>
          <w:lang w:val="fr-FR"/>
        </w:rPr>
      </w:pPr>
    </w:p>
    <w:p w14:paraId="0BEC48F5" w14:textId="3F369C12" w:rsidR="00C07788" w:rsidRDefault="00E66E29" w:rsidP="0043334F">
      <w:pPr>
        <w:spacing w:before="100" w:beforeAutospacing="1" w:after="100" w:afterAutospacing="1"/>
        <w:contextualSpacing/>
        <w:jc w:val="both"/>
        <w:rPr>
          <w:rFonts w:asciiTheme="minorHAnsi" w:hAnsiTheme="minorHAnsi"/>
          <w:b/>
          <w:sz w:val="22"/>
          <w:szCs w:val="22"/>
          <w:lang w:val="fr-FR"/>
        </w:rPr>
      </w:pPr>
      <w:r w:rsidRPr="00E21AE0">
        <w:rPr>
          <w:rFonts w:ascii="Calibri" w:hAnsi="Calibri" w:cs="Calibri"/>
          <w:b/>
          <w:sz w:val="22"/>
          <w:szCs w:val="22"/>
          <w:lang w:val="fr-FR"/>
        </w:rPr>
        <w:t>#</w:t>
      </w:r>
      <w:r w:rsidR="006C24B0" w:rsidRPr="00E21AE0">
        <w:rPr>
          <w:rFonts w:asciiTheme="minorHAnsi" w:hAnsiTheme="minorHAnsi"/>
          <w:b/>
          <w:sz w:val="22"/>
          <w:szCs w:val="22"/>
          <w:lang w:val="fr-FR"/>
        </w:rPr>
        <w:t xml:space="preserve">A22. </w:t>
      </w:r>
      <w:r w:rsidR="00C07788" w:rsidRPr="00C07788">
        <w:rPr>
          <w:rFonts w:asciiTheme="minorHAnsi" w:hAnsiTheme="minorHAnsi"/>
          <w:b/>
          <w:sz w:val="22"/>
          <w:szCs w:val="22"/>
          <w:lang w:val="fr-FR"/>
        </w:rPr>
        <w:t xml:space="preserve">L'utilisation d'aspirine, de </w:t>
      </w:r>
      <w:proofErr w:type="spellStart"/>
      <w:r w:rsidR="00C07788" w:rsidRPr="00C07788">
        <w:rPr>
          <w:rFonts w:asciiTheme="minorHAnsi" w:hAnsiTheme="minorHAnsi"/>
          <w:b/>
          <w:sz w:val="22"/>
          <w:szCs w:val="22"/>
          <w:lang w:val="fr-FR"/>
        </w:rPr>
        <w:t>clopidogrel</w:t>
      </w:r>
      <w:proofErr w:type="spellEnd"/>
      <w:r w:rsidR="00C07788" w:rsidRPr="00C07788">
        <w:rPr>
          <w:rFonts w:asciiTheme="minorHAnsi" w:hAnsiTheme="minorHAnsi"/>
          <w:b/>
          <w:sz w:val="22"/>
          <w:szCs w:val="22"/>
          <w:lang w:val="fr-FR"/>
        </w:rPr>
        <w:t xml:space="preserve">, de </w:t>
      </w:r>
      <w:proofErr w:type="spellStart"/>
      <w:r w:rsidR="00C07788" w:rsidRPr="00C07788">
        <w:rPr>
          <w:rFonts w:asciiTheme="minorHAnsi" w:hAnsiTheme="minorHAnsi"/>
          <w:b/>
          <w:sz w:val="22"/>
          <w:szCs w:val="22"/>
          <w:lang w:val="fr-FR"/>
        </w:rPr>
        <w:t>dipyridamole</w:t>
      </w:r>
      <w:proofErr w:type="spellEnd"/>
      <w:r w:rsidR="00C07788" w:rsidRPr="00C07788">
        <w:rPr>
          <w:rFonts w:asciiTheme="minorHAnsi" w:hAnsiTheme="minorHAnsi"/>
          <w:b/>
          <w:sz w:val="22"/>
          <w:szCs w:val="22"/>
          <w:lang w:val="fr-FR"/>
        </w:rPr>
        <w:t xml:space="preserve"> et d'OAK (antagonistes de la vitamine K, inhibiteur direct de la thrombine ou inhibiteurs du facteur </w:t>
      </w:r>
      <w:proofErr w:type="spellStart"/>
      <w:r w:rsidR="00C07788" w:rsidRPr="00C07788">
        <w:rPr>
          <w:rFonts w:asciiTheme="minorHAnsi" w:hAnsiTheme="minorHAnsi"/>
          <w:b/>
          <w:sz w:val="22"/>
          <w:szCs w:val="22"/>
          <w:lang w:val="fr-FR"/>
        </w:rPr>
        <w:t>Xa</w:t>
      </w:r>
      <w:proofErr w:type="spellEnd"/>
      <w:r w:rsidR="00C07788" w:rsidRPr="00C07788">
        <w:rPr>
          <w:rFonts w:asciiTheme="minorHAnsi" w:hAnsiTheme="minorHAnsi"/>
          <w:b/>
          <w:sz w:val="22"/>
          <w:szCs w:val="22"/>
          <w:lang w:val="fr-FR"/>
        </w:rPr>
        <w:t>) n'est pas appropriée en présence d'un risque hémorragique important (par exemple, ceux avec une HT</w:t>
      </w:r>
      <w:r w:rsidR="00C07788">
        <w:rPr>
          <w:rFonts w:asciiTheme="minorHAnsi" w:hAnsiTheme="minorHAnsi"/>
          <w:b/>
          <w:sz w:val="22"/>
          <w:szCs w:val="22"/>
          <w:lang w:val="fr-FR"/>
        </w:rPr>
        <w:t>A</w:t>
      </w:r>
      <w:r w:rsidR="00C07788" w:rsidRPr="00C07788">
        <w:rPr>
          <w:rFonts w:asciiTheme="minorHAnsi" w:hAnsiTheme="minorHAnsi"/>
          <w:b/>
          <w:sz w:val="22"/>
          <w:szCs w:val="22"/>
          <w:lang w:val="fr-FR"/>
        </w:rPr>
        <w:t xml:space="preserve"> sévère non contrôlée, une diathèse hémorragique, une hémorragie spontanée significative) (risque hémorragique élevé).</w:t>
      </w:r>
      <w:r w:rsidR="00C07788">
        <w:rPr>
          <w:rFonts w:asciiTheme="minorHAnsi" w:hAnsiTheme="minorHAnsi"/>
          <w:b/>
          <w:sz w:val="22"/>
          <w:szCs w:val="22"/>
          <w:lang w:val="fr-FR"/>
        </w:rPr>
        <w:t xml:space="preserve"> </w:t>
      </w:r>
    </w:p>
    <w:p w14:paraId="59FC4D84" w14:textId="77777777" w:rsidR="00C07788" w:rsidRDefault="00C07788" w:rsidP="0043334F">
      <w:pPr>
        <w:spacing w:before="100" w:beforeAutospacing="1" w:after="100" w:afterAutospacing="1"/>
        <w:contextualSpacing/>
        <w:jc w:val="both"/>
        <w:rPr>
          <w:rFonts w:asciiTheme="minorHAnsi" w:hAnsiTheme="minorHAnsi"/>
          <w:b/>
          <w:sz w:val="22"/>
          <w:szCs w:val="22"/>
          <w:lang w:val="fr-FR"/>
        </w:rPr>
      </w:pPr>
    </w:p>
    <w:p w14:paraId="377950A9" w14:textId="77777777" w:rsidR="00C75B3A" w:rsidRPr="00E21AE0" w:rsidRDefault="00C75B3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lang w:val="fr-FR"/>
        </w:rPr>
      </w:pPr>
    </w:p>
    <w:p w14:paraId="4418301F" w14:textId="3E261B7C" w:rsidR="00E67728" w:rsidRPr="00E21AE0" w:rsidRDefault="007662E6"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lang w:val="fr-FR"/>
        </w:rPr>
      </w:pPr>
      <w:r w:rsidRPr="00E21AE0">
        <w:rPr>
          <w:rFonts w:asciiTheme="minorHAnsi" w:hAnsiTheme="minorHAnsi"/>
          <w:b/>
          <w:sz w:val="22"/>
          <w:szCs w:val="22"/>
          <w:lang w:val="fr-FR"/>
        </w:rPr>
        <w:t xml:space="preserve">A23. </w:t>
      </w:r>
      <w:r w:rsidR="00C07788" w:rsidRPr="00C07788">
        <w:rPr>
          <w:rFonts w:asciiTheme="minorHAnsi" w:hAnsiTheme="minorHAnsi"/>
          <w:b/>
          <w:sz w:val="22"/>
          <w:szCs w:val="22"/>
          <w:lang w:val="fr-FR"/>
        </w:rPr>
        <w:t xml:space="preserve">L'utilisation concomitante d'aspirine et de </w:t>
      </w:r>
      <w:proofErr w:type="spellStart"/>
      <w:r w:rsidR="00C07788" w:rsidRPr="00C07788">
        <w:rPr>
          <w:rFonts w:asciiTheme="minorHAnsi" w:hAnsiTheme="minorHAnsi"/>
          <w:b/>
          <w:sz w:val="22"/>
          <w:szCs w:val="22"/>
          <w:lang w:val="fr-FR"/>
        </w:rPr>
        <w:t>clopidogrel</w:t>
      </w:r>
      <w:proofErr w:type="spellEnd"/>
      <w:r w:rsidR="00C07788" w:rsidRPr="00C07788">
        <w:rPr>
          <w:rFonts w:asciiTheme="minorHAnsi" w:hAnsiTheme="minorHAnsi"/>
          <w:b/>
          <w:sz w:val="22"/>
          <w:szCs w:val="22"/>
          <w:lang w:val="fr-FR"/>
        </w:rPr>
        <w:t xml:space="preserve"> n'est pas appropriée pour la prophylaxie secondaire d'un AVC, </w:t>
      </w:r>
      <w:r w:rsidR="00C07788">
        <w:rPr>
          <w:rFonts w:asciiTheme="minorHAnsi" w:hAnsiTheme="minorHAnsi"/>
          <w:b/>
          <w:sz w:val="22"/>
          <w:szCs w:val="22"/>
          <w:lang w:val="fr-FR"/>
        </w:rPr>
        <w:t>sans</w:t>
      </w:r>
      <w:r w:rsidR="00C07788" w:rsidRPr="00C07788">
        <w:rPr>
          <w:rFonts w:asciiTheme="minorHAnsi" w:hAnsiTheme="minorHAnsi"/>
          <w:b/>
          <w:sz w:val="22"/>
          <w:szCs w:val="22"/>
          <w:lang w:val="fr-FR"/>
        </w:rPr>
        <w:t xml:space="preserve"> qu'il n'existe une indication spécifique pour l'utilisation concomitante d'aspirine et de </w:t>
      </w:r>
      <w:proofErr w:type="spellStart"/>
      <w:r w:rsidR="00C07788" w:rsidRPr="00C07788">
        <w:rPr>
          <w:rFonts w:asciiTheme="minorHAnsi" w:hAnsiTheme="minorHAnsi"/>
          <w:b/>
          <w:sz w:val="22"/>
          <w:szCs w:val="22"/>
          <w:lang w:val="fr-FR"/>
        </w:rPr>
        <w:t>clopidogrel</w:t>
      </w:r>
      <w:proofErr w:type="spellEnd"/>
      <w:r w:rsidR="00C07788" w:rsidRPr="00C07788">
        <w:rPr>
          <w:rFonts w:asciiTheme="minorHAnsi" w:hAnsiTheme="minorHAnsi"/>
          <w:b/>
          <w:sz w:val="22"/>
          <w:szCs w:val="22"/>
          <w:lang w:val="fr-FR"/>
        </w:rPr>
        <w:t xml:space="preserve">. </w:t>
      </w:r>
      <w:r w:rsidR="00C07788">
        <w:rPr>
          <w:rFonts w:asciiTheme="minorHAnsi" w:hAnsiTheme="minorHAnsi"/>
          <w:b/>
          <w:sz w:val="22"/>
          <w:szCs w:val="22"/>
          <w:lang w:val="fr-FR"/>
        </w:rPr>
        <w:t xml:space="preserve"> </w:t>
      </w:r>
    </w:p>
    <w:p w14:paraId="0EE5D68B" w14:textId="77777777" w:rsidR="00C07788" w:rsidRDefault="00C07788" w:rsidP="0043334F">
      <w:pPr>
        <w:contextualSpacing/>
        <w:jc w:val="both"/>
        <w:rPr>
          <w:rFonts w:asciiTheme="minorHAnsi" w:hAnsiTheme="minorHAnsi"/>
          <w:i/>
          <w:sz w:val="22"/>
          <w:szCs w:val="22"/>
          <w:lang w:val="fr-FR"/>
        </w:rPr>
      </w:pPr>
      <w:r w:rsidRPr="00C07788">
        <w:rPr>
          <w:rFonts w:asciiTheme="minorHAnsi" w:hAnsiTheme="minorHAnsi"/>
          <w:i/>
          <w:sz w:val="22"/>
          <w:szCs w:val="22"/>
          <w:lang w:val="fr-FR"/>
        </w:rPr>
        <w:t xml:space="preserve">*Conditions où l'utilisation combinée d'aspirine + </w:t>
      </w:r>
      <w:proofErr w:type="spellStart"/>
      <w:r w:rsidRPr="00C07788">
        <w:rPr>
          <w:rFonts w:asciiTheme="minorHAnsi" w:hAnsiTheme="minorHAnsi"/>
          <w:i/>
          <w:sz w:val="22"/>
          <w:szCs w:val="22"/>
          <w:lang w:val="fr-FR"/>
        </w:rPr>
        <w:t>clopidogrel</w:t>
      </w:r>
      <w:proofErr w:type="spellEnd"/>
      <w:r w:rsidRPr="00C07788">
        <w:rPr>
          <w:rFonts w:asciiTheme="minorHAnsi" w:hAnsiTheme="minorHAnsi"/>
          <w:i/>
          <w:sz w:val="22"/>
          <w:szCs w:val="22"/>
          <w:lang w:val="fr-FR"/>
        </w:rPr>
        <w:t xml:space="preserve"> est appropriée </w:t>
      </w:r>
    </w:p>
    <w:p w14:paraId="4C2BAF5A" w14:textId="7F1DBA19" w:rsidR="00C07788" w:rsidRDefault="00C07788" w:rsidP="0043334F">
      <w:pPr>
        <w:contextualSpacing/>
        <w:jc w:val="both"/>
        <w:rPr>
          <w:rFonts w:asciiTheme="minorHAnsi" w:hAnsiTheme="minorHAnsi"/>
          <w:i/>
          <w:sz w:val="22"/>
          <w:szCs w:val="22"/>
          <w:lang w:val="fr-FR"/>
        </w:rPr>
      </w:pPr>
      <w:r w:rsidRPr="00C07788">
        <w:rPr>
          <w:rFonts w:asciiTheme="minorHAnsi" w:hAnsiTheme="minorHAnsi"/>
          <w:i/>
          <w:sz w:val="22"/>
          <w:szCs w:val="22"/>
          <w:lang w:val="fr-FR"/>
        </w:rPr>
        <w:t xml:space="preserve">1. </w:t>
      </w:r>
      <w:r>
        <w:rPr>
          <w:rFonts w:asciiTheme="minorHAnsi" w:hAnsiTheme="minorHAnsi"/>
          <w:i/>
          <w:sz w:val="22"/>
          <w:szCs w:val="22"/>
          <w:lang w:val="fr-FR"/>
        </w:rPr>
        <w:t>Avoir</w:t>
      </w:r>
      <w:r w:rsidRPr="00C07788">
        <w:rPr>
          <w:rFonts w:asciiTheme="minorHAnsi" w:hAnsiTheme="minorHAnsi"/>
          <w:i/>
          <w:sz w:val="22"/>
          <w:szCs w:val="22"/>
          <w:lang w:val="fr-FR"/>
        </w:rPr>
        <w:t xml:space="preserve"> eu un syndrome coronarien aigu ou une intervention coronarienne au cours des 12 derniers mois (ballon et/ou </w:t>
      </w:r>
      <w:proofErr w:type="spellStart"/>
      <w:r w:rsidRPr="00C07788">
        <w:rPr>
          <w:rFonts w:asciiTheme="minorHAnsi" w:hAnsiTheme="minorHAnsi"/>
          <w:i/>
          <w:sz w:val="22"/>
          <w:szCs w:val="22"/>
          <w:lang w:val="fr-FR"/>
        </w:rPr>
        <w:t>stent</w:t>
      </w:r>
      <w:proofErr w:type="spellEnd"/>
      <w:r w:rsidRPr="00C07788">
        <w:rPr>
          <w:rFonts w:asciiTheme="minorHAnsi" w:hAnsiTheme="minorHAnsi"/>
          <w:i/>
          <w:sz w:val="22"/>
          <w:szCs w:val="22"/>
          <w:lang w:val="fr-FR"/>
        </w:rPr>
        <w:t xml:space="preserve">) </w:t>
      </w:r>
    </w:p>
    <w:p w14:paraId="739D0D26" w14:textId="14A9097B" w:rsidR="00C07788" w:rsidRDefault="00C07788" w:rsidP="0043334F">
      <w:pPr>
        <w:contextualSpacing/>
        <w:jc w:val="both"/>
        <w:rPr>
          <w:rFonts w:asciiTheme="minorHAnsi" w:hAnsiTheme="minorHAnsi"/>
          <w:i/>
          <w:sz w:val="22"/>
          <w:szCs w:val="22"/>
          <w:lang w:val="fr-FR"/>
        </w:rPr>
      </w:pPr>
      <w:r w:rsidRPr="00C07788">
        <w:rPr>
          <w:rFonts w:asciiTheme="minorHAnsi" w:hAnsiTheme="minorHAnsi"/>
          <w:i/>
          <w:sz w:val="22"/>
          <w:szCs w:val="22"/>
          <w:lang w:val="fr-FR"/>
        </w:rPr>
        <w:t>2. Avoir subi une intervention au cours du dernier mois en raison d'une maladie artérielle périphérique</w:t>
      </w:r>
      <w:r>
        <w:rPr>
          <w:rFonts w:asciiTheme="minorHAnsi" w:hAnsiTheme="minorHAnsi"/>
          <w:i/>
          <w:sz w:val="22"/>
          <w:szCs w:val="22"/>
          <w:lang w:val="fr-FR"/>
        </w:rPr>
        <w:t xml:space="preserve"> </w:t>
      </w:r>
    </w:p>
    <w:p w14:paraId="2C92B16A" w14:textId="77777777" w:rsidR="00C07788" w:rsidRDefault="00C07788" w:rsidP="00C07788">
      <w:pPr>
        <w:ind w:firstLine="708"/>
        <w:contextualSpacing/>
        <w:jc w:val="both"/>
        <w:rPr>
          <w:rFonts w:asciiTheme="minorHAnsi" w:hAnsiTheme="minorHAnsi"/>
          <w:i/>
          <w:sz w:val="22"/>
          <w:szCs w:val="22"/>
          <w:lang w:val="fr-FR"/>
        </w:rPr>
      </w:pPr>
      <w:r w:rsidRPr="00C07788">
        <w:rPr>
          <w:rFonts w:asciiTheme="minorHAnsi" w:hAnsiTheme="minorHAnsi"/>
          <w:i/>
          <w:sz w:val="22"/>
          <w:szCs w:val="22"/>
          <w:lang w:val="fr-FR"/>
        </w:rPr>
        <w:t xml:space="preserve">Pose d'un </w:t>
      </w:r>
      <w:proofErr w:type="spellStart"/>
      <w:r w:rsidRPr="00C07788">
        <w:rPr>
          <w:rFonts w:asciiTheme="minorHAnsi" w:hAnsiTheme="minorHAnsi"/>
          <w:i/>
          <w:sz w:val="22"/>
          <w:szCs w:val="22"/>
          <w:lang w:val="fr-FR"/>
        </w:rPr>
        <w:t>stent</w:t>
      </w:r>
      <w:proofErr w:type="spellEnd"/>
      <w:r w:rsidRPr="00C07788">
        <w:rPr>
          <w:rFonts w:asciiTheme="minorHAnsi" w:hAnsiTheme="minorHAnsi"/>
          <w:i/>
          <w:sz w:val="22"/>
          <w:szCs w:val="22"/>
          <w:lang w:val="fr-FR"/>
        </w:rPr>
        <w:t xml:space="preserve"> (en raison d'une sténose de l'artère carotide/maladie de l'artère des membres inférieurs) au cours du dernier mois </w:t>
      </w:r>
    </w:p>
    <w:p w14:paraId="33DD722D" w14:textId="7C337594" w:rsidR="00C07788" w:rsidRDefault="00C07788" w:rsidP="00C07788">
      <w:pPr>
        <w:ind w:firstLine="708"/>
        <w:contextualSpacing/>
        <w:jc w:val="both"/>
        <w:rPr>
          <w:rFonts w:asciiTheme="minorHAnsi" w:hAnsiTheme="minorHAnsi"/>
          <w:i/>
          <w:sz w:val="22"/>
          <w:szCs w:val="22"/>
          <w:lang w:val="fr-FR"/>
        </w:rPr>
      </w:pPr>
      <w:r w:rsidRPr="00C07788">
        <w:rPr>
          <w:rFonts w:asciiTheme="minorHAnsi" w:hAnsiTheme="minorHAnsi"/>
          <w:i/>
          <w:sz w:val="22"/>
          <w:szCs w:val="22"/>
          <w:lang w:val="fr-FR"/>
        </w:rPr>
        <w:t>Application de ballon au membre inférieur au cours du dernier mois</w:t>
      </w:r>
    </w:p>
    <w:p w14:paraId="1A587738" w14:textId="77777777" w:rsidR="00C07788" w:rsidRDefault="00C07788" w:rsidP="00C07788">
      <w:pPr>
        <w:contextualSpacing/>
        <w:jc w:val="both"/>
        <w:rPr>
          <w:rFonts w:asciiTheme="minorHAnsi" w:hAnsiTheme="minorHAnsi"/>
          <w:i/>
          <w:sz w:val="22"/>
          <w:szCs w:val="22"/>
          <w:lang w:val="fr-FR"/>
        </w:rPr>
      </w:pPr>
      <w:r>
        <w:rPr>
          <w:rFonts w:asciiTheme="minorHAnsi" w:hAnsiTheme="minorHAnsi"/>
          <w:i/>
          <w:sz w:val="22"/>
          <w:szCs w:val="22"/>
          <w:lang w:val="fr-FR"/>
        </w:rPr>
        <w:t>3. A</w:t>
      </w:r>
      <w:r w:rsidRPr="00C07788">
        <w:rPr>
          <w:rFonts w:asciiTheme="minorHAnsi" w:hAnsiTheme="minorHAnsi"/>
          <w:i/>
          <w:sz w:val="22"/>
          <w:szCs w:val="22"/>
          <w:lang w:val="fr-FR"/>
        </w:rPr>
        <w:t>voir eu un AVC-AIT au</w:t>
      </w:r>
      <w:r>
        <w:rPr>
          <w:rFonts w:asciiTheme="minorHAnsi" w:hAnsiTheme="minorHAnsi"/>
          <w:i/>
          <w:sz w:val="22"/>
          <w:szCs w:val="22"/>
          <w:lang w:val="fr-FR"/>
        </w:rPr>
        <w:t xml:space="preserve"> cours des 3 dernières semaines- </w:t>
      </w:r>
      <w:r w:rsidRPr="00C07788">
        <w:rPr>
          <w:rFonts w:asciiTheme="minorHAnsi" w:hAnsiTheme="minorHAnsi"/>
          <w:i/>
          <w:sz w:val="22"/>
          <w:szCs w:val="22"/>
          <w:lang w:val="fr-FR"/>
        </w:rPr>
        <w:t xml:space="preserve">3 </w:t>
      </w:r>
      <w:r>
        <w:rPr>
          <w:rFonts w:asciiTheme="minorHAnsi" w:hAnsiTheme="minorHAnsi"/>
          <w:i/>
          <w:sz w:val="22"/>
          <w:szCs w:val="22"/>
          <w:lang w:val="fr-FR"/>
        </w:rPr>
        <w:t xml:space="preserve">derniers </w:t>
      </w:r>
      <w:r w:rsidRPr="00C07788">
        <w:rPr>
          <w:rFonts w:asciiTheme="minorHAnsi" w:hAnsiTheme="minorHAnsi"/>
          <w:i/>
          <w:sz w:val="22"/>
          <w:szCs w:val="22"/>
          <w:lang w:val="fr-FR"/>
        </w:rPr>
        <w:t xml:space="preserve">mois </w:t>
      </w:r>
    </w:p>
    <w:p w14:paraId="5F4A6906" w14:textId="0360A30E" w:rsidR="00C07788" w:rsidRDefault="00C07788" w:rsidP="00C07788">
      <w:pPr>
        <w:ind w:firstLine="708"/>
        <w:contextualSpacing/>
        <w:jc w:val="both"/>
        <w:rPr>
          <w:rFonts w:asciiTheme="minorHAnsi" w:hAnsiTheme="minorHAnsi"/>
          <w:i/>
          <w:sz w:val="22"/>
          <w:szCs w:val="22"/>
          <w:lang w:val="fr-FR"/>
        </w:rPr>
      </w:pPr>
      <w:proofErr w:type="gramStart"/>
      <w:r w:rsidRPr="00C07788">
        <w:rPr>
          <w:rFonts w:asciiTheme="minorHAnsi" w:hAnsiTheme="minorHAnsi"/>
          <w:i/>
          <w:sz w:val="22"/>
          <w:szCs w:val="22"/>
          <w:lang w:val="fr-FR"/>
        </w:rPr>
        <w:t>pendant</w:t>
      </w:r>
      <w:proofErr w:type="gramEnd"/>
      <w:r w:rsidRPr="00C07788">
        <w:rPr>
          <w:rFonts w:asciiTheme="minorHAnsi" w:hAnsiTheme="minorHAnsi"/>
          <w:i/>
          <w:sz w:val="22"/>
          <w:szCs w:val="22"/>
          <w:lang w:val="fr-FR"/>
        </w:rPr>
        <w:t xml:space="preserve"> 3 mois en cas </w:t>
      </w:r>
      <w:r>
        <w:rPr>
          <w:rFonts w:asciiTheme="minorHAnsi" w:hAnsiTheme="minorHAnsi"/>
          <w:i/>
          <w:sz w:val="22"/>
          <w:szCs w:val="22"/>
          <w:lang w:val="fr-FR"/>
        </w:rPr>
        <w:t>d’AVC</w:t>
      </w:r>
      <w:r w:rsidRPr="00C07788">
        <w:rPr>
          <w:rFonts w:asciiTheme="minorHAnsi" w:hAnsiTheme="minorHAnsi"/>
          <w:i/>
          <w:sz w:val="22"/>
          <w:szCs w:val="22"/>
          <w:lang w:val="fr-FR"/>
        </w:rPr>
        <w:t xml:space="preserve"> ou d'AIT dû à l'athérosclérose intracrânienne </w:t>
      </w:r>
    </w:p>
    <w:p w14:paraId="5D32A18E" w14:textId="4C66FAC1" w:rsidR="00C07788" w:rsidRDefault="00C07788" w:rsidP="00C07788">
      <w:pPr>
        <w:ind w:firstLine="708"/>
        <w:contextualSpacing/>
        <w:jc w:val="both"/>
        <w:rPr>
          <w:rFonts w:asciiTheme="minorHAnsi" w:hAnsiTheme="minorHAnsi"/>
          <w:i/>
          <w:sz w:val="22"/>
          <w:szCs w:val="22"/>
          <w:lang w:val="fr-FR"/>
        </w:rPr>
      </w:pPr>
      <w:proofErr w:type="gramStart"/>
      <w:r w:rsidRPr="00C07788">
        <w:rPr>
          <w:rFonts w:asciiTheme="minorHAnsi" w:hAnsiTheme="minorHAnsi"/>
          <w:i/>
          <w:sz w:val="22"/>
          <w:szCs w:val="22"/>
          <w:lang w:val="fr-FR"/>
        </w:rPr>
        <w:t>pendant</w:t>
      </w:r>
      <w:proofErr w:type="gramEnd"/>
      <w:r w:rsidRPr="00C07788">
        <w:rPr>
          <w:rFonts w:asciiTheme="minorHAnsi" w:hAnsiTheme="minorHAnsi"/>
          <w:i/>
          <w:sz w:val="22"/>
          <w:szCs w:val="22"/>
          <w:lang w:val="fr-FR"/>
        </w:rPr>
        <w:t xml:space="preserve"> 3 semaines dans les cas d'AVC ou d'AIT</w:t>
      </w:r>
      <w:r>
        <w:rPr>
          <w:rFonts w:asciiTheme="minorHAnsi" w:hAnsiTheme="minorHAnsi"/>
          <w:i/>
          <w:sz w:val="22"/>
          <w:szCs w:val="22"/>
          <w:lang w:val="fr-FR"/>
        </w:rPr>
        <w:t xml:space="preserve"> mineurs</w:t>
      </w:r>
    </w:p>
    <w:p w14:paraId="23BBB702" w14:textId="77777777" w:rsidR="00C07788" w:rsidRDefault="00C07788" w:rsidP="0043334F">
      <w:pPr>
        <w:contextualSpacing/>
        <w:jc w:val="both"/>
        <w:rPr>
          <w:rFonts w:asciiTheme="minorHAnsi" w:hAnsiTheme="minorHAnsi"/>
          <w:i/>
          <w:sz w:val="22"/>
          <w:szCs w:val="22"/>
          <w:lang w:val="fr-FR"/>
        </w:rPr>
      </w:pPr>
    </w:p>
    <w:p w14:paraId="5DAE2BFD" w14:textId="77777777" w:rsidR="00701618" w:rsidRPr="00E21AE0" w:rsidRDefault="00701618" w:rsidP="0043334F">
      <w:pPr>
        <w:pStyle w:val="HTMLncedenBiimlendirilmi"/>
        <w:contextualSpacing/>
        <w:jc w:val="both"/>
        <w:rPr>
          <w:rFonts w:asciiTheme="minorHAnsi" w:hAnsiTheme="minorHAnsi" w:cs="Times New Roman"/>
          <w:b/>
          <w:sz w:val="22"/>
          <w:szCs w:val="22"/>
          <w:lang w:val="fr-FR"/>
        </w:rPr>
      </w:pPr>
    </w:p>
    <w:p w14:paraId="70DA5B28" w14:textId="26F15617" w:rsidR="00C07788" w:rsidRPr="00C07788" w:rsidRDefault="006C24B0" w:rsidP="0043334F">
      <w:pPr>
        <w:pStyle w:val="HTMLncedenBiimlendirilmi"/>
        <w:contextualSpacing/>
        <w:jc w:val="both"/>
        <w:rPr>
          <w:rFonts w:asciiTheme="minorHAnsi" w:hAnsiTheme="minorHAnsi" w:cs="Times New Roman"/>
          <w:sz w:val="22"/>
          <w:szCs w:val="22"/>
          <w:lang w:val="fr-FR"/>
        </w:rPr>
      </w:pPr>
      <w:r w:rsidRPr="00E21AE0">
        <w:rPr>
          <w:rFonts w:asciiTheme="minorHAnsi" w:hAnsiTheme="minorHAnsi" w:cs="Times New Roman"/>
          <w:b/>
          <w:sz w:val="22"/>
          <w:szCs w:val="22"/>
          <w:lang w:val="fr-FR"/>
        </w:rPr>
        <w:t>A2</w:t>
      </w:r>
      <w:r w:rsidR="00965815" w:rsidRPr="00E21AE0">
        <w:rPr>
          <w:rFonts w:asciiTheme="minorHAnsi" w:hAnsiTheme="minorHAnsi" w:cs="Times New Roman"/>
          <w:b/>
          <w:sz w:val="22"/>
          <w:szCs w:val="22"/>
          <w:lang w:val="fr-FR"/>
        </w:rPr>
        <w:t>4</w:t>
      </w:r>
      <w:r w:rsidR="00B84A0C" w:rsidRPr="00E21AE0">
        <w:rPr>
          <w:rFonts w:asciiTheme="minorHAnsi" w:hAnsiTheme="minorHAnsi" w:cs="Times New Roman"/>
          <w:b/>
          <w:sz w:val="22"/>
          <w:szCs w:val="22"/>
          <w:lang w:val="fr-FR"/>
        </w:rPr>
        <w:t>.</w:t>
      </w:r>
      <w:r w:rsidRPr="00E21AE0">
        <w:rPr>
          <w:rFonts w:asciiTheme="minorHAnsi" w:hAnsiTheme="minorHAnsi" w:cs="Times New Roman"/>
          <w:b/>
          <w:sz w:val="22"/>
          <w:szCs w:val="22"/>
          <w:lang w:val="fr-FR"/>
        </w:rPr>
        <w:t xml:space="preserve"> </w:t>
      </w:r>
      <w:r w:rsidR="00C07788" w:rsidRPr="00C07788">
        <w:rPr>
          <w:rFonts w:asciiTheme="minorHAnsi" w:hAnsiTheme="minorHAnsi" w:cs="Times New Roman"/>
          <w:b/>
          <w:sz w:val="22"/>
          <w:szCs w:val="22"/>
          <w:lang w:val="fr-FR"/>
        </w:rPr>
        <w:t>S'il n'y a pas d'indication supplémentaire pour l'utilisation d'aspirine/</w:t>
      </w:r>
      <w:proofErr w:type="spellStart"/>
      <w:r w:rsidR="00C07788" w:rsidRPr="00C07788">
        <w:rPr>
          <w:rFonts w:asciiTheme="minorHAnsi" w:hAnsiTheme="minorHAnsi" w:cs="Times New Roman"/>
          <w:b/>
          <w:sz w:val="22"/>
          <w:szCs w:val="22"/>
          <w:lang w:val="fr-FR"/>
        </w:rPr>
        <w:t>clopidogrel</w:t>
      </w:r>
      <w:proofErr w:type="spellEnd"/>
      <w:r w:rsidR="00C07788" w:rsidRPr="00C07788">
        <w:rPr>
          <w:rFonts w:asciiTheme="minorHAnsi" w:hAnsiTheme="minorHAnsi" w:cs="Times New Roman"/>
          <w:b/>
          <w:sz w:val="22"/>
          <w:szCs w:val="22"/>
          <w:lang w:val="fr-FR"/>
        </w:rPr>
        <w:t xml:space="preserve"> chez les patients utilisant une OAC pour FA chronique ou pour toute autre raison, il n'est pas approprié d'ajouter l'aspirine/</w:t>
      </w:r>
      <w:proofErr w:type="spellStart"/>
      <w:r w:rsidR="00C07788" w:rsidRPr="00C07788">
        <w:rPr>
          <w:rFonts w:asciiTheme="minorHAnsi" w:hAnsiTheme="minorHAnsi" w:cs="Times New Roman"/>
          <w:b/>
          <w:sz w:val="22"/>
          <w:szCs w:val="22"/>
          <w:lang w:val="fr-FR"/>
        </w:rPr>
        <w:t>clopidogrel</w:t>
      </w:r>
      <w:proofErr w:type="spellEnd"/>
      <w:r w:rsidR="00C07788" w:rsidRPr="00C07788">
        <w:rPr>
          <w:rFonts w:asciiTheme="minorHAnsi" w:hAnsiTheme="minorHAnsi" w:cs="Times New Roman"/>
          <w:b/>
          <w:sz w:val="22"/>
          <w:szCs w:val="22"/>
          <w:lang w:val="fr-FR"/>
        </w:rPr>
        <w:t xml:space="preserve"> au</w:t>
      </w:r>
      <w:r w:rsidR="00C07788">
        <w:rPr>
          <w:rFonts w:asciiTheme="minorHAnsi" w:hAnsiTheme="minorHAnsi" w:cs="Times New Roman"/>
          <w:b/>
          <w:sz w:val="22"/>
          <w:szCs w:val="22"/>
          <w:lang w:val="fr-FR"/>
        </w:rPr>
        <w:t xml:space="preserve"> traitement </w:t>
      </w:r>
      <w:r w:rsidR="00C07788" w:rsidRPr="00C07788">
        <w:rPr>
          <w:rFonts w:asciiTheme="minorHAnsi" w:hAnsiTheme="minorHAnsi" w:cs="Times New Roman"/>
          <w:sz w:val="22"/>
          <w:szCs w:val="22"/>
          <w:lang w:val="fr-FR"/>
        </w:rPr>
        <w:t xml:space="preserve">(pas d’avantage supplémentaire avec l'aspirine) </w:t>
      </w:r>
    </w:p>
    <w:p w14:paraId="786F3686" w14:textId="77777777" w:rsidR="00C07788" w:rsidRDefault="00C07788" w:rsidP="0043334F">
      <w:pPr>
        <w:pStyle w:val="HTMLncedenBiimlendirilmi"/>
        <w:contextualSpacing/>
        <w:jc w:val="both"/>
        <w:rPr>
          <w:rFonts w:asciiTheme="minorHAnsi" w:hAnsiTheme="minorHAnsi" w:cs="Times New Roman"/>
          <w:b/>
          <w:sz w:val="22"/>
          <w:szCs w:val="22"/>
          <w:lang w:val="fr-FR"/>
        </w:rPr>
      </w:pPr>
    </w:p>
    <w:p w14:paraId="46E44BDA" w14:textId="77777777" w:rsidR="00C07788" w:rsidRDefault="00C07788" w:rsidP="0043334F">
      <w:pPr>
        <w:pStyle w:val="HTMLncedenBiimlendirilmi"/>
        <w:contextualSpacing/>
        <w:jc w:val="both"/>
        <w:rPr>
          <w:rFonts w:asciiTheme="minorHAnsi" w:hAnsiTheme="minorHAnsi" w:cs="Times New Roman"/>
          <w:i/>
          <w:sz w:val="22"/>
          <w:szCs w:val="22"/>
          <w:lang w:val="fr-FR"/>
        </w:rPr>
      </w:pPr>
      <w:r w:rsidRPr="00C07788">
        <w:rPr>
          <w:rFonts w:asciiTheme="minorHAnsi" w:hAnsiTheme="minorHAnsi" w:cs="Times New Roman"/>
          <w:i/>
          <w:sz w:val="22"/>
          <w:szCs w:val="22"/>
          <w:lang w:val="fr-FR"/>
        </w:rPr>
        <w:t>*Les conditions dans lesquelles il est approprié d'ajouter l'aspirine/</w:t>
      </w:r>
      <w:proofErr w:type="spellStart"/>
      <w:r w:rsidRPr="00C07788">
        <w:rPr>
          <w:rFonts w:asciiTheme="minorHAnsi" w:hAnsiTheme="minorHAnsi" w:cs="Times New Roman"/>
          <w:i/>
          <w:sz w:val="22"/>
          <w:szCs w:val="22"/>
          <w:lang w:val="fr-FR"/>
        </w:rPr>
        <w:t>clopidogrel</w:t>
      </w:r>
      <w:proofErr w:type="spellEnd"/>
      <w:r w:rsidRPr="00C07788">
        <w:rPr>
          <w:rFonts w:asciiTheme="minorHAnsi" w:hAnsiTheme="minorHAnsi" w:cs="Times New Roman"/>
          <w:i/>
          <w:sz w:val="22"/>
          <w:szCs w:val="22"/>
          <w:lang w:val="fr-FR"/>
        </w:rPr>
        <w:t xml:space="preserve"> au traitement chez les patients sous OAC sont les suivantes : </w:t>
      </w:r>
    </w:p>
    <w:p w14:paraId="66A596EC" w14:textId="77777777" w:rsidR="00C07788" w:rsidRDefault="00C07788" w:rsidP="0043334F">
      <w:pPr>
        <w:pStyle w:val="HTMLncedenBiimlendirilmi"/>
        <w:contextualSpacing/>
        <w:jc w:val="both"/>
        <w:rPr>
          <w:rFonts w:asciiTheme="minorHAnsi" w:hAnsiTheme="minorHAnsi" w:cs="Times New Roman"/>
          <w:i/>
          <w:sz w:val="22"/>
          <w:szCs w:val="22"/>
          <w:lang w:val="fr-FR"/>
        </w:rPr>
      </w:pPr>
      <w:r w:rsidRPr="00C07788">
        <w:rPr>
          <w:rFonts w:asciiTheme="minorHAnsi" w:hAnsiTheme="minorHAnsi" w:cs="Times New Roman"/>
          <w:i/>
          <w:sz w:val="22"/>
          <w:szCs w:val="22"/>
          <w:lang w:val="fr-FR"/>
        </w:rPr>
        <w:t xml:space="preserve">1. Syndrome coronarien aigu ou intervention coronarienne au cours des 12 derniers mois (ballon et/ou </w:t>
      </w:r>
      <w:proofErr w:type="spellStart"/>
      <w:r w:rsidRPr="00C07788">
        <w:rPr>
          <w:rFonts w:asciiTheme="minorHAnsi" w:hAnsiTheme="minorHAnsi" w:cs="Times New Roman"/>
          <w:i/>
          <w:sz w:val="22"/>
          <w:szCs w:val="22"/>
          <w:lang w:val="fr-FR"/>
        </w:rPr>
        <w:t>stent</w:t>
      </w:r>
      <w:proofErr w:type="spellEnd"/>
      <w:r w:rsidRPr="00C07788">
        <w:rPr>
          <w:rFonts w:asciiTheme="minorHAnsi" w:hAnsiTheme="minorHAnsi" w:cs="Times New Roman"/>
          <w:i/>
          <w:sz w:val="22"/>
          <w:szCs w:val="22"/>
          <w:lang w:val="fr-FR"/>
        </w:rPr>
        <w:t xml:space="preserve">) </w:t>
      </w:r>
    </w:p>
    <w:p w14:paraId="158F7BED" w14:textId="77777777" w:rsidR="00C07788" w:rsidRDefault="00C07788" w:rsidP="0043334F">
      <w:pPr>
        <w:pStyle w:val="HTMLncedenBiimlendirilmi"/>
        <w:contextualSpacing/>
        <w:jc w:val="both"/>
        <w:rPr>
          <w:rFonts w:asciiTheme="minorHAnsi" w:hAnsiTheme="minorHAnsi" w:cs="Times New Roman"/>
          <w:i/>
          <w:sz w:val="22"/>
          <w:szCs w:val="22"/>
          <w:lang w:val="fr-FR"/>
        </w:rPr>
      </w:pPr>
      <w:r w:rsidRPr="00C07788">
        <w:rPr>
          <w:rFonts w:asciiTheme="minorHAnsi" w:hAnsiTheme="minorHAnsi" w:cs="Times New Roman"/>
          <w:i/>
          <w:sz w:val="22"/>
          <w:szCs w:val="22"/>
          <w:lang w:val="fr-FR"/>
        </w:rPr>
        <w:lastRenderedPageBreak/>
        <w:t>2. Avoir subi une intervention au cours du dernier mois en raison d'une maladie artérielle périphérique</w:t>
      </w:r>
      <w:r>
        <w:rPr>
          <w:rFonts w:asciiTheme="minorHAnsi" w:hAnsiTheme="minorHAnsi" w:cs="Times New Roman"/>
          <w:i/>
          <w:sz w:val="22"/>
          <w:szCs w:val="22"/>
          <w:lang w:val="fr-FR"/>
        </w:rPr>
        <w:t xml:space="preserve"> </w:t>
      </w:r>
      <w:r>
        <w:rPr>
          <w:rFonts w:asciiTheme="minorHAnsi" w:hAnsiTheme="minorHAnsi" w:cs="Times New Roman"/>
          <w:i/>
          <w:sz w:val="22"/>
          <w:szCs w:val="22"/>
          <w:lang w:val="fr-FR"/>
        </w:rPr>
        <w:tab/>
        <w:t>p</w:t>
      </w:r>
      <w:r w:rsidRPr="00C07788">
        <w:rPr>
          <w:rFonts w:asciiTheme="minorHAnsi" w:hAnsiTheme="minorHAnsi" w:cs="Times New Roman"/>
          <w:i/>
          <w:sz w:val="22"/>
          <w:szCs w:val="22"/>
          <w:lang w:val="fr-FR"/>
        </w:rPr>
        <w:t xml:space="preserve">ose d'un </w:t>
      </w:r>
      <w:proofErr w:type="spellStart"/>
      <w:r w:rsidRPr="00C07788">
        <w:rPr>
          <w:rFonts w:asciiTheme="minorHAnsi" w:hAnsiTheme="minorHAnsi" w:cs="Times New Roman"/>
          <w:i/>
          <w:sz w:val="22"/>
          <w:szCs w:val="22"/>
          <w:lang w:val="fr-FR"/>
        </w:rPr>
        <w:t>stent</w:t>
      </w:r>
      <w:proofErr w:type="spellEnd"/>
      <w:r w:rsidRPr="00C07788">
        <w:rPr>
          <w:rFonts w:asciiTheme="minorHAnsi" w:hAnsiTheme="minorHAnsi" w:cs="Times New Roman"/>
          <w:i/>
          <w:sz w:val="22"/>
          <w:szCs w:val="22"/>
          <w:lang w:val="fr-FR"/>
        </w:rPr>
        <w:t xml:space="preserve"> (en raison d'une sténose de l'artère carotide/maladie de l'artère des membres inférieurs) au cours du dernier mois </w:t>
      </w:r>
    </w:p>
    <w:p w14:paraId="66536438" w14:textId="77777777" w:rsidR="00C07788" w:rsidRDefault="00C07788" w:rsidP="0043334F">
      <w:pPr>
        <w:pStyle w:val="HTMLncedenBiimlendirilmi"/>
        <w:contextualSpacing/>
        <w:jc w:val="both"/>
        <w:rPr>
          <w:rFonts w:asciiTheme="minorHAnsi" w:hAnsiTheme="minorHAnsi" w:cs="Times New Roman"/>
          <w:i/>
          <w:sz w:val="22"/>
          <w:szCs w:val="22"/>
          <w:lang w:val="fr-FR"/>
        </w:rPr>
      </w:pPr>
      <w:r>
        <w:rPr>
          <w:rFonts w:asciiTheme="minorHAnsi" w:hAnsiTheme="minorHAnsi" w:cs="Times New Roman"/>
          <w:i/>
          <w:sz w:val="22"/>
          <w:szCs w:val="22"/>
          <w:lang w:val="fr-FR"/>
        </w:rPr>
        <w:tab/>
      </w:r>
      <w:r w:rsidRPr="00C07788">
        <w:rPr>
          <w:rFonts w:asciiTheme="minorHAnsi" w:hAnsiTheme="minorHAnsi" w:cs="Times New Roman"/>
          <w:i/>
          <w:sz w:val="22"/>
          <w:szCs w:val="22"/>
          <w:lang w:val="fr-FR"/>
        </w:rPr>
        <w:t xml:space="preserve">Application de ballon au membre inférieur au cours du dernier mois </w:t>
      </w:r>
    </w:p>
    <w:p w14:paraId="21A83492" w14:textId="77777777" w:rsidR="00C07788" w:rsidRDefault="00C07788" w:rsidP="0043334F">
      <w:pPr>
        <w:pStyle w:val="HTMLncedenBiimlendirilmi"/>
        <w:contextualSpacing/>
        <w:jc w:val="both"/>
        <w:rPr>
          <w:rFonts w:asciiTheme="minorHAnsi" w:hAnsiTheme="minorHAnsi" w:cs="Times New Roman"/>
          <w:i/>
          <w:sz w:val="22"/>
          <w:szCs w:val="22"/>
          <w:lang w:val="fr-FR"/>
        </w:rPr>
      </w:pPr>
      <w:r w:rsidRPr="00C07788">
        <w:rPr>
          <w:rFonts w:asciiTheme="minorHAnsi" w:hAnsiTheme="minorHAnsi" w:cs="Times New Roman"/>
          <w:i/>
          <w:sz w:val="22"/>
          <w:szCs w:val="22"/>
          <w:lang w:val="fr-FR"/>
        </w:rPr>
        <w:t>* L'ajout d'aspirine/</w:t>
      </w:r>
      <w:proofErr w:type="spellStart"/>
      <w:r w:rsidRPr="00C07788">
        <w:rPr>
          <w:rFonts w:asciiTheme="minorHAnsi" w:hAnsiTheme="minorHAnsi" w:cs="Times New Roman"/>
          <w:i/>
          <w:sz w:val="22"/>
          <w:szCs w:val="22"/>
          <w:lang w:val="fr-FR"/>
        </w:rPr>
        <w:t>clopidogrel</w:t>
      </w:r>
      <w:proofErr w:type="spellEnd"/>
      <w:r w:rsidRPr="00C07788">
        <w:rPr>
          <w:rFonts w:asciiTheme="minorHAnsi" w:hAnsiTheme="minorHAnsi" w:cs="Times New Roman"/>
          <w:i/>
          <w:sz w:val="22"/>
          <w:szCs w:val="22"/>
          <w:lang w:val="fr-FR"/>
        </w:rPr>
        <w:t xml:space="preserve"> au traitement n'est pas approprié chez les patients utilisant une CAO dans les cas suivants : </w:t>
      </w:r>
    </w:p>
    <w:p w14:paraId="0164DEC1" w14:textId="77777777" w:rsidR="007A2B04" w:rsidRDefault="00C07788" w:rsidP="0043334F">
      <w:pPr>
        <w:pStyle w:val="HTMLncedenBiimlendirilmi"/>
        <w:contextualSpacing/>
        <w:jc w:val="both"/>
        <w:rPr>
          <w:rFonts w:asciiTheme="minorHAnsi" w:hAnsiTheme="minorHAnsi" w:cs="Times New Roman"/>
          <w:i/>
          <w:sz w:val="22"/>
          <w:szCs w:val="22"/>
          <w:lang w:val="fr-FR"/>
        </w:rPr>
      </w:pPr>
      <w:r w:rsidRPr="00C07788">
        <w:rPr>
          <w:rFonts w:asciiTheme="minorHAnsi" w:hAnsiTheme="minorHAnsi" w:cs="Times New Roman"/>
          <w:i/>
          <w:sz w:val="22"/>
          <w:szCs w:val="22"/>
          <w:lang w:val="fr-FR"/>
        </w:rPr>
        <w:t xml:space="preserve">1. Maladie artérielle périphérique (sténose de l'artère carotide, maladie artérielle des membres inférieurs, athérosclérose intracérébrale) à l'exception des conditions ci-dessus </w:t>
      </w:r>
    </w:p>
    <w:p w14:paraId="3F1AE522" w14:textId="5819D6B8" w:rsidR="00C07788" w:rsidRDefault="00C07788" w:rsidP="0043334F">
      <w:pPr>
        <w:pStyle w:val="HTMLncedenBiimlendirilmi"/>
        <w:contextualSpacing/>
        <w:jc w:val="both"/>
        <w:rPr>
          <w:rFonts w:asciiTheme="minorHAnsi" w:hAnsiTheme="minorHAnsi" w:cs="Times New Roman"/>
          <w:i/>
          <w:sz w:val="22"/>
          <w:szCs w:val="22"/>
          <w:lang w:val="fr-FR"/>
        </w:rPr>
      </w:pPr>
      <w:r w:rsidRPr="00C07788">
        <w:rPr>
          <w:rFonts w:asciiTheme="minorHAnsi" w:hAnsiTheme="minorHAnsi" w:cs="Times New Roman"/>
          <w:i/>
          <w:sz w:val="22"/>
          <w:szCs w:val="22"/>
          <w:lang w:val="fr-FR"/>
        </w:rPr>
        <w:t xml:space="preserve">2. </w:t>
      </w:r>
      <w:r w:rsidR="007A2B04">
        <w:rPr>
          <w:rFonts w:asciiTheme="minorHAnsi" w:hAnsiTheme="minorHAnsi" w:cs="Times New Roman"/>
          <w:i/>
          <w:sz w:val="22"/>
          <w:szCs w:val="22"/>
          <w:lang w:val="fr-FR"/>
        </w:rPr>
        <w:t>M</w:t>
      </w:r>
      <w:r w:rsidRPr="00C07788">
        <w:rPr>
          <w:rFonts w:asciiTheme="minorHAnsi" w:hAnsiTheme="minorHAnsi" w:cs="Times New Roman"/>
          <w:i/>
          <w:sz w:val="22"/>
          <w:szCs w:val="22"/>
          <w:lang w:val="fr-FR"/>
        </w:rPr>
        <w:t>aladie coronarienne stable (par exemple, syndrome coronarien aigu il y a plus de 12 mois ou intervention coronarienne)</w:t>
      </w:r>
    </w:p>
    <w:p w14:paraId="5C46A563" w14:textId="77777777" w:rsidR="00C07788" w:rsidRDefault="00C07788" w:rsidP="0043334F">
      <w:pPr>
        <w:pStyle w:val="HTMLncedenBiimlendirilmi"/>
        <w:contextualSpacing/>
        <w:jc w:val="both"/>
        <w:rPr>
          <w:rFonts w:asciiTheme="minorHAnsi" w:hAnsiTheme="minorHAnsi" w:cs="Times New Roman"/>
          <w:i/>
          <w:sz w:val="22"/>
          <w:szCs w:val="22"/>
          <w:lang w:val="fr-FR"/>
        </w:rPr>
      </w:pPr>
    </w:p>
    <w:p w14:paraId="12512030" w14:textId="77777777" w:rsidR="00545923" w:rsidRDefault="00112690" w:rsidP="0043334F">
      <w:pPr>
        <w:spacing w:before="100" w:beforeAutospacing="1" w:after="100" w:afterAutospacing="1"/>
        <w:contextualSpacing/>
        <w:jc w:val="both"/>
        <w:rPr>
          <w:rFonts w:asciiTheme="minorHAnsi" w:hAnsiTheme="minorHAnsi"/>
          <w:b/>
          <w:sz w:val="22"/>
          <w:szCs w:val="22"/>
          <w:lang w:val="fr-FR"/>
        </w:rPr>
      </w:pPr>
      <w:r w:rsidRPr="00E21AE0">
        <w:rPr>
          <w:rFonts w:asciiTheme="minorHAnsi" w:hAnsiTheme="minorHAnsi"/>
          <w:b/>
          <w:sz w:val="22"/>
          <w:szCs w:val="22"/>
          <w:lang w:val="fr-FR"/>
        </w:rPr>
        <w:t>A2</w:t>
      </w:r>
      <w:r w:rsidR="00965815" w:rsidRPr="00E21AE0">
        <w:rPr>
          <w:rFonts w:asciiTheme="minorHAnsi" w:hAnsiTheme="minorHAnsi"/>
          <w:b/>
          <w:sz w:val="22"/>
          <w:szCs w:val="22"/>
          <w:lang w:val="fr-FR"/>
        </w:rPr>
        <w:t>5</w:t>
      </w:r>
      <w:r w:rsidRPr="00E21AE0">
        <w:rPr>
          <w:rFonts w:asciiTheme="minorHAnsi" w:hAnsiTheme="minorHAnsi"/>
          <w:b/>
          <w:sz w:val="22"/>
          <w:szCs w:val="22"/>
          <w:lang w:val="fr-FR"/>
        </w:rPr>
        <w:t xml:space="preserve">. </w:t>
      </w:r>
      <w:r w:rsidR="00545923" w:rsidRPr="00545923">
        <w:rPr>
          <w:rFonts w:asciiTheme="minorHAnsi" w:hAnsiTheme="minorHAnsi"/>
          <w:b/>
          <w:sz w:val="22"/>
          <w:szCs w:val="22"/>
          <w:lang w:val="fr-FR"/>
        </w:rPr>
        <w:t xml:space="preserve">Les OAC (antagonistes de la vitamine K, inhibiteurs directs de la thrombine ou inhibiteurs du facteur </w:t>
      </w:r>
      <w:proofErr w:type="spellStart"/>
      <w:r w:rsidR="00545923" w:rsidRPr="00545923">
        <w:rPr>
          <w:rFonts w:asciiTheme="minorHAnsi" w:hAnsiTheme="minorHAnsi"/>
          <w:b/>
          <w:sz w:val="22"/>
          <w:szCs w:val="22"/>
          <w:lang w:val="fr-FR"/>
        </w:rPr>
        <w:t>Xa</w:t>
      </w:r>
      <w:proofErr w:type="spellEnd"/>
      <w:r w:rsidR="00545923" w:rsidRPr="00545923">
        <w:rPr>
          <w:rFonts w:asciiTheme="minorHAnsi" w:hAnsiTheme="minorHAnsi"/>
          <w:b/>
          <w:sz w:val="22"/>
          <w:szCs w:val="22"/>
          <w:lang w:val="fr-FR"/>
        </w:rPr>
        <w:t>) ne peuvent pas être utilisés pendant plus de 6 mois dans les primo-thromboses veineuses profondes sans facteurs de risque continus (aucun bénéfice supplémentaire prouvé)</w:t>
      </w:r>
    </w:p>
    <w:p w14:paraId="0C239038" w14:textId="77777777" w:rsidR="00545923" w:rsidRDefault="00545923" w:rsidP="0043334F">
      <w:pPr>
        <w:spacing w:before="100" w:beforeAutospacing="1" w:after="100" w:afterAutospacing="1"/>
        <w:contextualSpacing/>
        <w:jc w:val="both"/>
        <w:rPr>
          <w:rFonts w:asciiTheme="minorHAnsi" w:hAnsiTheme="minorHAnsi"/>
          <w:b/>
          <w:sz w:val="22"/>
          <w:szCs w:val="22"/>
          <w:lang w:val="fr-FR"/>
        </w:rPr>
      </w:pPr>
    </w:p>
    <w:p w14:paraId="5AB08810" w14:textId="77777777" w:rsidR="00C75B3A" w:rsidRPr="00E21AE0" w:rsidRDefault="00C75B3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lang w:val="fr-FR"/>
        </w:rPr>
      </w:pPr>
    </w:p>
    <w:p w14:paraId="5BE7DA72" w14:textId="011F56DA" w:rsidR="00545923" w:rsidRDefault="00E66E29"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b/>
          <w:sz w:val="22"/>
          <w:szCs w:val="22"/>
          <w:lang w:val="fr-FR"/>
        </w:rPr>
      </w:pPr>
      <w:r w:rsidRPr="00E21AE0">
        <w:rPr>
          <w:rFonts w:ascii="Calibri" w:hAnsi="Calibri" w:cs="Calibri"/>
          <w:b/>
          <w:sz w:val="22"/>
          <w:szCs w:val="22"/>
          <w:lang w:val="fr-FR"/>
        </w:rPr>
        <w:t>#</w:t>
      </w:r>
      <w:r w:rsidR="00112690" w:rsidRPr="00E21AE0">
        <w:rPr>
          <w:rFonts w:asciiTheme="minorHAnsi" w:hAnsiTheme="minorHAnsi"/>
          <w:b/>
          <w:sz w:val="22"/>
          <w:szCs w:val="22"/>
          <w:lang w:val="fr-FR"/>
        </w:rPr>
        <w:t>A2</w:t>
      </w:r>
      <w:r w:rsidR="00965815" w:rsidRPr="00E21AE0">
        <w:rPr>
          <w:rFonts w:asciiTheme="minorHAnsi" w:hAnsiTheme="minorHAnsi"/>
          <w:b/>
          <w:sz w:val="22"/>
          <w:szCs w:val="22"/>
          <w:lang w:val="fr-FR"/>
        </w:rPr>
        <w:t>6</w:t>
      </w:r>
      <w:r w:rsidR="00112690" w:rsidRPr="00E21AE0">
        <w:rPr>
          <w:rFonts w:asciiTheme="minorHAnsi" w:hAnsiTheme="minorHAnsi"/>
          <w:b/>
          <w:sz w:val="22"/>
          <w:szCs w:val="22"/>
          <w:lang w:val="fr-FR"/>
        </w:rPr>
        <w:t xml:space="preserve">. </w:t>
      </w:r>
      <w:r w:rsidR="005011F6">
        <w:rPr>
          <w:rFonts w:asciiTheme="minorHAnsi" w:hAnsiTheme="minorHAnsi"/>
          <w:b/>
          <w:sz w:val="22"/>
          <w:szCs w:val="22"/>
          <w:lang w:val="fr-FR"/>
        </w:rPr>
        <w:t>Les OAC</w:t>
      </w:r>
      <w:r w:rsidR="00545923" w:rsidRPr="00545923">
        <w:rPr>
          <w:rFonts w:asciiTheme="minorHAnsi" w:hAnsiTheme="minorHAnsi"/>
          <w:b/>
          <w:sz w:val="22"/>
          <w:szCs w:val="22"/>
          <w:lang w:val="fr-FR"/>
        </w:rPr>
        <w:t xml:space="preserve"> (antagonistes de la vitamine K, inhibiteurs directs de la thrombine ou inhibiteurs du facteur </w:t>
      </w:r>
      <w:proofErr w:type="spellStart"/>
      <w:r w:rsidR="00545923" w:rsidRPr="00545923">
        <w:rPr>
          <w:rFonts w:asciiTheme="minorHAnsi" w:hAnsiTheme="minorHAnsi"/>
          <w:b/>
          <w:sz w:val="22"/>
          <w:szCs w:val="22"/>
          <w:lang w:val="fr-FR"/>
        </w:rPr>
        <w:t>Xa</w:t>
      </w:r>
      <w:proofErr w:type="spellEnd"/>
      <w:r w:rsidR="00545923" w:rsidRPr="00545923">
        <w:rPr>
          <w:rFonts w:asciiTheme="minorHAnsi" w:hAnsiTheme="minorHAnsi"/>
          <w:b/>
          <w:sz w:val="22"/>
          <w:szCs w:val="22"/>
          <w:lang w:val="fr-FR"/>
        </w:rPr>
        <w:t xml:space="preserve">) ne peuvent pas être utilisés pendant plus de 12 mois dans une embolie pulmonaire initiale sans facteurs de risque continus (aucun </w:t>
      </w:r>
      <w:r w:rsidR="00545923">
        <w:rPr>
          <w:rFonts w:asciiTheme="minorHAnsi" w:hAnsiTheme="minorHAnsi"/>
          <w:b/>
          <w:sz w:val="22"/>
          <w:szCs w:val="22"/>
          <w:lang w:val="fr-FR"/>
        </w:rPr>
        <w:t>bénéfice</w:t>
      </w:r>
      <w:r w:rsidR="00545923" w:rsidRPr="00545923">
        <w:rPr>
          <w:rFonts w:asciiTheme="minorHAnsi" w:hAnsiTheme="minorHAnsi"/>
          <w:b/>
          <w:sz w:val="22"/>
          <w:szCs w:val="22"/>
          <w:lang w:val="fr-FR"/>
        </w:rPr>
        <w:t xml:space="preserve"> supplémentaire prouvé)</w:t>
      </w:r>
      <w:r w:rsidR="00545923">
        <w:rPr>
          <w:rFonts w:asciiTheme="minorHAnsi" w:hAnsiTheme="minorHAnsi"/>
          <w:b/>
          <w:sz w:val="22"/>
          <w:szCs w:val="22"/>
          <w:lang w:val="fr-FR"/>
        </w:rPr>
        <w:t xml:space="preserve"> </w:t>
      </w:r>
    </w:p>
    <w:p w14:paraId="61ABC970" w14:textId="77777777" w:rsidR="00545923" w:rsidRDefault="00545923"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b/>
          <w:sz w:val="22"/>
          <w:szCs w:val="22"/>
          <w:lang w:val="fr-FR"/>
        </w:rPr>
      </w:pPr>
    </w:p>
    <w:p w14:paraId="2C5E9739" w14:textId="77777777" w:rsidR="00545923" w:rsidRDefault="00545923" w:rsidP="0043334F">
      <w:pPr>
        <w:pStyle w:val="HTMLncedenBiimlendirilmi"/>
        <w:contextualSpacing/>
        <w:jc w:val="both"/>
        <w:rPr>
          <w:rFonts w:ascii="Calibri" w:hAnsi="Calibri" w:cs="Calibri"/>
          <w:b/>
          <w:sz w:val="22"/>
          <w:szCs w:val="22"/>
          <w:lang w:val="fr-FR"/>
        </w:rPr>
      </w:pPr>
    </w:p>
    <w:p w14:paraId="745CD3C8" w14:textId="77777777" w:rsidR="00545923" w:rsidRDefault="00E66E29" w:rsidP="0043334F">
      <w:pPr>
        <w:pStyle w:val="HTMLncedenBiimlendirilmi"/>
        <w:contextualSpacing/>
        <w:jc w:val="both"/>
        <w:rPr>
          <w:rFonts w:asciiTheme="minorHAnsi" w:hAnsiTheme="minorHAnsi" w:cs="Times New Roman"/>
          <w:b/>
          <w:sz w:val="22"/>
          <w:szCs w:val="22"/>
          <w:lang w:val="fr-FR"/>
        </w:rPr>
      </w:pPr>
      <w:r w:rsidRPr="00E21AE0">
        <w:rPr>
          <w:rFonts w:ascii="Calibri" w:hAnsi="Calibri" w:cs="Calibri"/>
          <w:b/>
          <w:sz w:val="22"/>
          <w:szCs w:val="22"/>
          <w:lang w:val="fr-FR"/>
        </w:rPr>
        <w:t>#</w:t>
      </w:r>
      <w:r w:rsidR="006C24B0" w:rsidRPr="00E21AE0">
        <w:rPr>
          <w:rFonts w:asciiTheme="minorHAnsi" w:hAnsiTheme="minorHAnsi" w:cs="Times New Roman"/>
          <w:b/>
          <w:sz w:val="22"/>
          <w:szCs w:val="22"/>
          <w:lang w:val="fr-FR"/>
        </w:rPr>
        <w:t>A2</w:t>
      </w:r>
      <w:r w:rsidR="00965815" w:rsidRPr="00E21AE0">
        <w:rPr>
          <w:rFonts w:asciiTheme="minorHAnsi" w:hAnsiTheme="minorHAnsi" w:cs="Times New Roman"/>
          <w:b/>
          <w:sz w:val="22"/>
          <w:szCs w:val="22"/>
          <w:lang w:val="fr-FR"/>
        </w:rPr>
        <w:t>7</w:t>
      </w:r>
      <w:r w:rsidR="006C24B0" w:rsidRPr="00E21AE0">
        <w:rPr>
          <w:rFonts w:asciiTheme="minorHAnsi" w:hAnsiTheme="minorHAnsi" w:cs="Times New Roman"/>
          <w:b/>
          <w:sz w:val="22"/>
          <w:szCs w:val="22"/>
          <w:lang w:val="fr-FR"/>
        </w:rPr>
        <w:t xml:space="preserve">. </w:t>
      </w:r>
      <w:r w:rsidR="00545923" w:rsidRPr="00545923">
        <w:rPr>
          <w:rFonts w:asciiTheme="minorHAnsi" w:hAnsiTheme="minorHAnsi" w:cs="Times New Roman"/>
          <w:b/>
          <w:sz w:val="22"/>
          <w:szCs w:val="22"/>
          <w:lang w:val="fr-FR"/>
        </w:rPr>
        <w:t xml:space="preserve">L'aspirine ou le </w:t>
      </w:r>
      <w:proofErr w:type="spellStart"/>
      <w:r w:rsidR="00545923" w:rsidRPr="00545923">
        <w:rPr>
          <w:rFonts w:asciiTheme="minorHAnsi" w:hAnsiTheme="minorHAnsi" w:cs="Times New Roman"/>
          <w:b/>
          <w:sz w:val="22"/>
          <w:szCs w:val="22"/>
          <w:lang w:val="fr-FR"/>
        </w:rPr>
        <w:t>clopidogrel</w:t>
      </w:r>
      <w:proofErr w:type="spellEnd"/>
      <w:r w:rsidR="00545923" w:rsidRPr="00545923">
        <w:rPr>
          <w:rFonts w:asciiTheme="minorHAnsi" w:hAnsiTheme="minorHAnsi" w:cs="Times New Roman"/>
          <w:b/>
          <w:sz w:val="22"/>
          <w:szCs w:val="22"/>
          <w:lang w:val="fr-FR"/>
        </w:rPr>
        <w:t xml:space="preserve"> en monothérapie ne sont pas indiqués chez les patients atteints de FA chronique pour lesquels les OAC (antagonistes de la vitamine K, inhibiteurs directs de la thrombine ou inhibiteurs du facteur </w:t>
      </w:r>
      <w:proofErr w:type="spellStart"/>
      <w:r w:rsidR="00545923" w:rsidRPr="00545923">
        <w:rPr>
          <w:rFonts w:asciiTheme="minorHAnsi" w:hAnsiTheme="minorHAnsi" w:cs="Times New Roman"/>
          <w:b/>
          <w:sz w:val="22"/>
          <w:szCs w:val="22"/>
          <w:lang w:val="fr-FR"/>
        </w:rPr>
        <w:t>Xa</w:t>
      </w:r>
      <w:proofErr w:type="spellEnd"/>
      <w:r w:rsidR="00545923" w:rsidRPr="00545923">
        <w:rPr>
          <w:rFonts w:asciiTheme="minorHAnsi" w:hAnsiTheme="minorHAnsi" w:cs="Times New Roman"/>
          <w:b/>
          <w:sz w:val="22"/>
          <w:szCs w:val="22"/>
          <w:lang w:val="fr-FR"/>
        </w:rPr>
        <w:t xml:space="preserve">) sont contre-indiqués. </w:t>
      </w:r>
    </w:p>
    <w:p w14:paraId="2C148EBD" w14:textId="77777777" w:rsidR="00545923" w:rsidRDefault="00545923" w:rsidP="0043334F">
      <w:pPr>
        <w:pStyle w:val="HTMLncedenBiimlendirilmi"/>
        <w:contextualSpacing/>
        <w:jc w:val="both"/>
        <w:rPr>
          <w:rFonts w:asciiTheme="minorHAnsi" w:hAnsiTheme="minorHAnsi" w:cs="Times New Roman"/>
          <w:b/>
          <w:sz w:val="22"/>
          <w:szCs w:val="22"/>
          <w:lang w:val="fr-FR"/>
        </w:rPr>
      </w:pPr>
    </w:p>
    <w:p w14:paraId="2222B5AD" w14:textId="77777777" w:rsidR="00545923" w:rsidRDefault="00545923" w:rsidP="0043334F">
      <w:pPr>
        <w:pStyle w:val="HTMLncedenBiimlendirilmi"/>
        <w:contextualSpacing/>
        <w:jc w:val="both"/>
        <w:rPr>
          <w:rFonts w:asciiTheme="minorHAnsi" w:hAnsiTheme="minorHAnsi" w:cs="Times New Roman"/>
          <w:i/>
          <w:sz w:val="22"/>
          <w:szCs w:val="22"/>
          <w:lang w:val="fr-FR"/>
        </w:rPr>
      </w:pPr>
      <w:r w:rsidRPr="00545923">
        <w:rPr>
          <w:rFonts w:asciiTheme="minorHAnsi" w:hAnsiTheme="minorHAnsi" w:cs="Times New Roman"/>
          <w:i/>
          <w:sz w:val="22"/>
          <w:szCs w:val="22"/>
          <w:lang w:val="fr-FR"/>
        </w:rPr>
        <w:t xml:space="preserve">*L'aspirine ou le </w:t>
      </w:r>
      <w:proofErr w:type="spellStart"/>
      <w:r w:rsidRPr="00545923">
        <w:rPr>
          <w:rFonts w:asciiTheme="minorHAnsi" w:hAnsiTheme="minorHAnsi" w:cs="Times New Roman"/>
          <w:i/>
          <w:sz w:val="22"/>
          <w:szCs w:val="22"/>
          <w:lang w:val="fr-FR"/>
        </w:rPr>
        <w:t>clopidogrel</w:t>
      </w:r>
      <w:proofErr w:type="spellEnd"/>
      <w:r w:rsidRPr="00545923">
        <w:rPr>
          <w:rFonts w:asciiTheme="minorHAnsi" w:hAnsiTheme="minorHAnsi" w:cs="Times New Roman"/>
          <w:i/>
          <w:sz w:val="22"/>
          <w:szCs w:val="22"/>
          <w:lang w:val="fr-FR"/>
        </w:rPr>
        <w:t xml:space="preserve"> en monothérapie ne sont pas recommandés pour la prévention des accidents vasculaires cérébraux chez les patients atteints de FA, ils sont nocifs. </w:t>
      </w:r>
    </w:p>
    <w:p w14:paraId="30B905AA" w14:textId="45543F40" w:rsidR="00545923" w:rsidRDefault="00545923" w:rsidP="0043334F">
      <w:pPr>
        <w:pStyle w:val="HTMLncedenBiimlendirilmi"/>
        <w:contextualSpacing/>
        <w:jc w:val="both"/>
        <w:rPr>
          <w:rFonts w:asciiTheme="minorHAnsi" w:hAnsiTheme="minorHAnsi" w:cs="Times New Roman"/>
          <w:i/>
          <w:sz w:val="22"/>
          <w:szCs w:val="22"/>
          <w:lang w:val="fr-FR"/>
        </w:rPr>
      </w:pPr>
      <w:r w:rsidRPr="00545923">
        <w:rPr>
          <w:rFonts w:asciiTheme="minorHAnsi" w:hAnsiTheme="minorHAnsi" w:cs="Times New Roman"/>
          <w:i/>
          <w:sz w:val="22"/>
          <w:szCs w:val="22"/>
          <w:lang w:val="fr-FR"/>
        </w:rPr>
        <w:t>*La bithérapie antiplaquettaire n'est pas non plus recommandée chez les patients présentant une OAC contre</w:t>
      </w:r>
      <w:r>
        <w:rPr>
          <w:rFonts w:asciiTheme="minorHAnsi" w:hAnsiTheme="minorHAnsi" w:cs="Times New Roman"/>
          <w:i/>
          <w:sz w:val="22"/>
          <w:szCs w:val="22"/>
          <w:lang w:val="fr-FR"/>
        </w:rPr>
        <w:t>-indiquée en raison du risque d’hémorragie</w:t>
      </w:r>
      <w:r w:rsidRPr="00545923">
        <w:rPr>
          <w:rFonts w:asciiTheme="minorHAnsi" w:hAnsiTheme="minorHAnsi" w:cs="Times New Roman"/>
          <w:i/>
          <w:sz w:val="22"/>
          <w:szCs w:val="22"/>
          <w:lang w:val="fr-FR"/>
        </w:rPr>
        <w:t xml:space="preserve">. </w:t>
      </w:r>
    </w:p>
    <w:p w14:paraId="273E8CEE" w14:textId="28A08272" w:rsidR="00545923" w:rsidRPr="00545923" w:rsidRDefault="00545923" w:rsidP="0043334F">
      <w:pPr>
        <w:pStyle w:val="HTMLncedenBiimlendirilmi"/>
        <w:contextualSpacing/>
        <w:jc w:val="both"/>
        <w:rPr>
          <w:rFonts w:asciiTheme="minorHAnsi" w:hAnsiTheme="minorHAnsi" w:cs="Times New Roman"/>
          <w:i/>
          <w:sz w:val="22"/>
          <w:szCs w:val="22"/>
          <w:lang w:val="fr-FR"/>
        </w:rPr>
      </w:pPr>
      <w:r w:rsidRPr="00545923">
        <w:rPr>
          <w:rFonts w:asciiTheme="minorHAnsi" w:hAnsiTheme="minorHAnsi" w:cs="Times New Roman"/>
          <w:i/>
          <w:sz w:val="22"/>
          <w:szCs w:val="22"/>
          <w:lang w:val="fr-FR"/>
        </w:rPr>
        <w:t>* Chez ces patients, en cas de risque élevé d'AVC, la fermeture de l'appendice de l'oreillette gauche peut être recommandée.</w:t>
      </w:r>
    </w:p>
    <w:p w14:paraId="1F0AAFB1" w14:textId="77777777" w:rsidR="00545923" w:rsidRDefault="00545923" w:rsidP="0043334F">
      <w:pPr>
        <w:pStyle w:val="HTMLncedenBiimlendirilmi"/>
        <w:contextualSpacing/>
        <w:jc w:val="both"/>
        <w:rPr>
          <w:rFonts w:asciiTheme="minorHAnsi" w:hAnsiTheme="minorHAnsi" w:cs="Times New Roman"/>
          <w:sz w:val="22"/>
          <w:szCs w:val="22"/>
          <w:lang w:val="fr-FR"/>
        </w:rPr>
      </w:pPr>
    </w:p>
    <w:p w14:paraId="5B74D4B6" w14:textId="0D411A72" w:rsidR="006C24B0" w:rsidRPr="00E21AE0" w:rsidRDefault="006C24B0" w:rsidP="0043334F">
      <w:pPr>
        <w:pStyle w:val="HTMLncedenBiimlendirilmi"/>
        <w:contextualSpacing/>
        <w:jc w:val="both"/>
        <w:rPr>
          <w:rFonts w:asciiTheme="minorHAnsi" w:hAnsiTheme="minorHAnsi" w:cstheme="minorHAnsi"/>
          <w:color w:val="000000" w:themeColor="text1"/>
          <w:sz w:val="22"/>
          <w:szCs w:val="22"/>
          <w:lang w:val="fr-FR"/>
        </w:rPr>
      </w:pPr>
      <w:r w:rsidRPr="00E21AE0">
        <w:rPr>
          <w:rFonts w:asciiTheme="minorHAnsi" w:hAnsiTheme="minorHAnsi"/>
          <w:b/>
          <w:sz w:val="22"/>
          <w:szCs w:val="22"/>
          <w:lang w:val="fr-FR"/>
        </w:rPr>
        <w:t>A2</w:t>
      </w:r>
      <w:r w:rsidR="00965815" w:rsidRPr="00E21AE0">
        <w:rPr>
          <w:rFonts w:asciiTheme="minorHAnsi" w:hAnsiTheme="minorHAnsi"/>
          <w:b/>
          <w:sz w:val="22"/>
          <w:szCs w:val="22"/>
          <w:lang w:val="fr-FR"/>
        </w:rPr>
        <w:t>8</w:t>
      </w:r>
      <w:r w:rsidRPr="00E21AE0">
        <w:rPr>
          <w:rFonts w:asciiTheme="minorHAnsi" w:hAnsiTheme="minorHAnsi"/>
          <w:b/>
          <w:sz w:val="22"/>
          <w:szCs w:val="22"/>
          <w:lang w:val="fr-FR"/>
        </w:rPr>
        <w:t xml:space="preserve">. </w:t>
      </w:r>
      <w:r w:rsidR="00545923" w:rsidRPr="00545923">
        <w:rPr>
          <w:rFonts w:asciiTheme="minorHAnsi" w:hAnsiTheme="minorHAnsi"/>
          <w:b/>
          <w:sz w:val="22"/>
          <w:szCs w:val="22"/>
          <w:lang w:val="fr-FR"/>
        </w:rPr>
        <w:t xml:space="preserve">Le </w:t>
      </w:r>
      <w:proofErr w:type="spellStart"/>
      <w:r w:rsidR="00545923" w:rsidRPr="00545923">
        <w:rPr>
          <w:rFonts w:asciiTheme="minorHAnsi" w:hAnsiTheme="minorHAnsi"/>
          <w:b/>
          <w:sz w:val="22"/>
          <w:szCs w:val="22"/>
          <w:lang w:val="fr-FR"/>
        </w:rPr>
        <w:t>dabigatran</w:t>
      </w:r>
      <w:proofErr w:type="spellEnd"/>
      <w:r w:rsidR="00545923" w:rsidRPr="00545923">
        <w:rPr>
          <w:rFonts w:asciiTheme="minorHAnsi" w:hAnsiTheme="minorHAnsi"/>
          <w:b/>
          <w:sz w:val="22"/>
          <w:szCs w:val="22"/>
          <w:lang w:val="fr-FR"/>
        </w:rPr>
        <w:t xml:space="preserve"> ne convient pas aux patients avec un DFG &lt; 30 ml/min/1,73 m2 </w:t>
      </w:r>
      <w:r w:rsidR="00545923">
        <w:rPr>
          <w:rFonts w:asciiTheme="minorHAnsi" w:hAnsiTheme="minorHAnsi"/>
          <w:b/>
          <w:sz w:val="22"/>
          <w:szCs w:val="22"/>
          <w:lang w:val="fr-FR"/>
        </w:rPr>
        <w:t xml:space="preserve"> </w:t>
      </w:r>
    </w:p>
    <w:p w14:paraId="2306E675" w14:textId="44C53B3F" w:rsidR="00545923" w:rsidRDefault="00545923" w:rsidP="0043334F">
      <w:pPr>
        <w:contextualSpacing/>
        <w:jc w:val="both"/>
        <w:rPr>
          <w:rFonts w:asciiTheme="minorHAnsi" w:hAnsiTheme="minorHAnsi"/>
          <w:i/>
          <w:sz w:val="22"/>
          <w:szCs w:val="22"/>
          <w:lang w:val="fr-FR"/>
        </w:rPr>
      </w:pPr>
      <w:r w:rsidRPr="00545923">
        <w:rPr>
          <w:rFonts w:asciiTheme="minorHAnsi" w:hAnsiTheme="minorHAnsi"/>
          <w:i/>
          <w:sz w:val="22"/>
          <w:szCs w:val="22"/>
          <w:lang w:val="fr-FR"/>
        </w:rPr>
        <w:t xml:space="preserve">*Si le DFG est </w:t>
      </w:r>
      <w:r>
        <w:rPr>
          <w:rFonts w:asciiTheme="minorHAnsi" w:hAnsiTheme="minorHAnsi"/>
          <w:i/>
          <w:sz w:val="22"/>
          <w:szCs w:val="22"/>
          <w:lang w:val="fr-FR"/>
        </w:rPr>
        <w:t xml:space="preserve">de </w:t>
      </w:r>
      <w:r w:rsidRPr="00545923">
        <w:rPr>
          <w:rFonts w:asciiTheme="minorHAnsi" w:hAnsiTheme="minorHAnsi"/>
          <w:i/>
          <w:sz w:val="22"/>
          <w:szCs w:val="22"/>
          <w:lang w:val="fr-FR"/>
        </w:rPr>
        <w:t xml:space="preserve">&lt;15 ml/min/1,73 m2, aucun NOAC ne doit être utilisé. </w:t>
      </w:r>
    </w:p>
    <w:p w14:paraId="62545E7B" w14:textId="77777777" w:rsidR="00545923" w:rsidRDefault="00545923" w:rsidP="0043334F">
      <w:pPr>
        <w:contextualSpacing/>
        <w:jc w:val="both"/>
        <w:rPr>
          <w:rFonts w:asciiTheme="minorHAnsi" w:hAnsiTheme="minorHAnsi"/>
          <w:i/>
          <w:sz w:val="22"/>
          <w:szCs w:val="22"/>
          <w:lang w:val="fr-FR"/>
        </w:rPr>
      </w:pPr>
      <w:r w:rsidRPr="00545923">
        <w:rPr>
          <w:rFonts w:asciiTheme="minorHAnsi" w:hAnsiTheme="minorHAnsi"/>
          <w:i/>
          <w:sz w:val="22"/>
          <w:szCs w:val="22"/>
          <w:lang w:val="fr-FR"/>
        </w:rPr>
        <w:t>*Bien qu'il existe des preuves limitées pour l'</w:t>
      </w:r>
      <w:proofErr w:type="spellStart"/>
      <w:r w:rsidRPr="00545923">
        <w:rPr>
          <w:rFonts w:asciiTheme="minorHAnsi" w:hAnsiTheme="minorHAnsi"/>
          <w:i/>
          <w:sz w:val="22"/>
          <w:szCs w:val="22"/>
          <w:lang w:val="fr-FR"/>
        </w:rPr>
        <w:t>apixaban</w:t>
      </w:r>
      <w:proofErr w:type="spellEnd"/>
      <w:r w:rsidRPr="00545923">
        <w:rPr>
          <w:rFonts w:asciiTheme="minorHAnsi" w:hAnsiTheme="minorHAnsi"/>
          <w:i/>
          <w:sz w:val="22"/>
          <w:szCs w:val="22"/>
          <w:lang w:val="fr-FR"/>
        </w:rPr>
        <w:t xml:space="preserve">, le </w:t>
      </w:r>
      <w:proofErr w:type="spellStart"/>
      <w:r w:rsidRPr="00545923">
        <w:rPr>
          <w:rFonts w:asciiTheme="minorHAnsi" w:hAnsiTheme="minorHAnsi"/>
          <w:i/>
          <w:sz w:val="22"/>
          <w:szCs w:val="22"/>
          <w:lang w:val="fr-FR"/>
        </w:rPr>
        <w:t>rivaroxaban</w:t>
      </w:r>
      <w:proofErr w:type="spellEnd"/>
      <w:r w:rsidRPr="00545923">
        <w:rPr>
          <w:rFonts w:asciiTheme="minorHAnsi" w:hAnsiTheme="minorHAnsi"/>
          <w:i/>
          <w:sz w:val="22"/>
          <w:szCs w:val="22"/>
          <w:lang w:val="fr-FR"/>
        </w:rPr>
        <w:t xml:space="preserve"> et l'</w:t>
      </w:r>
      <w:proofErr w:type="spellStart"/>
      <w:r w:rsidRPr="00545923">
        <w:rPr>
          <w:rFonts w:asciiTheme="minorHAnsi" w:hAnsiTheme="minorHAnsi"/>
          <w:i/>
          <w:sz w:val="22"/>
          <w:szCs w:val="22"/>
          <w:lang w:val="fr-FR"/>
        </w:rPr>
        <w:t>edoxaban</w:t>
      </w:r>
      <w:proofErr w:type="spellEnd"/>
      <w:r w:rsidRPr="00545923">
        <w:rPr>
          <w:rFonts w:asciiTheme="minorHAnsi" w:hAnsiTheme="minorHAnsi"/>
          <w:i/>
          <w:sz w:val="22"/>
          <w:szCs w:val="22"/>
          <w:lang w:val="fr-FR"/>
        </w:rPr>
        <w:t xml:space="preserve"> chez les patients avec un DFG de 15-30 ml/min/1,73 m2, leur utilisation n'est généralement pas recommandée. </w:t>
      </w:r>
    </w:p>
    <w:p w14:paraId="03763FB1" w14:textId="4FF26159" w:rsidR="00545923" w:rsidRDefault="00545923" w:rsidP="0043334F">
      <w:pPr>
        <w:contextualSpacing/>
        <w:jc w:val="both"/>
        <w:rPr>
          <w:rFonts w:asciiTheme="minorHAnsi" w:hAnsiTheme="minorHAnsi"/>
          <w:i/>
          <w:sz w:val="22"/>
          <w:szCs w:val="22"/>
          <w:lang w:val="fr-FR"/>
        </w:rPr>
      </w:pPr>
      <w:r w:rsidRPr="00545923">
        <w:rPr>
          <w:rFonts w:asciiTheme="minorHAnsi" w:hAnsiTheme="minorHAnsi"/>
          <w:i/>
          <w:sz w:val="22"/>
          <w:szCs w:val="22"/>
          <w:lang w:val="fr-FR"/>
        </w:rPr>
        <w:t>*Les anticoagulants peuvent ne pas être administrés dans les cas de FA avec un DFG &lt; 30 ml/min/1,73 m2, chez les patients présentant un risque élevé de chute ou ayant eu une hémorragie menaçant le pronostic vital, chez les patients qui ne veulent pas risquer de saignement, chez les patients qui auront des difficultés à contrôler l'INR, chez les patients avec une HT</w:t>
      </w:r>
      <w:r>
        <w:rPr>
          <w:rFonts w:asciiTheme="minorHAnsi" w:hAnsiTheme="minorHAnsi"/>
          <w:i/>
          <w:sz w:val="22"/>
          <w:szCs w:val="22"/>
          <w:lang w:val="fr-FR"/>
        </w:rPr>
        <w:t>A</w:t>
      </w:r>
      <w:r w:rsidRPr="00545923">
        <w:rPr>
          <w:rFonts w:asciiTheme="minorHAnsi" w:hAnsiTheme="minorHAnsi"/>
          <w:i/>
          <w:sz w:val="22"/>
          <w:szCs w:val="22"/>
          <w:lang w:val="fr-FR"/>
        </w:rPr>
        <w:t xml:space="preserve"> mal contrôlée. </w:t>
      </w:r>
    </w:p>
    <w:p w14:paraId="7A5B5684" w14:textId="77777777" w:rsidR="00545923" w:rsidRDefault="00545923" w:rsidP="0043334F">
      <w:pPr>
        <w:contextualSpacing/>
        <w:jc w:val="both"/>
        <w:rPr>
          <w:rFonts w:asciiTheme="minorHAnsi" w:hAnsiTheme="minorHAnsi"/>
          <w:i/>
          <w:sz w:val="22"/>
          <w:szCs w:val="22"/>
          <w:lang w:val="fr-FR"/>
        </w:rPr>
      </w:pPr>
      <w:r w:rsidRPr="00545923">
        <w:rPr>
          <w:rFonts w:asciiTheme="minorHAnsi" w:hAnsiTheme="minorHAnsi"/>
          <w:i/>
          <w:sz w:val="22"/>
          <w:szCs w:val="22"/>
          <w:lang w:val="fr-FR"/>
        </w:rPr>
        <w:t>*L'anticoagulant n'est pas recommandé chez les patients en FA sous dialyse [sauf en cas de risque très élevé d'AVC : thrombus auriculaire, antécédent d'AIT</w:t>
      </w:r>
      <w:r>
        <w:rPr>
          <w:rFonts w:asciiTheme="minorHAnsi" w:hAnsiTheme="minorHAnsi"/>
          <w:i/>
          <w:sz w:val="22"/>
          <w:szCs w:val="22"/>
          <w:lang w:val="fr-FR"/>
        </w:rPr>
        <w:t>-AVC</w:t>
      </w:r>
      <w:r w:rsidRPr="00545923">
        <w:rPr>
          <w:rFonts w:asciiTheme="minorHAnsi" w:hAnsiTheme="minorHAnsi"/>
          <w:i/>
          <w:sz w:val="22"/>
          <w:szCs w:val="22"/>
          <w:lang w:val="fr-FR"/>
        </w:rPr>
        <w:t xml:space="preserve">, valvulopathie : (SEP modérée sévère, prothèse valvulaire)]. Si une anticoagulation est indiquée, la </w:t>
      </w:r>
      <w:proofErr w:type="spellStart"/>
      <w:r w:rsidRPr="00545923">
        <w:rPr>
          <w:rFonts w:asciiTheme="minorHAnsi" w:hAnsiTheme="minorHAnsi"/>
          <w:i/>
          <w:sz w:val="22"/>
          <w:szCs w:val="22"/>
          <w:lang w:val="fr-FR"/>
        </w:rPr>
        <w:t>warfarine</w:t>
      </w:r>
      <w:proofErr w:type="spellEnd"/>
      <w:r w:rsidRPr="00545923">
        <w:rPr>
          <w:rFonts w:asciiTheme="minorHAnsi" w:hAnsiTheme="minorHAnsi"/>
          <w:i/>
          <w:sz w:val="22"/>
          <w:szCs w:val="22"/>
          <w:lang w:val="fr-FR"/>
        </w:rPr>
        <w:t xml:space="preserve"> est recommandée. </w:t>
      </w:r>
    </w:p>
    <w:p w14:paraId="563E1CE4" w14:textId="77777777" w:rsidR="005011F6" w:rsidRDefault="00545923" w:rsidP="0043334F">
      <w:pPr>
        <w:contextualSpacing/>
        <w:jc w:val="both"/>
        <w:rPr>
          <w:rFonts w:asciiTheme="minorHAnsi" w:hAnsiTheme="minorHAnsi"/>
          <w:i/>
          <w:sz w:val="22"/>
          <w:szCs w:val="22"/>
          <w:lang w:val="fr-FR"/>
        </w:rPr>
      </w:pPr>
      <w:r w:rsidRPr="00545923">
        <w:rPr>
          <w:rFonts w:asciiTheme="minorHAnsi" w:hAnsiTheme="minorHAnsi"/>
          <w:i/>
          <w:sz w:val="22"/>
          <w:szCs w:val="22"/>
          <w:lang w:val="fr-FR"/>
        </w:rPr>
        <w:t xml:space="preserve">* Dans les cas de FA avec un risque élevé d'AVC, la fermeture de l'appendice de l'oreillette gauche peut être recommandée si les </w:t>
      </w:r>
      <w:r w:rsidR="005011F6">
        <w:rPr>
          <w:rFonts w:asciiTheme="minorHAnsi" w:hAnsiTheme="minorHAnsi"/>
          <w:i/>
          <w:sz w:val="22"/>
          <w:szCs w:val="22"/>
          <w:lang w:val="fr-FR"/>
        </w:rPr>
        <w:t>OAC</w:t>
      </w:r>
      <w:r w:rsidRPr="00545923">
        <w:rPr>
          <w:rFonts w:asciiTheme="minorHAnsi" w:hAnsiTheme="minorHAnsi"/>
          <w:i/>
          <w:sz w:val="22"/>
          <w:szCs w:val="22"/>
          <w:lang w:val="fr-FR"/>
        </w:rPr>
        <w:t xml:space="preserve"> ne peuvent pas être utilisés. </w:t>
      </w:r>
    </w:p>
    <w:p w14:paraId="30E99719" w14:textId="79D5A541" w:rsidR="00545923" w:rsidRDefault="005011F6" w:rsidP="0043334F">
      <w:pPr>
        <w:contextualSpacing/>
        <w:jc w:val="both"/>
        <w:rPr>
          <w:rFonts w:asciiTheme="minorHAnsi" w:hAnsiTheme="minorHAnsi"/>
          <w:i/>
          <w:sz w:val="22"/>
          <w:szCs w:val="22"/>
          <w:lang w:val="fr-FR"/>
        </w:rPr>
      </w:pPr>
      <w:r>
        <w:rPr>
          <w:rFonts w:asciiTheme="minorHAnsi" w:hAnsiTheme="minorHAnsi"/>
          <w:i/>
          <w:sz w:val="22"/>
          <w:szCs w:val="22"/>
          <w:lang w:val="fr-FR"/>
        </w:rPr>
        <w:t>*L’</w:t>
      </w:r>
      <w:proofErr w:type="spellStart"/>
      <w:r>
        <w:rPr>
          <w:rFonts w:asciiTheme="minorHAnsi" w:hAnsiTheme="minorHAnsi"/>
          <w:i/>
          <w:sz w:val="22"/>
          <w:szCs w:val="22"/>
          <w:lang w:val="fr-FR"/>
        </w:rPr>
        <w:t>e</w:t>
      </w:r>
      <w:r w:rsidR="00545923" w:rsidRPr="00545923">
        <w:rPr>
          <w:rFonts w:asciiTheme="minorHAnsi" w:hAnsiTheme="minorHAnsi"/>
          <w:i/>
          <w:sz w:val="22"/>
          <w:szCs w:val="22"/>
          <w:lang w:val="fr-FR"/>
        </w:rPr>
        <w:t>doxaban</w:t>
      </w:r>
      <w:proofErr w:type="spellEnd"/>
      <w:r w:rsidR="00545923" w:rsidRPr="00545923">
        <w:rPr>
          <w:rFonts w:asciiTheme="minorHAnsi" w:hAnsiTheme="minorHAnsi"/>
          <w:i/>
          <w:sz w:val="22"/>
          <w:szCs w:val="22"/>
          <w:lang w:val="fr-FR"/>
        </w:rPr>
        <w:t xml:space="preserve"> ne doit pas être utilisé dans les cas avec un DFG &gt; 95 ml/min/1,73 m2.</w:t>
      </w:r>
      <w:r w:rsidR="00545923">
        <w:rPr>
          <w:rFonts w:asciiTheme="minorHAnsi" w:hAnsiTheme="minorHAnsi"/>
          <w:i/>
          <w:sz w:val="22"/>
          <w:szCs w:val="22"/>
          <w:lang w:val="fr-FR"/>
        </w:rPr>
        <w:t xml:space="preserve">  </w:t>
      </w:r>
    </w:p>
    <w:p w14:paraId="69683066" w14:textId="77777777" w:rsidR="00545923" w:rsidRDefault="00545923" w:rsidP="0043334F">
      <w:pPr>
        <w:contextualSpacing/>
        <w:jc w:val="both"/>
        <w:rPr>
          <w:rFonts w:asciiTheme="minorHAnsi" w:hAnsiTheme="minorHAnsi"/>
          <w:i/>
          <w:sz w:val="22"/>
          <w:szCs w:val="22"/>
          <w:lang w:val="fr-FR"/>
        </w:rPr>
      </w:pPr>
    </w:p>
    <w:p w14:paraId="2E07400A" w14:textId="77777777" w:rsidR="00873A44" w:rsidRPr="00E21AE0" w:rsidRDefault="00873A44" w:rsidP="0043334F">
      <w:pPr>
        <w:spacing w:before="100" w:beforeAutospacing="1" w:after="100" w:afterAutospacing="1"/>
        <w:contextualSpacing/>
        <w:jc w:val="both"/>
        <w:rPr>
          <w:rFonts w:asciiTheme="minorHAnsi" w:hAnsiTheme="minorHAnsi"/>
          <w:b/>
          <w:sz w:val="22"/>
          <w:szCs w:val="22"/>
          <w:lang w:val="fr-FR"/>
        </w:rPr>
      </w:pPr>
    </w:p>
    <w:p w14:paraId="67308D68" w14:textId="62E3D27A" w:rsidR="00873A44" w:rsidRPr="00E21AE0" w:rsidRDefault="00E66E29" w:rsidP="0043334F">
      <w:pPr>
        <w:spacing w:before="100" w:beforeAutospacing="1" w:after="100" w:afterAutospacing="1"/>
        <w:contextualSpacing/>
        <w:jc w:val="both"/>
        <w:rPr>
          <w:rFonts w:asciiTheme="minorHAnsi" w:hAnsiTheme="minorHAnsi"/>
          <w:b/>
          <w:sz w:val="22"/>
          <w:szCs w:val="22"/>
          <w:lang w:val="fr-FR"/>
        </w:rPr>
      </w:pPr>
      <w:r w:rsidRPr="00E21AE0">
        <w:rPr>
          <w:rFonts w:ascii="Calibri" w:hAnsi="Calibri" w:cs="Calibri"/>
          <w:b/>
          <w:sz w:val="22"/>
          <w:szCs w:val="22"/>
          <w:lang w:val="fr-FR"/>
        </w:rPr>
        <w:t>#</w:t>
      </w:r>
      <w:r w:rsidR="006C24B0" w:rsidRPr="00E21AE0">
        <w:rPr>
          <w:rFonts w:asciiTheme="minorHAnsi" w:hAnsiTheme="minorHAnsi"/>
          <w:b/>
          <w:sz w:val="22"/>
          <w:szCs w:val="22"/>
          <w:lang w:val="fr-FR"/>
        </w:rPr>
        <w:t>A</w:t>
      </w:r>
      <w:r w:rsidR="00965815" w:rsidRPr="00E21AE0">
        <w:rPr>
          <w:rFonts w:asciiTheme="minorHAnsi" w:hAnsiTheme="minorHAnsi"/>
          <w:b/>
          <w:sz w:val="22"/>
          <w:szCs w:val="22"/>
          <w:lang w:val="fr-FR"/>
        </w:rPr>
        <w:t>29</w:t>
      </w:r>
      <w:r w:rsidR="006C24B0" w:rsidRPr="00E21AE0">
        <w:rPr>
          <w:rFonts w:asciiTheme="minorHAnsi" w:hAnsiTheme="minorHAnsi"/>
          <w:b/>
          <w:sz w:val="22"/>
          <w:szCs w:val="22"/>
          <w:lang w:val="fr-FR"/>
        </w:rPr>
        <w:t xml:space="preserve">. </w:t>
      </w:r>
      <w:r w:rsidR="005011F6" w:rsidRPr="005011F6">
        <w:rPr>
          <w:rFonts w:asciiTheme="minorHAnsi" w:hAnsiTheme="minorHAnsi"/>
          <w:b/>
          <w:sz w:val="22"/>
          <w:szCs w:val="22"/>
          <w:lang w:val="fr-FR"/>
        </w:rPr>
        <w:t xml:space="preserve">L'utilisation de </w:t>
      </w:r>
      <w:proofErr w:type="spellStart"/>
      <w:r w:rsidR="005011F6" w:rsidRPr="005011F6">
        <w:rPr>
          <w:rFonts w:asciiTheme="minorHAnsi" w:hAnsiTheme="minorHAnsi"/>
          <w:b/>
          <w:sz w:val="22"/>
          <w:szCs w:val="22"/>
          <w:lang w:val="fr-FR"/>
        </w:rPr>
        <w:t>warfarine</w:t>
      </w:r>
      <w:proofErr w:type="spellEnd"/>
      <w:r w:rsidR="005011F6" w:rsidRPr="005011F6">
        <w:rPr>
          <w:rFonts w:asciiTheme="minorHAnsi" w:hAnsiTheme="minorHAnsi"/>
          <w:b/>
          <w:sz w:val="22"/>
          <w:szCs w:val="22"/>
          <w:lang w:val="fr-FR"/>
        </w:rPr>
        <w:t xml:space="preserve"> n'est pas appropriée chez les patients atteints de FA non valvulaire qui souffrent de malnutrition ou qui ont une alimentation irrégulière. </w:t>
      </w:r>
      <w:r w:rsidR="005011F6">
        <w:rPr>
          <w:rFonts w:asciiTheme="minorHAnsi" w:hAnsiTheme="minorHAnsi"/>
          <w:b/>
          <w:sz w:val="22"/>
          <w:szCs w:val="22"/>
          <w:lang w:val="fr-FR"/>
        </w:rPr>
        <w:t xml:space="preserve"> </w:t>
      </w:r>
    </w:p>
    <w:p w14:paraId="4CADBD73" w14:textId="77777777" w:rsidR="00A67B6A" w:rsidRPr="00E21AE0" w:rsidRDefault="00A67B6A" w:rsidP="0043334F">
      <w:pPr>
        <w:spacing w:before="100" w:beforeAutospacing="1" w:after="100" w:afterAutospacing="1"/>
        <w:contextualSpacing/>
        <w:jc w:val="both"/>
        <w:rPr>
          <w:rFonts w:asciiTheme="minorHAnsi" w:hAnsiTheme="minorHAnsi"/>
          <w:b/>
          <w:sz w:val="22"/>
          <w:szCs w:val="22"/>
          <w:lang w:val="fr-FR"/>
        </w:rPr>
      </w:pPr>
    </w:p>
    <w:p w14:paraId="04BDDC27" w14:textId="77777777" w:rsidR="00A67B6A" w:rsidRPr="00E21AE0" w:rsidRDefault="00A67B6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000000"/>
          <w:sz w:val="22"/>
          <w:szCs w:val="22"/>
          <w:lang w:val="fr-FR" w:eastAsia="en-GB"/>
        </w:rPr>
      </w:pPr>
    </w:p>
    <w:p w14:paraId="5DA378F0" w14:textId="5A9FE715" w:rsidR="005011F6" w:rsidRDefault="006C24B0" w:rsidP="0043334F">
      <w:pPr>
        <w:spacing w:before="100" w:beforeAutospacing="1" w:after="100" w:afterAutospacing="1"/>
        <w:contextualSpacing/>
        <w:jc w:val="both"/>
        <w:rPr>
          <w:rFonts w:asciiTheme="minorHAnsi" w:hAnsiTheme="minorHAnsi"/>
          <w:b/>
          <w:sz w:val="22"/>
          <w:szCs w:val="22"/>
          <w:lang w:val="fr-FR"/>
        </w:rPr>
      </w:pPr>
      <w:r w:rsidRPr="00E21AE0">
        <w:rPr>
          <w:rFonts w:asciiTheme="minorHAnsi" w:hAnsiTheme="minorHAnsi"/>
          <w:b/>
          <w:sz w:val="22"/>
          <w:szCs w:val="22"/>
          <w:lang w:val="fr-FR"/>
        </w:rPr>
        <w:t>A3</w:t>
      </w:r>
      <w:r w:rsidR="00965815" w:rsidRPr="00E21AE0">
        <w:rPr>
          <w:rFonts w:asciiTheme="minorHAnsi" w:hAnsiTheme="minorHAnsi"/>
          <w:b/>
          <w:sz w:val="22"/>
          <w:szCs w:val="22"/>
          <w:lang w:val="fr-FR"/>
        </w:rPr>
        <w:t>0</w:t>
      </w:r>
      <w:r w:rsidRPr="00E21AE0">
        <w:rPr>
          <w:rFonts w:asciiTheme="minorHAnsi" w:hAnsiTheme="minorHAnsi"/>
          <w:b/>
          <w:sz w:val="22"/>
          <w:szCs w:val="22"/>
          <w:lang w:val="fr-FR"/>
        </w:rPr>
        <w:t xml:space="preserve">. </w:t>
      </w:r>
      <w:r w:rsidR="005011F6" w:rsidRPr="005011F6">
        <w:rPr>
          <w:rFonts w:asciiTheme="minorHAnsi" w:hAnsiTheme="minorHAnsi"/>
          <w:b/>
          <w:sz w:val="22"/>
          <w:szCs w:val="22"/>
          <w:lang w:val="fr-FR"/>
        </w:rPr>
        <w:t xml:space="preserve">L'utilisation de médicaments à index thérapeutique étroit, tels que la </w:t>
      </w:r>
      <w:proofErr w:type="spellStart"/>
      <w:r w:rsidR="005011F6" w:rsidRPr="005011F6">
        <w:rPr>
          <w:rFonts w:asciiTheme="minorHAnsi" w:hAnsiTheme="minorHAnsi"/>
          <w:b/>
          <w:sz w:val="22"/>
          <w:szCs w:val="22"/>
          <w:lang w:val="fr-FR"/>
        </w:rPr>
        <w:t>warfarine</w:t>
      </w:r>
      <w:proofErr w:type="spellEnd"/>
      <w:r w:rsidR="005011F6" w:rsidRPr="005011F6">
        <w:rPr>
          <w:rFonts w:asciiTheme="minorHAnsi" w:hAnsiTheme="minorHAnsi"/>
          <w:b/>
          <w:sz w:val="22"/>
          <w:szCs w:val="22"/>
          <w:lang w:val="fr-FR"/>
        </w:rPr>
        <w:t xml:space="preserve"> et la </w:t>
      </w:r>
      <w:proofErr w:type="spellStart"/>
      <w:r w:rsidR="005011F6" w:rsidRPr="005011F6">
        <w:rPr>
          <w:rFonts w:asciiTheme="minorHAnsi" w:hAnsiTheme="minorHAnsi"/>
          <w:b/>
          <w:sz w:val="22"/>
          <w:szCs w:val="22"/>
          <w:lang w:val="fr-FR"/>
        </w:rPr>
        <w:t>digoxine</w:t>
      </w:r>
      <w:proofErr w:type="spellEnd"/>
      <w:r w:rsidR="005011F6" w:rsidRPr="005011F6">
        <w:rPr>
          <w:rFonts w:asciiTheme="minorHAnsi" w:hAnsiTheme="minorHAnsi"/>
          <w:b/>
          <w:sz w:val="22"/>
          <w:szCs w:val="22"/>
          <w:lang w:val="fr-FR"/>
        </w:rPr>
        <w:t>, n'est pas appropriée chez les patients qui ont des difficultés à utiliser e</w:t>
      </w:r>
      <w:r w:rsidR="005011F6">
        <w:rPr>
          <w:rFonts w:asciiTheme="minorHAnsi" w:hAnsiTheme="minorHAnsi"/>
          <w:b/>
          <w:sz w:val="22"/>
          <w:szCs w:val="22"/>
          <w:lang w:val="fr-FR"/>
        </w:rPr>
        <w:t>t à gérer leurs médicaments (ex : patients atteints de troubles cognitifs) et qui sont sans assistance (</w:t>
      </w:r>
      <w:r w:rsidR="005011F6" w:rsidRPr="005011F6">
        <w:rPr>
          <w:rFonts w:asciiTheme="minorHAnsi" w:hAnsiTheme="minorHAnsi"/>
          <w:b/>
          <w:sz w:val="22"/>
          <w:szCs w:val="22"/>
          <w:lang w:val="fr-FR"/>
        </w:rPr>
        <w:t>ex. soignants)</w:t>
      </w:r>
      <w:r w:rsidR="005011F6">
        <w:rPr>
          <w:rFonts w:asciiTheme="minorHAnsi" w:hAnsiTheme="minorHAnsi"/>
          <w:b/>
          <w:sz w:val="22"/>
          <w:szCs w:val="22"/>
          <w:lang w:val="fr-FR"/>
        </w:rPr>
        <w:t xml:space="preserve">, (risque </w:t>
      </w:r>
      <w:r w:rsidR="005011F6" w:rsidRPr="005011F6">
        <w:rPr>
          <w:rFonts w:asciiTheme="minorHAnsi" w:hAnsiTheme="minorHAnsi"/>
          <w:b/>
          <w:sz w:val="22"/>
          <w:szCs w:val="22"/>
          <w:lang w:val="fr-FR"/>
        </w:rPr>
        <w:t>de toxicité mortelle).</w:t>
      </w:r>
      <w:r w:rsidR="005011F6">
        <w:rPr>
          <w:rFonts w:asciiTheme="minorHAnsi" w:hAnsiTheme="minorHAnsi"/>
          <w:b/>
          <w:sz w:val="22"/>
          <w:szCs w:val="22"/>
          <w:lang w:val="fr-FR"/>
        </w:rPr>
        <w:t xml:space="preserve"> </w:t>
      </w:r>
    </w:p>
    <w:p w14:paraId="79FFE959" w14:textId="77777777" w:rsidR="005011F6" w:rsidRDefault="005011F6" w:rsidP="0043334F">
      <w:pPr>
        <w:spacing w:before="100" w:beforeAutospacing="1" w:after="100" w:afterAutospacing="1"/>
        <w:contextualSpacing/>
        <w:jc w:val="both"/>
        <w:rPr>
          <w:rFonts w:asciiTheme="minorHAnsi" w:hAnsiTheme="minorHAnsi"/>
          <w:b/>
          <w:sz w:val="22"/>
          <w:szCs w:val="22"/>
          <w:lang w:val="fr-FR"/>
        </w:rPr>
      </w:pPr>
    </w:p>
    <w:p w14:paraId="366BAF94" w14:textId="77777777" w:rsidR="00A67B6A" w:rsidRPr="00E21AE0" w:rsidRDefault="00A67B6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sz w:val="22"/>
          <w:szCs w:val="22"/>
          <w:shd w:val="clear" w:color="auto" w:fill="FFFFFF"/>
          <w:lang w:val="fr-FR"/>
        </w:rPr>
      </w:pPr>
    </w:p>
    <w:p w14:paraId="5C3B9D4D" w14:textId="38CD3E2D" w:rsidR="006C24B0" w:rsidRPr="00E21AE0" w:rsidRDefault="00E66E29" w:rsidP="0043334F">
      <w:pPr>
        <w:spacing w:before="100" w:beforeAutospacing="1" w:after="100" w:afterAutospacing="1"/>
        <w:contextualSpacing/>
        <w:jc w:val="both"/>
        <w:rPr>
          <w:rFonts w:asciiTheme="minorHAnsi" w:hAnsiTheme="minorHAnsi"/>
          <w:b/>
          <w:i/>
          <w:sz w:val="22"/>
          <w:szCs w:val="22"/>
          <w:lang w:val="fr-FR"/>
        </w:rPr>
      </w:pPr>
      <w:r w:rsidRPr="00E21AE0">
        <w:rPr>
          <w:rFonts w:ascii="Calibri" w:hAnsi="Calibri" w:cs="Calibri"/>
          <w:b/>
          <w:sz w:val="22"/>
          <w:szCs w:val="22"/>
          <w:lang w:val="fr-FR"/>
        </w:rPr>
        <w:t>#</w:t>
      </w:r>
      <w:r w:rsidR="006C24B0" w:rsidRPr="00E21AE0">
        <w:rPr>
          <w:rFonts w:asciiTheme="minorHAnsi" w:hAnsiTheme="minorHAnsi"/>
          <w:b/>
          <w:sz w:val="22"/>
          <w:szCs w:val="22"/>
          <w:lang w:val="fr-FR"/>
        </w:rPr>
        <w:t>A3</w:t>
      </w:r>
      <w:r w:rsidR="00965815" w:rsidRPr="00E21AE0">
        <w:rPr>
          <w:rFonts w:asciiTheme="minorHAnsi" w:hAnsiTheme="minorHAnsi"/>
          <w:b/>
          <w:sz w:val="22"/>
          <w:szCs w:val="22"/>
          <w:lang w:val="fr-FR"/>
        </w:rPr>
        <w:t>1</w:t>
      </w:r>
      <w:r w:rsidR="006C24B0" w:rsidRPr="00E21AE0">
        <w:rPr>
          <w:rFonts w:asciiTheme="minorHAnsi" w:hAnsiTheme="minorHAnsi"/>
          <w:b/>
          <w:sz w:val="22"/>
          <w:szCs w:val="22"/>
          <w:lang w:val="fr-FR"/>
        </w:rPr>
        <w:t>.</w:t>
      </w:r>
      <w:r w:rsidR="00181929" w:rsidRPr="00E21AE0">
        <w:rPr>
          <w:rFonts w:asciiTheme="minorHAnsi" w:hAnsiTheme="minorHAnsi"/>
          <w:b/>
          <w:sz w:val="22"/>
          <w:szCs w:val="22"/>
          <w:lang w:val="fr-FR"/>
        </w:rPr>
        <w:t xml:space="preserve"> </w:t>
      </w:r>
      <w:proofErr w:type="spellStart"/>
      <w:r w:rsidR="005011F6" w:rsidRPr="005011F6">
        <w:rPr>
          <w:rFonts w:asciiTheme="minorHAnsi" w:hAnsiTheme="minorHAnsi"/>
          <w:b/>
          <w:sz w:val="22"/>
          <w:szCs w:val="22"/>
          <w:lang w:val="fr-FR"/>
        </w:rPr>
        <w:t>Prasugrel</w:t>
      </w:r>
      <w:proofErr w:type="spellEnd"/>
      <w:r w:rsidR="005011F6" w:rsidRPr="005011F6">
        <w:rPr>
          <w:rFonts w:asciiTheme="minorHAnsi" w:hAnsiTheme="minorHAnsi"/>
          <w:b/>
          <w:sz w:val="22"/>
          <w:szCs w:val="22"/>
          <w:lang w:val="fr-FR"/>
        </w:rPr>
        <w:t xml:space="preserve"> ne convient pas aux patients âgés de 75 ans ou plus ou à ceux qui ont subi un AIT/un AVC </w:t>
      </w:r>
      <w:r w:rsidR="005011F6">
        <w:rPr>
          <w:rFonts w:asciiTheme="minorHAnsi" w:hAnsiTheme="minorHAnsi"/>
          <w:b/>
          <w:sz w:val="22"/>
          <w:szCs w:val="22"/>
          <w:lang w:val="fr-FR"/>
        </w:rPr>
        <w:t xml:space="preserve"> </w:t>
      </w:r>
    </w:p>
    <w:p w14:paraId="760E7952" w14:textId="77777777" w:rsidR="00873A44" w:rsidRPr="00E21AE0" w:rsidRDefault="00873A44" w:rsidP="0043334F">
      <w:pPr>
        <w:spacing w:before="100" w:beforeAutospacing="1" w:after="100" w:afterAutospacing="1"/>
        <w:contextualSpacing/>
        <w:jc w:val="both"/>
        <w:rPr>
          <w:rFonts w:asciiTheme="minorHAnsi" w:hAnsiTheme="minorHAnsi" w:cstheme="minorHAnsi"/>
          <w:sz w:val="22"/>
          <w:szCs w:val="22"/>
          <w:lang w:val="fr-FR"/>
        </w:rPr>
      </w:pPr>
    </w:p>
    <w:p w14:paraId="7FB30D64" w14:textId="77777777" w:rsidR="0077695B" w:rsidRPr="00E21AE0" w:rsidRDefault="0077695B" w:rsidP="0043334F">
      <w:pPr>
        <w:spacing w:before="100" w:beforeAutospacing="1" w:after="100" w:afterAutospacing="1"/>
        <w:contextualSpacing/>
        <w:jc w:val="both"/>
        <w:rPr>
          <w:rFonts w:asciiTheme="minorHAnsi" w:hAnsiTheme="minorHAnsi" w:cstheme="minorHAnsi"/>
          <w:sz w:val="22"/>
          <w:szCs w:val="22"/>
          <w:lang w:val="fr-FR"/>
        </w:rPr>
      </w:pPr>
    </w:p>
    <w:p w14:paraId="63FA5806" w14:textId="77777777" w:rsidR="005011F6" w:rsidRDefault="006C24B0" w:rsidP="0043334F">
      <w:pPr>
        <w:spacing w:before="100" w:beforeAutospacing="1" w:after="100" w:afterAutospacing="1"/>
        <w:contextualSpacing/>
        <w:jc w:val="both"/>
        <w:rPr>
          <w:rFonts w:asciiTheme="minorHAnsi" w:hAnsiTheme="minorHAnsi"/>
          <w:b/>
          <w:sz w:val="22"/>
          <w:szCs w:val="22"/>
          <w:lang w:val="fr-FR"/>
        </w:rPr>
      </w:pPr>
      <w:r w:rsidRPr="00E21AE0">
        <w:rPr>
          <w:rFonts w:asciiTheme="minorHAnsi" w:hAnsiTheme="minorHAnsi"/>
          <w:b/>
          <w:sz w:val="22"/>
          <w:szCs w:val="22"/>
          <w:lang w:val="fr-FR"/>
        </w:rPr>
        <w:t>A3</w:t>
      </w:r>
      <w:r w:rsidR="00965815" w:rsidRPr="00E21AE0">
        <w:rPr>
          <w:rFonts w:asciiTheme="minorHAnsi" w:hAnsiTheme="minorHAnsi"/>
          <w:b/>
          <w:sz w:val="22"/>
          <w:szCs w:val="22"/>
          <w:lang w:val="fr-FR"/>
        </w:rPr>
        <w:t>2</w:t>
      </w:r>
      <w:r w:rsidRPr="00E21AE0">
        <w:rPr>
          <w:rFonts w:asciiTheme="minorHAnsi" w:hAnsiTheme="minorHAnsi"/>
          <w:b/>
          <w:sz w:val="22"/>
          <w:szCs w:val="22"/>
          <w:lang w:val="fr-FR"/>
        </w:rPr>
        <w:t xml:space="preserve">. </w:t>
      </w:r>
      <w:r w:rsidR="005011F6" w:rsidRPr="005011F6">
        <w:rPr>
          <w:rFonts w:asciiTheme="minorHAnsi" w:hAnsiTheme="minorHAnsi"/>
          <w:b/>
          <w:sz w:val="22"/>
          <w:szCs w:val="22"/>
          <w:lang w:val="fr-FR"/>
        </w:rPr>
        <w:t xml:space="preserve">La </w:t>
      </w:r>
      <w:proofErr w:type="spellStart"/>
      <w:r w:rsidR="005011F6" w:rsidRPr="005011F6">
        <w:rPr>
          <w:rFonts w:asciiTheme="minorHAnsi" w:hAnsiTheme="minorHAnsi"/>
          <w:b/>
          <w:sz w:val="22"/>
          <w:szCs w:val="22"/>
          <w:lang w:val="fr-FR"/>
        </w:rPr>
        <w:t>ticlopidine</w:t>
      </w:r>
      <w:proofErr w:type="spellEnd"/>
      <w:r w:rsidR="005011F6" w:rsidRPr="005011F6">
        <w:rPr>
          <w:rFonts w:asciiTheme="minorHAnsi" w:hAnsiTheme="minorHAnsi"/>
          <w:b/>
          <w:sz w:val="22"/>
          <w:szCs w:val="22"/>
          <w:lang w:val="fr-FR"/>
        </w:rPr>
        <w:t xml:space="preserve"> ne convient pas pour une utilisation comme antiplaquettaire (le </w:t>
      </w:r>
      <w:proofErr w:type="spellStart"/>
      <w:r w:rsidR="005011F6" w:rsidRPr="005011F6">
        <w:rPr>
          <w:rFonts w:asciiTheme="minorHAnsi" w:hAnsiTheme="minorHAnsi"/>
          <w:b/>
          <w:sz w:val="22"/>
          <w:szCs w:val="22"/>
          <w:lang w:val="fr-FR"/>
        </w:rPr>
        <w:t>clopidogrel</w:t>
      </w:r>
      <w:proofErr w:type="spellEnd"/>
      <w:r w:rsidR="005011F6" w:rsidRPr="005011F6">
        <w:rPr>
          <w:rFonts w:asciiTheme="minorHAnsi" w:hAnsiTheme="minorHAnsi"/>
          <w:b/>
          <w:sz w:val="22"/>
          <w:szCs w:val="22"/>
          <w:lang w:val="fr-FR"/>
        </w:rPr>
        <w:t xml:space="preserve">, le </w:t>
      </w:r>
      <w:proofErr w:type="spellStart"/>
      <w:r w:rsidR="005011F6" w:rsidRPr="005011F6">
        <w:rPr>
          <w:rFonts w:asciiTheme="minorHAnsi" w:hAnsiTheme="minorHAnsi"/>
          <w:b/>
          <w:sz w:val="22"/>
          <w:szCs w:val="22"/>
          <w:lang w:val="fr-FR"/>
        </w:rPr>
        <w:t>ticagrelor</w:t>
      </w:r>
      <w:proofErr w:type="spellEnd"/>
      <w:r w:rsidR="005011F6" w:rsidRPr="005011F6">
        <w:rPr>
          <w:rFonts w:asciiTheme="minorHAnsi" w:hAnsiTheme="minorHAnsi"/>
          <w:b/>
          <w:sz w:val="22"/>
          <w:szCs w:val="22"/>
          <w:lang w:val="fr-FR"/>
        </w:rPr>
        <w:t xml:space="preserve"> ou le </w:t>
      </w:r>
      <w:proofErr w:type="spellStart"/>
      <w:r w:rsidR="005011F6" w:rsidRPr="005011F6">
        <w:rPr>
          <w:rFonts w:asciiTheme="minorHAnsi" w:hAnsiTheme="minorHAnsi"/>
          <w:b/>
          <w:sz w:val="22"/>
          <w:szCs w:val="22"/>
          <w:lang w:val="fr-FR"/>
        </w:rPr>
        <w:t>prasugrel</w:t>
      </w:r>
      <w:proofErr w:type="spellEnd"/>
      <w:r w:rsidR="005011F6" w:rsidRPr="005011F6">
        <w:rPr>
          <w:rFonts w:asciiTheme="minorHAnsi" w:hAnsiTheme="minorHAnsi"/>
          <w:b/>
          <w:sz w:val="22"/>
          <w:szCs w:val="22"/>
          <w:lang w:val="fr-FR"/>
        </w:rPr>
        <w:t xml:space="preserve"> ont une efficacité supérieure, plus de preuves et moins d'effets secondaires)</w:t>
      </w:r>
    </w:p>
    <w:p w14:paraId="44016738" w14:textId="77777777" w:rsidR="00873A44" w:rsidRPr="00E21AE0" w:rsidRDefault="00873A44"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val="fr-FR" w:eastAsia="en-GB"/>
        </w:rPr>
      </w:pPr>
    </w:p>
    <w:p w14:paraId="76F15606" w14:textId="77777777" w:rsidR="00977134" w:rsidRPr="00E21AE0" w:rsidRDefault="00977134"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303030"/>
          <w:sz w:val="22"/>
          <w:szCs w:val="22"/>
          <w:shd w:val="clear" w:color="auto" w:fill="FFFFFF"/>
          <w:lang w:val="fr-FR"/>
        </w:rPr>
      </w:pPr>
    </w:p>
    <w:p w14:paraId="237E1FAA" w14:textId="2A117C85" w:rsidR="0077695B" w:rsidRPr="00E21AE0" w:rsidRDefault="006C24B0" w:rsidP="0043334F">
      <w:pPr>
        <w:spacing w:before="100" w:beforeAutospacing="1" w:after="100" w:afterAutospacing="1"/>
        <w:contextualSpacing/>
        <w:jc w:val="both"/>
        <w:rPr>
          <w:rFonts w:asciiTheme="minorHAnsi" w:hAnsiTheme="minorHAnsi"/>
          <w:b/>
          <w:color w:val="000000"/>
          <w:sz w:val="22"/>
          <w:szCs w:val="22"/>
          <w:lang w:val="fr-FR"/>
        </w:rPr>
      </w:pPr>
      <w:r w:rsidRPr="00E21AE0">
        <w:rPr>
          <w:rFonts w:asciiTheme="minorHAnsi" w:hAnsiTheme="minorHAnsi"/>
          <w:b/>
          <w:color w:val="000000"/>
          <w:sz w:val="22"/>
          <w:szCs w:val="22"/>
          <w:lang w:val="fr-FR"/>
        </w:rPr>
        <w:t>A3</w:t>
      </w:r>
      <w:r w:rsidR="00965815" w:rsidRPr="00E21AE0">
        <w:rPr>
          <w:rFonts w:asciiTheme="minorHAnsi" w:hAnsiTheme="minorHAnsi"/>
          <w:b/>
          <w:color w:val="000000"/>
          <w:sz w:val="22"/>
          <w:szCs w:val="22"/>
          <w:lang w:val="fr-FR"/>
        </w:rPr>
        <w:t>3</w:t>
      </w:r>
      <w:r w:rsidRPr="00E21AE0">
        <w:rPr>
          <w:rFonts w:asciiTheme="minorHAnsi" w:hAnsiTheme="minorHAnsi"/>
          <w:b/>
          <w:color w:val="000000"/>
          <w:sz w:val="22"/>
          <w:szCs w:val="22"/>
          <w:lang w:val="fr-FR"/>
        </w:rPr>
        <w:t xml:space="preserve">. </w:t>
      </w:r>
      <w:r w:rsidR="005011F6" w:rsidRPr="005011F6">
        <w:rPr>
          <w:rFonts w:asciiTheme="minorHAnsi" w:hAnsiTheme="minorHAnsi"/>
          <w:b/>
          <w:color w:val="000000"/>
          <w:sz w:val="22"/>
          <w:szCs w:val="22"/>
          <w:lang w:val="fr-FR"/>
        </w:rPr>
        <w:t xml:space="preserve">Le </w:t>
      </w:r>
      <w:proofErr w:type="spellStart"/>
      <w:r w:rsidR="005011F6" w:rsidRPr="005011F6">
        <w:rPr>
          <w:rFonts w:asciiTheme="minorHAnsi" w:hAnsiTheme="minorHAnsi"/>
          <w:b/>
          <w:color w:val="000000"/>
          <w:sz w:val="22"/>
          <w:szCs w:val="22"/>
          <w:lang w:val="fr-FR"/>
        </w:rPr>
        <w:t>dipyridamole</w:t>
      </w:r>
      <w:proofErr w:type="spellEnd"/>
      <w:r w:rsidR="005011F6" w:rsidRPr="005011F6">
        <w:rPr>
          <w:rFonts w:asciiTheme="minorHAnsi" w:hAnsiTheme="minorHAnsi"/>
          <w:b/>
          <w:color w:val="000000"/>
          <w:sz w:val="22"/>
          <w:szCs w:val="22"/>
          <w:lang w:val="fr-FR"/>
        </w:rPr>
        <w:t xml:space="preserve"> à courte durée d'action ne convient pas à l'effet antiplaquettaire-antiagrégant (effet secondaire de l'hypotension orthostatique et disponibilité d'agents plus efficaces)</w:t>
      </w:r>
      <w:r w:rsidR="005011F6">
        <w:rPr>
          <w:rFonts w:asciiTheme="minorHAnsi" w:hAnsiTheme="minorHAnsi"/>
          <w:b/>
          <w:color w:val="000000"/>
          <w:sz w:val="22"/>
          <w:szCs w:val="22"/>
          <w:lang w:val="fr-FR"/>
        </w:rPr>
        <w:t xml:space="preserve"> </w:t>
      </w:r>
    </w:p>
    <w:p w14:paraId="38917D6C" w14:textId="77777777" w:rsidR="0077695B" w:rsidRPr="00E21AE0" w:rsidRDefault="0077695B" w:rsidP="0043334F">
      <w:pPr>
        <w:spacing w:before="100" w:beforeAutospacing="1" w:after="100" w:afterAutospacing="1"/>
        <w:contextualSpacing/>
        <w:jc w:val="both"/>
        <w:rPr>
          <w:rFonts w:asciiTheme="minorHAnsi" w:hAnsiTheme="minorHAnsi"/>
          <w:b/>
          <w:color w:val="000000"/>
          <w:sz w:val="22"/>
          <w:szCs w:val="22"/>
          <w:lang w:val="fr-FR"/>
        </w:rPr>
      </w:pPr>
    </w:p>
    <w:p w14:paraId="274D24A1" w14:textId="77777777" w:rsidR="0077695B" w:rsidRPr="00E21AE0" w:rsidRDefault="0077695B" w:rsidP="0043334F">
      <w:pPr>
        <w:spacing w:before="100" w:beforeAutospacing="1" w:after="100" w:afterAutospacing="1"/>
        <w:contextualSpacing/>
        <w:jc w:val="both"/>
        <w:rPr>
          <w:rFonts w:asciiTheme="minorHAnsi" w:hAnsiTheme="minorHAnsi" w:cstheme="minorHAnsi"/>
          <w:sz w:val="22"/>
          <w:szCs w:val="22"/>
          <w:lang w:val="fr-FR"/>
        </w:rPr>
      </w:pPr>
    </w:p>
    <w:p w14:paraId="5582EC16" w14:textId="2A641B47" w:rsidR="0077695B" w:rsidRPr="00E21AE0" w:rsidRDefault="006C24B0" w:rsidP="0043334F">
      <w:pPr>
        <w:spacing w:before="100" w:beforeAutospacing="1" w:after="100" w:afterAutospacing="1"/>
        <w:contextualSpacing/>
        <w:jc w:val="both"/>
        <w:rPr>
          <w:rFonts w:asciiTheme="minorHAnsi" w:hAnsiTheme="minorHAnsi"/>
          <w:b/>
          <w:sz w:val="22"/>
          <w:szCs w:val="22"/>
          <w:lang w:val="fr-FR"/>
        </w:rPr>
      </w:pPr>
      <w:r w:rsidRPr="00E21AE0">
        <w:rPr>
          <w:rFonts w:asciiTheme="minorHAnsi" w:hAnsiTheme="minorHAnsi"/>
          <w:b/>
          <w:sz w:val="22"/>
          <w:szCs w:val="22"/>
          <w:lang w:val="fr-FR"/>
        </w:rPr>
        <w:t>A3</w:t>
      </w:r>
      <w:r w:rsidR="00965815" w:rsidRPr="00E21AE0">
        <w:rPr>
          <w:rFonts w:asciiTheme="minorHAnsi" w:hAnsiTheme="minorHAnsi"/>
          <w:b/>
          <w:sz w:val="22"/>
          <w:szCs w:val="22"/>
          <w:lang w:val="fr-FR"/>
        </w:rPr>
        <w:t>4</w:t>
      </w:r>
      <w:r w:rsidRPr="00E21AE0">
        <w:rPr>
          <w:rFonts w:asciiTheme="minorHAnsi" w:hAnsiTheme="minorHAnsi"/>
          <w:b/>
          <w:sz w:val="22"/>
          <w:szCs w:val="22"/>
          <w:lang w:val="fr-FR"/>
        </w:rPr>
        <w:t xml:space="preserve">. </w:t>
      </w:r>
      <w:r w:rsidR="005011F6" w:rsidRPr="005011F6">
        <w:rPr>
          <w:rFonts w:asciiTheme="minorHAnsi" w:hAnsiTheme="minorHAnsi"/>
          <w:b/>
          <w:sz w:val="22"/>
          <w:szCs w:val="22"/>
          <w:lang w:val="fr-FR"/>
        </w:rPr>
        <w:t xml:space="preserve">L'utilisation de statines en prophylaxie primaire n'est pas appropriée chez les personnes âgées ayant une faible espérance de vie (&lt; 2 ans) ou une démence avancée. </w:t>
      </w:r>
      <w:r w:rsidR="005011F6">
        <w:rPr>
          <w:rFonts w:asciiTheme="minorHAnsi" w:hAnsiTheme="minorHAnsi"/>
          <w:b/>
          <w:sz w:val="22"/>
          <w:szCs w:val="22"/>
          <w:lang w:val="fr-FR"/>
        </w:rPr>
        <w:t xml:space="preserve"> </w:t>
      </w:r>
    </w:p>
    <w:p w14:paraId="18C07888" w14:textId="77777777" w:rsidR="0077695B" w:rsidRPr="00E21AE0" w:rsidRDefault="0077695B" w:rsidP="0043334F">
      <w:pPr>
        <w:spacing w:before="100" w:beforeAutospacing="1" w:after="100" w:afterAutospacing="1"/>
        <w:contextualSpacing/>
        <w:jc w:val="both"/>
        <w:rPr>
          <w:rFonts w:asciiTheme="minorHAnsi" w:hAnsiTheme="minorHAnsi" w:cstheme="minorHAnsi"/>
          <w:color w:val="000000"/>
          <w:sz w:val="22"/>
          <w:szCs w:val="22"/>
          <w:lang w:val="fr-FR"/>
        </w:rPr>
      </w:pPr>
    </w:p>
    <w:p w14:paraId="2ADCA7DD" w14:textId="77777777" w:rsidR="0077695B" w:rsidRPr="00E21AE0" w:rsidRDefault="0077695B" w:rsidP="0043334F">
      <w:pPr>
        <w:spacing w:before="100" w:beforeAutospacing="1" w:after="100" w:afterAutospacing="1"/>
        <w:contextualSpacing/>
        <w:jc w:val="both"/>
        <w:rPr>
          <w:rFonts w:asciiTheme="minorHAnsi" w:hAnsiTheme="minorHAnsi" w:cstheme="minorHAnsi"/>
          <w:color w:val="000000"/>
          <w:sz w:val="22"/>
          <w:szCs w:val="22"/>
          <w:lang w:val="fr-FR"/>
        </w:rPr>
      </w:pPr>
    </w:p>
    <w:p w14:paraId="61B5CF4A" w14:textId="77777777" w:rsidR="005011F6" w:rsidRDefault="006C24B0" w:rsidP="0043334F">
      <w:pPr>
        <w:spacing w:before="100" w:beforeAutospacing="1" w:after="100" w:afterAutospacing="1"/>
        <w:contextualSpacing/>
        <w:jc w:val="both"/>
        <w:rPr>
          <w:rFonts w:asciiTheme="minorHAnsi" w:hAnsiTheme="minorHAnsi"/>
          <w:b/>
          <w:sz w:val="22"/>
          <w:szCs w:val="22"/>
          <w:lang w:val="fr-FR"/>
        </w:rPr>
      </w:pPr>
      <w:r w:rsidRPr="00E21AE0">
        <w:rPr>
          <w:rFonts w:asciiTheme="minorHAnsi" w:hAnsiTheme="minorHAnsi"/>
          <w:b/>
          <w:sz w:val="22"/>
          <w:szCs w:val="22"/>
          <w:lang w:val="fr-FR"/>
        </w:rPr>
        <w:t>A3</w:t>
      </w:r>
      <w:r w:rsidR="00965815" w:rsidRPr="00E21AE0">
        <w:rPr>
          <w:rFonts w:asciiTheme="minorHAnsi" w:hAnsiTheme="minorHAnsi"/>
          <w:b/>
          <w:sz w:val="22"/>
          <w:szCs w:val="22"/>
          <w:lang w:val="fr-FR"/>
        </w:rPr>
        <w:t>5</w:t>
      </w:r>
      <w:r w:rsidRPr="00E21AE0">
        <w:rPr>
          <w:rFonts w:asciiTheme="minorHAnsi" w:hAnsiTheme="minorHAnsi"/>
          <w:b/>
          <w:sz w:val="22"/>
          <w:szCs w:val="22"/>
          <w:lang w:val="fr-FR"/>
        </w:rPr>
        <w:t xml:space="preserve">. </w:t>
      </w:r>
      <w:r w:rsidR="005011F6" w:rsidRPr="005011F6">
        <w:rPr>
          <w:rFonts w:asciiTheme="minorHAnsi" w:hAnsiTheme="minorHAnsi"/>
          <w:b/>
          <w:sz w:val="22"/>
          <w:szCs w:val="22"/>
          <w:lang w:val="fr-FR"/>
        </w:rPr>
        <w:t>L'initiation de l'allopurinol est inappropriée pour l'</w:t>
      </w:r>
      <w:proofErr w:type="spellStart"/>
      <w:r w:rsidR="005011F6" w:rsidRPr="005011F6">
        <w:rPr>
          <w:rFonts w:asciiTheme="minorHAnsi" w:hAnsiTheme="minorHAnsi"/>
          <w:b/>
          <w:sz w:val="22"/>
          <w:szCs w:val="22"/>
          <w:lang w:val="fr-FR"/>
        </w:rPr>
        <w:t>hyperuricémie</w:t>
      </w:r>
      <w:proofErr w:type="spellEnd"/>
      <w:r w:rsidR="005011F6" w:rsidRPr="005011F6">
        <w:rPr>
          <w:rFonts w:asciiTheme="minorHAnsi" w:hAnsiTheme="minorHAnsi"/>
          <w:b/>
          <w:sz w:val="22"/>
          <w:szCs w:val="22"/>
          <w:lang w:val="fr-FR"/>
        </w:rPr>
        <w:t xml:space="preserve"> asymptomatique (cas sans goutte ni </w:t>
      </w:r>
      <w:proofErr w:type="spellStart"/>
      <w:r w:rsidR="005011F6" w:rsidRPr="005011F6">
        <w:rPr>
          <w:rFonts w:asciiTheme="minorHAnsi" w:hAnsiTheme="minorHAnsi"/>
          <w:b/>
          <w:sz w:val="22"/>
          <w:szCs w:val="22"/>
          <w:lang w:val="fr-FR"/>
        </w:rPr>
        <w:t>néphrolithiase</w:t>
      </w:r>
      <w:proofErr w:type="spellEnd"/>
      <w:r w:rsidR="005011F6" w:rsidRPr="005011F6">
        <w:rPr>
          <w:rFonts w:asciiTheme="minorHAnsi" w:hAnsiTheme="minorHAnsi"/>
          <w:b/>
          <w:sz w:val="22"/>
          <w:szCs w:val="22"/>
          <w:lang w:val="fr-FR"/>
        </w:rPr>
        <w:t>) (aucune preuve de bénéfice, risque d'effets secondaires avec l'utilisation d'inhibiteurs de la xanthine oxydase) (aucune preuve que le traitement réduit le risque cardiovasculaire ou la goutte)</w:t>
      </w:r>
      <w:r w:rsidR="005011F6">
        <w:rPr>
          <w:rFonts w:asciiTheme="minorHAnsi" w:hAnsiTheme="minorHAnsi"/>
          <w:b/>
          <w:sz w:val="22"/>
          <w:szCs w:val="22"/>
          <w:lang w:val="fr-FR"/>
        </w:rPr>
        <w:t xml:space="preserve"> </w:t>
      </w:r>
    </w:p>
    <w:p w14:paraId="66B097FA" w14:textId="77777777" w:rsidR="005011F6" w:rsidRDefault="005011F6" w:rsidP="0043334F">
      <w:pPr>
        <w:spacing w:before="100" w:beforeAutospacing="1" w:after="100" w:afterAutospacing="1"/>
        <w:contextualSpacing/>
        <w:jc w:val="both"/>
        <w:rPr>
          <w:rFonts w:asciiTheme="minorHAnsi" w:hAnsiTheme="minorHAnsi"/>
          <w:b/>
          <w:sz w:val="22"/>
          <w:szCs w:val="22"/>
          <w:lang w:val="fr-FR"/>
        </w:rPr>
      </w:pPr>
    </w:p>
    <w:p w14:paraId="46544CBB" w14:textId="77777777" w:rsidR="008565C6" w:rsidRDefault="008565C6" w:rsidP="0043334F">
      <w:pPr>
        <w:contextualSpacing/>
        <w:jc w:val="both"/>
        <w:rPr>
          <w:rFonts w:asciiTheme="minorHAnsi" w:hAnsiTheme="minorHAnsi"/>
          <w:i/>
          <w:color w:val="000000"/>
          <w:sz w:val="22"/>
          <w:szCs w:val="22"/>
          <w:shd w:val="clear" w:color="auto" w:fill="FFFFFF"/>
          <w:lang w:val="fr-FR"/>
        </w:rPr>
      </w:pPr>
      <w:r w:rsidRPr="008565C6">
        <w:rPr>
          <w:rFonts w:asciiTheme="minorHAnsi" w:hAnsiTheme="minorHAnsi"/>
          <w:i/>
          <w:color w:val="000000"/>
          <w:sz w:val="22"/>
          <w:szCs w:val="22"/>
          <w:shd w:val="clear" w:color="auto" w:fill="FFFFFF"/>
          <w:lang w:val="fr-FR"/>
        </w:rPr>
        <w:t>*Si le taux d'acide urique sérique est &gt; 10 mg/dl chez la femme et &gt; 13 mg/dl chez l'homme, un traitement hypoglycémiant peut être recommandé en raison du risque de maladie rénale chronique.</w:t>
      </w:r>
    </w:p>
    <w:p w14:paraId="3218B039" w14:textId="77777777" w:rsidR="008565C6" w:rsidRDefault="008565C6" w:rsidP="0043334F">
      <w:pPr>
        <w:contextualSpacing/>
        <w:jc w:val="both"/>
        <w:rPr>
          <w:rFonts w:asciiTheme="minorHAnsi" w:hAnsiTheme="minorHAnsi"/>
          <w:i/>
          <w:color w:val="000000"/>
          <w:sz w:val="22"/>
          <w:szCs w:val="22"/>
          <w:shd w:val="clear" w:color="auto" w:fill="FFFFFF"/>
          <w:lang w:val="fr-FR"/>
        </w:rPr>
      </w:pPr>
    </w:p>
    <w:p w14:paraId="0B992FDE" w14:textId="77777777" w:rsidR="009D2A23" w:rsidRPr="00E21AE0" w:rsidRDefault="009D2A23" w:rsidP="0043334F">
      <w:pPr>
        <w:contextualSpacing/>
        <w:jc w:val="both"/>
        <w:rPr>
          <w:rFonts w:asciiTheme="minorHAnsi" w:hAnsiTheme="minorHAnsi"/>
          <w:b/>
          <w:i/>
          <w:sz w:val="22"/>
          <w:szCs w:val="22"/>
          <w:u w:val="single"/>
          <w:lang w:val="fr-FR"/>
        </w:rPr>
      </w:pPr>
    </w:p>
    <w:p w14:paraId="0ECE201C" w14:textId="31EA4A29" w:rsidR="00AF251E" w:rsidRPr="00E21AE0" w:rsidRDefault="00873A44" w:rsidP="0043334F">
      <w:pPr>
        <w:contextualSpacing/>
        <w:jc w:val="both"/>
        <w:rPr>
          <w:rFonts w:asciiTheme="minorHAnsi" w:hAnsiTheme="minorHAnsi"/>
          <w:b/>
          <w:sz w:val="28"/>
          <w:szCs w:val="28"/>
          <w:lang w:val="fr-FR"/>
        </w:rPr>
      </w:pPr>
      <w:proofErr w:type="gramStart"/>
      <w:r w:rsidRPr="00E21AE0">
        <w:rPr>
          <w:rFonts w:asciiTheme="minorHAnsi" w:hAnsiTheme="minorHAnsi"/>
          <w:b/>
          <w:sz w:val="28"/>
          <w:szCs w:val="28"/>
          <w:lang w:val="fr-FR"/>
        </w:rPr>
        <w:t>B</w:t>
      </w:r>
      <w:r w:rsidR="00556579" w:rsidRPr="00E21AE0">
        <w:rPr>
          <w:rFonts w:asciiTheme="minorHAnsi" w:hAnsiTheme="minorHAnsi"/>
          <w:b/>
          <w:sz w:val="28"/>
          <w:szCs w:val="28"/>
          <w:lang w:val="fr-FR"/>
        </w:rPr>
        <w:t>:</w:t>
      </w:r>
      <w:proofErr w:type="gramEnd"/>
      <w:r w:rsidRPr="00E21AE0">
        <w:rPr>
          <w:rFonts w:asciiTheme="minorHAnsi" w:hAnsiTheme="minorHAnsi"/>
          <w:b/>
          <w:sz w:val="28"/>
          <w:szCs w:val="28"/>
          <w:lang w:val="fr-FR"/>
        </w:rPr>
        <w:t xml:space="preserve"> </w:t>
      </w:r>
      <w:r w:rsidR="008565C6">
        <w:rPr>
          <w:rFonts w:asciiTheme="minorHAnsi" w:hAnsiTheme="minorHAnsi"/>
          <w:b/>
          <w:sz w:val="28"/>
          <w:szCs w:val="28"/>
          <w:lang w:val="fr-FR"/>
        </w:rPr>
        <w:t xml:space="preserve">Les critères du système central nerveux. </w:t>
      </w:r>
    </w:p>
    <w:p w14:paraId="5FBC2C00" w14:textId="77777777" w:rsidR="0043334F" w:rsidRPr="00E21AE0" w:rsidRDefault="0043334F" w:rsidP="0043334F">
      <w:pPr>
        <w:contextualSpacing/>
        <w:jc w:val="both"/>
        <w:rPr>
          <w:rFonts w:asciiTheme="minorHAnsi" w:hAnsiTheme="minorHAnsi"/>
          <w:b/>
          <w:sz w:val="28"/>
          <w:szCs w:val="28"/>
          <w:lang w:val="fr-FR"/>
        </w:rPr>
      </w:pPr>
    </w:p>
    <w:p w14:paraId="50F0D324" w14:textId="3FCE25BB" w:rsidR="001B712D" w:rsidRPr="00E21AE0" w:rsidRDefault="006C24B0" w:rsidP="0043334F">
      <w:pPr>
        <w:spacing w:before="100" w:beforeAutospacing="1" w:after="100" w:afterAutospacing="1"/>
        <w:contextualSpacing/>
        <w:jc w:val="both"/>
        <w:rPr>
          <w:rFonts w:asciiTheme="minorHAnsi" w:hAnsiTheme="minorHAnsi"/>
          <w:b/>
          <w:sz w:val="22"/>
          <w:szCs w:val="22"/>
          <w:lang w:val="fr-FR"/>
        </w:rPr>
      </w:pPr>
      <w:r w:rsidRPr="00E21AE0">
        <w:rPr>
          <w:rFonts w:asciiTheme="minorHAnsi" w:hAnsiTheme="minorHAnsi"/>
          <w:b/>
          <w:sz w:val="22"/>
          <w:szCs w:val="22"/>
          <w:lang w:val="fr-FR"/>
        </w:rPr>
        <w:t>B1.</w:t>
      </w:r>
      <w:r w:rsidR="00181929" w:rsidRPr="00E21AE0">
        <w:rPr>
          <w:rFonts w:asciiTheme="minorHAnsi" w:hAnsiTheme="minorHAnsi"/>
          <w:b/>
          <w:sz w:val="22"/>
          <w:szCs w:val="22"/>
          <w:lang w:val="fr-FR"/>
        </w:rPr>
        <w:t xml:space="preserve"> </w:t>
      </w:r>
      <w:r w:rsidR="00400BA1" w:rsidRPr="00400BA1">
        <w:rPr>
          <w:rFonts w:asciiTheme="minorHAnsi" w:hAnsiTheme="minorHAnsi"/>
          <w:b/>
          <w:sz w:val="22"/>
          <w:szCs w:val="22"/>
          <w:lang w:val="fr-FR"/>
        </w:rPr>
        <w:t>L'utilisation d'antidépresseurs tricycliques n'est pas appropriée (effet anticholinergique élevé, détérioration cognitive, trouble de la conduction cardiaque, hypotension orthostatique, rétention urinaire, aggravation de la prostate, aggravation du glaucome à angle fermé)</w:t>
      </w:r>
      <w:r w:rsidR="00400BA1">
        <w:rPr>
          <w:rFonts w:asciiTheme="minorHAnsi" w:hAnsiTheme="minorHAnsi"/>
          <w:b/>
          <w:sz w:val="22"/>
          <w:szCs w:val="22"/>
          <w:lang w:val="fr-FR"/>
        </w:rPr>
        <w:t xml:space="preserve"> </w:t>
      </w:r>
    </w:p>
    <w:p w14:paraId="7ABE1AF0" w14:textId="77777777" w:rsidR="001B712D" w:rsidRPr="00E21AE0" w:rsidRDefault="001B712D" w:rsidP="0043334F">
      <w:pPr>
        <w:spacing w:before="100" w:beforeAutospacing="1" w:after="100" w:afterAutospacing="1"/>
        <w:contextualSpacing/>
        <w:jc w:val="both"/>
        <w:rPr>
          <w:rFonts w:asciiTheme="minorHAnsi" w:hAnsiTheme="minorHAnsi" w:cstheme="minorHAnsi"/>
          <w:color w:val="000000"/>
          <w:sz w:val="22"/>
          <w:szCs w:val="22"/>
          <w:lang w:val="fr-FR"/>
        </w:rPr>
      </w:pPr>
    </w:p>
    <w:p w14:paraId="6A1C687D" w14:textId="77777777" w:rsidR="001B712D" w:rsidRPr="00E21AE0" w:rsidRDefault="001B712D" w:rsidP="0043334F">
      <w:pPr>
        <w:spacing w:before="100" w:beforeAutospacing="1" w:after="100" w:afterAutospacing="1"/>
        <w:contextualSpacing/>
        <w:jc w:val="both"/>
        <w:rPr>
          <w:rFonts w:asciiTheme="minorHAnsi" w:hAnsiTheme="minorHAnsi" w:cstheme="minorHAnsi"/>
          <w:color w:val="000000"/>
          <w:sz w:val="22"/>
          <w:szCs w:val="22"/>
          <w:lang w:val="fr-FR"/>
        </w:rPr>
      </w:pPr>
    </w:p>
    <w:p w14:paraId="5EE174A0" w14:textId="5B24A7AD" w:rsidR="001B712D" w:rsidRPr="00E21AE0" w:rsidRDefault="006C24B0" w:rsidP="0043334F">
      <w:pPr>
        <w:spacing w:before="100" w:beforeAutospacing="1" w:after="100" w:afterAutospacing="1"/>
        <w:contextualSpacing/>
        <w:jc w:val="both"/>
        <w:rPr>
          <w:rFonts w:asciiTheme="minorHAnsi" w:hAnsiTheme="minorHAnsi"/>
          <w:b/>
          <w:color w:val="000000"/>
          <w:sz w:val="22"/>
          <w:szCs w:val="22"/>
          <w:lang w:val="fr-FR"/>
        </w:rPr>
      </w:pPr>
      <w:r w:rsidRPr="00E21AE0">
        <w:rPr>
          <w:rFonts w:asciiTheme="minorHAnsi" w:hAnsiTheme="minorHAnsi"/>
          <w:b/>
          <w:color w:val="000000"/>
          <w:sz w:val="22"/>
          <w:szCs w:val="22"/>
          <w:lang w:val="fr-FR"/>
        </w:rPr>
        <w:t xml:space="preserve">B2. </w:t>
      </w:r>
      <w:r w:rsidR="008E10C2" w:rsidRPr="008E10C2">
        <w:rPr>
          <w:rFonts w:asciiTheme="minorHAnsi" w:hAnsiTheme="minorHAnsi"/>
          <w:b/>
          <w:color w:val="000000"/>
          <w:sz w:val="22"/>
          <w:szCs w:val="22"/>
          <w:lang w:val="fr-FR"/>
        </w:rPr>
        <w:t xml:space="preserve">Il n'est pas approprié de privilégier la </w:t>
      </w:r>
      <w:proofErr w:type="spellStart"/>
      <w:r w:rsidR="008E10C2" w:rsidRPr="008E10C2">
        <w:rPr>
          <w:rFonts w:asciiTheme="minorHAnsi" w:hAnsiTheme="minorHAnsi"/>
          <w:b/>
          <w:color w:val="000000"/>
          <w:sz w:val="22"/>
          <w:szCs w:val="22"/>
          <w:lang w:val="fr-FR"/>
        </w:rPr>
        <w:t>paroxétine</w:t>
      </w:r>
      <w:proofErr w:type="spellEnd"/>
      <w:r w:rsidR="008E10C2" w:rsidRPr="008E10C2">
        <w:rPr>
          <w:rFonts w:asciiTheme="minorHAnsi" w:hAnsiTheme="minorHAnsi"/>
          <w:b/>
          <w:color w:val="000000"/>
          <w:sz w:val="22"/>
          <w:szCs w:val="22"/>
          <w:lang w:val="fr-FR"/>
        </w:rPr>
        <w:t xml:space="preserve">, la </w:t>
      </w:r>
      <w:proofErr w:type="spellStart"/>
      <w:r w:rsidR="008E10C2" w:rsidRPr="008E10C2">
        <w:rPr>
          <w:rFonts w:asciiTheme="minorHAnsi" w:hAnsiTheme="minorHAnsi"/>
          <w:b/>
          <w:color w:val="000000"/>
          <w:sz w:val="22"/>
          <w:szCs w:val="22"/>
          <w:lang w:val="fr-FR"/>
        </w:rPr>
        <w:t>fluoxétine</w:t>
      </w:r>
      <w:proofErr w:type="spellEnd"/>
      <w:r w:rsidR="008E10C2" w:rsidRPr="008E10C2">
        <w:rPr>
          <w:rFonts w:asciiTheme="minorHAnsi" w:hAnsiTheme="minorHAnsi"/>
          <w:b/>
          <w:color w:val="000000"/>
          <w:sz w:val="22"/>
          <w:szCs w:val="22"/>
          <w:lang w:val="fr-FR"/>
        </w:rPr>
        <w:t xml:space="preserve"> et la </w:t>
      </w:r>
      <w:proofErr w:type="spellStart"/>
      <w:r w:rsidR="008E10C2" w:rsidRPr="008E10C2">
        <w:rPr>
          <w:rFonts w:asciiTheme="minorHAnsi" w:hAnsiTheme="minorHAnsi"/>
          <w:b/>
          <w:color w:val="000000"/>
          <w:sz w:val="22"/>
          <w:szCs w:val="22"/>
          <w:lang w:val="fr-FR"/>
        </w:rPr>
        <w:t>fluvaxamine</w:t>
      </w:r>
      <w:proofErr w:type="spellEnd"/>
      <w:r w:rsidR="008E10C2" w:rsidRPr="008E10C2">
        <w:rPr>
          <w:rFonts w:asciiTheme="minorHAnsi" w:hAnsiTheme="minorHAnsi"/>
          <w:b/>
          <w:color w:val="000000"/>
          <w:sz w:val="22"/>
          <w:szCs w:val="22"/>
          <w:lang w:val="fr-FR"/>
        </w:rPr>
        <w:t xml:space="preserve"> dans la première étape dans les cas où un traitement par ISRS sera initié (en raison de l'effet anticholinergique élevé de la </w:t>
      </w:r>
      <w:proofErr w:type="spellStart"/>
      <w:r w:rsidR="008E10C2" w:rsidRPr="008E10C2">
        <w:rPr>
          <w:rFonts w:asciiTheme="minorHAnsi" w:hAnsiTheme="minorHAnsi"/>
          <w:b/>
          <w:color w:val="000000"/>
          <w:sz w:val="22"/>
          <w:szCs w:val="22"/>
          <w:lang w:val="fr-FR"/>
        </w:rPr>
        <w:t>paroxétine</w:t>
      </w:r>
      <w:proofErr w:type="spellEnd"/>
      <w:r w:rsidR="008E10C2" w:rsidRPr="008E10C2">
        <w:rPr>
          <w:rFonts w:asciiTheme="minorHAnsi" w:hAnsiTheme="minorHAnsi"/>
          <w:b/>
          <w:color w:val="000000"/>
          <w:sz w:val="22"/>
          <w:szCs w:val="22"/>
          <w:lang w:val="fr-FR"/>
        </w:rPr>
        <w:t xml:space="preserve">, de la longue demi-vie de la </w:t>
      </w:r>
      <w:proofErr w:type="spellStart"/>
      <w:r w:rsidR="008E10C2" w:rsidRPr="008E10C2">
        <w:rPr>
          <w:rFonts w:asciiTheme="minorHAnsi" w:hAnsiTheme="minorHAnsi"/>
          <w:b/>
          <w:color w:val="000000"/>
          <w:sz w:val="22"/>
          <w:szCs w:val="22"/>
          <w:lang w:val="fr-FR"/>
        </w:rPr>
        <w:t>fluoxétine</w:t>
      </w:r>
      <w:proofErr w:type="spellEnd"/>
      <w:r w:rsidR="008E10C2" w:rsidRPr="008E10C2">
        <w:rPr>
          <w:rFonts w:asciiTheme="minorHAnsi" w:hAnsiTheme="minorHAnsi"/>
          <w:b/>
          <w:color w:val="000000"/>
          <w:sz w:val="22"/>
          <w:szCs w:val="22"/>
          <w:lang w:val="fr-FR"/>
        </w:rPr>
        <w:t xml:space="preserve">, des interactions médicamenteuses fréquentes entre la </w:t>
      </w:r>
      <w:proofErr w:type="spellStart"/>
      <w:r w:rsidR="008E10C2" w:rsidRPr="008E10C2">
        <w:rPr>
          <w:rFonts w:asciiTheme="minorHAnsi" w:hAnsiTheme="minorHAnsi"/>
          <w:b/>
          <w:color w:val="000000"/>
          <w:sz w:val="22"/>
          <w:szCs w:val="22"/>
          <w:lang w:val="fr-FR"/>
        </w:rPr>
        <w:t>fluoxétine</w:t>
      </w:r>
      <w:proofErr w:type="spellEnd"/>
      <w:r w:rsidR="008E10C2" w:rsidRPr="008E10C2">
        <w:rPr>
          <w:rFonts w:asciiTheme="minorHAnsi" w:hAnsiTheme="minorHAnsi"/>
          <w:b/>
          <w:color w:val="000000"/>
          <w:sz w:val="22"/>
          <w:szCs w:val="22"/>
          <w:lang w:val="fr-FR"/>
        </w:rPr>
        <w:t xml:space="preserve"> et la </w:t>
      </w:r>
      <w:proofErr w:type="spellStart"/>
      <w:r w:rsidR="008E10C2" w:rsidRPr="008E10C2">
        <w:rPr>
          <w:rFonts w:asciiTheme="minorHAnsi" w:hAnsiTheme="minorHAnsi"/>
          <w:b/>
          <w:color w:val="000000"/>
          <w:sz w:val="22"/>
          <w:szCs w:val="22"/>
          <w:lang w:val="fr-FR"/>
        </w:rPr>
        <w:t>fluvacamine</w:t>
      </w:r>
      <w:proofErr w:type="spellEnd"/>
      <w:r w:rsidR="008E10C2" w:rsidRPr="008E10C2">
        <w:rPr>
          <w:rFonts w:asciiTheme="minorHAnsi" w:hAnsiTheme="minorHAnsi"/>
          <w:b/>
          <w:color w:val="000000"/>
          <w:sz w:val="22"/>
          <w:szCs w:val="22"/>
          <w:lang w:val="fr-FR"/>
        </w:rPr>
        <w:t>).</w:t>
      </w:r>
      <w:r w:rsidR="008E10C2">
        <w:rPr>
          <w:rFonts w:asciiTheme="minorHAnsi" w:hAnsiTheme="minorHAnsi"/>
          <w:b/>
          <w:color w:val="000000"/>
          <w:sz w:val="22"/>
          <w:szCs w:val="22"/>
          <w:lang w:val="fr-FR"/>
        </w:rPr>
        <w:t xml:space="preserve"> </w:t>
      </w:r>
    </w:p>
    <w:p w14:paraId="1EDCAB14" w14:textId="77777777" w:rsidR="001B712D" w:rsidRPr="00E21AE0" w:rsidRDefault="001B712D" w:rsidP="0043334F">
      <w:pPr>
        <w:spacing w:before="100" w:beforeAutospacing="1" w:after="100" w:afterAutospacing="1"/>
        <w:contextualSpacing/>
        <w:jc w:val="both"/>
        <w:rPr>
          <w:rFonts w:asciiTheme="minorHAnsi" w:hAnsiTheme="minorHAnsi" w:cstheme="minorHAnsi"/>
          <w:sz w:val="22"/>
          <w:szCs w:val="22"/>
          <w:lang w:val="fr-FR"/>
        </w:rPr>
      </w:pPr>
    </w:p>
    <w:p w14:paraId="129BD411" w14:textId="77777777" w:rsidR="001B712D" w:rsidRPr="00E21AE0" w:rsidRDefault="001B712D" w:rsidP="0043334F">
      <w:pPr>
        <w:spacing w:before="100" w:beforeAutospacing="1" w:after="100" w:afterAutospacing="1"/>
        <w:contextualSpacing/>
        <w:jc w:val="both"/>
        <w:rPr>
          <w:rFonts w:asciiTheme="minorHAnsi" w:hAnsiTheme="minorHAnsi" w:cstheme="minorHAnsi"/>
          <w:sz w:val="22"/>
          <w:szCs w:val="22"/>
          <w:lang w:val="fr-FR"/>
        </w:rPr>
      </w:pPr>
    </w:p>
    <w:p w14:paraId="7F2353AF" w14:textId="447BFACD" w:rsidR="001B712D" w:rsidRPr="00E21AE0" w:rsidRDefault="006C24B0" w:rsidP="0043334F">
      <w:pPr>
        <w:spacing w:before="100" w:beforeAutospacing="1" w:after="100" w:afterAutospacing="1"/>
        <w:contextualSpacing/>
        <w:jc w:val="both"/>
        <w:rPr>
          <w:rFonts w:asciiTheme="minorHAnsi" w:hAnsiTheme="minorHAnsi"/>
          <w:b/>
          <w:sz w:val="22"/>
          <w:szCs w:val="22"/>
          <w:lang w:val="fr-FR"/>
        </w:rPr>
      </w:pPr>
      <w:r w:rsidRPr="00E21AE0">
        <w:rPr>
          <w:rFonts w:asciiTheme="minorHAnsi" w:hAnsiTheme="minorHAnsi"/>
          <w:b/>
          <w:sz w:val="22"/>
          <w:szCs w:val="22"/>
          <w:lang w:val="fr-FR"/>
        </w:rPr>
        <w:t xml:space="preserve">B3. </w:t>
      </w:r>
      <w:r w:rsidR="008E10C2" w:rsidRPr="008E10C2">
        <w:rPr>
          <w:rFonts w:asciiTheme="minorHAnsi" w:hAnsiTheme="minorHAnsi"/>
          <w:b/>
          <w:sz w:val="22"/>
          <w:szCs w:val="22"/>
          <w:lang w:val="fr-FR"/>
        </w:rPr>
        <w:t xml:space="preserve">L'utilisation des ISRS n'est pas appropriée chez les patients ayant des antécédents récents ou actuels d'hyponatrémie significative (Na sérique &lt; 130 </w:t>
      </w:r>
      <w:proofErr w:type="spellStart"/>
      <w:r w:rsidR="008E10C2" w:rsidRPr="008E10C2">
        <w:rPr>
          <w:rFonts w:asciiTheme="minorHAnsi" w:hAnsiTheme="minorHAnsi"/>
          <w:b/>
          <w:sz w:val="22"/>
          <w:szCs w:val="22"/>
          <w:lang w:val="fr-FR"/>
        </w:rPr>
        <w:t>mEq</w:t>
      </w:r>
      <w:proofErr w:type="spellEnd"/>
      <w:r w:rsidR="008E10C2" w:rsidRPr="008E10C2">
        <w:rPr>
          <w:rFonts w:asciiTheme="minorHAnsi" w:hAnsiTheme="minorHAnsi"/>
          <w:b/>
          <w:sz w:val="22"/>
          <w:szCs w:val="22"/>
          <w:lang w:val="fr-FR"/>
        </w:rPr>
        <w:t>/L) (risque accru d'hyponatrémie avec l'utilisation d'ISRS)</w:t>
      </w:r>
      <w:r w:rsidR="008E10C2">
        <w:rPr>
          <w:rFonts w:asciiTheme="minorHAnsi" w:hAnsiTheme="minorHAnsi"/>
          <w:b/>
          <w:sz w:val="22"/>
          <w:szCs w:val="22"/>
          <w:lang w:val="fr-FR"/>
        </w:rPr>
        <w:t xml:space="preserve"> </w:t>
      </w:r>
    </w:p>
    <w:p w14:paraId="1AA373D5" w14:textId="77777777" w:rsidR="008E10C2" w:rsidRDefault="008E10C2" w:rsidP="0043334F">
      <w:pPr>
        <w:spacing w:before="100" w:beforeAutospacing="1" w:after="100" w:afterAutospacing="1"/>
        <w:contextualSpacing/>
        <w:jc w:val="both"/>
        <w:rPr>
          <w:rFonts w:asciiTheme="minorHAnsi" w:hAnsiTheme="minorHAnsi"/>
          <w:i/>
          <w:sz w:val="22"/>
          <w:szCs w:val="22"/>
          <w:shd w:val="clear" w:color="auto" w:fill="FFFFFF"/>
          <w:lang w:val="fr-FR"/>
        </w:rPr>
      </w:pPr>
      <w:r w:rsidRPr="008E10C2">
        <w:rPr>
          <w:rFonts w:asciiTheme="minorHAnsi" w:hAnsiTheme="minorHAnsi"/>
          <w:i/>
          <w:sz w:val="22"/>
          <w:szCs w:val="22"/>
          <w:shd w:val="clear" w:color="auto" w:fill="FFFFFF"/>
          <w:lang w:val="fr-FR"/>
        </w:rPr>
        <w:lastRenderedPageBreak/>
        <w:t xml:space="preserve">*Les facteurs de risque de développement d'une hyponatrémie avec les ISRS sont l'âge avancé, le sexe féminin, l'utilisation concomitante de diurétiques, un faible poids corporel et une faible teneur en Na de base. </w:t>
      </w:r>
    </w:p>
    <w:p w14:paraId="7CB7585E" w14:textId="77777777" w:rsidR="008E10C2" w:rsidRDefault="008E10C2" w:rsidP="0043334F">
      <w:pPr>
        <w:spacing w:before="100" w:beforeAutospacing="1" w:after="100" w:afterAutospacing="1"/>
        <w:contextualSpacing/>
        <w:jc w:val="both"/>
        <w:rPr>
          <w:rFonts w:asciiTheme="minorHAnsi" w:hAnsiTheme="minorHAnsi"/>
          <w:i/>
          <w:sz w:val="22"/>
          <w:szCs w:val="22"/>
          <w:shd w:val="clear" w:color="auto" w:fill="FFFFFF"/>
          <w:lang w:val="fr-FR"/>
        </w:rPr>
      </w:pPr>
      <w:r w:rsidRPr="008E10C2">
        <w:rPr>
          <w:rFonts w:asciiTheme="minorHAnsi" w:hAnsiTheme="minorHAnsi"/>
          <w:i/>
          <w:sz w:val="22"/>
          <w:szCs w:val="22"/>
          <w:shd w:val="clear" w:color="auto" w:fill="FFFFFF"/>
          <w:lang w:val="fr-FR"/>
        </w:rPr>
        <w:t xml:space="preserve">*Les patients qui commencent un ISRS ou dont la dose est augmentée doivent être informés des résultats cliniques de l'hyponatrémie. Les 4 premières semaines sont la période la plus risquée. </w:t>
      </w:r>
    </w:p>
    <w:p w14:paraId="5D160A14" w14:textId="0B9F6376" w:rsidR="008E10C2" w:rsidRDefault="008E10C2" w:rsidP="0043334F">
      <w:pPr>
        <w:spacing w:before="100" w:beforeAutospacing="1" w:after="100" w:afterAutospacing="1"/>
        <w:contextualSpacing/>
        <w:jc w:val="both"/>
        <w:rPr>
          <w:rFonts w:asciiTheme="minorHAnsi" w:hAnsiTheme="minorHAnsi"/>
          <w:i/>
          <w:sz w:val="22"/>
          <w:szCs w:val="22"/>
          <w:shd w:val="clear" w:color="auto" w:fill="FFFFFF"/>
          <w:lang w:val="fr-FR"/>
        </w:rPr>
      </w:pPr>
      <w:r w:rsidRPr="008E10C2">
        <w:rPr>
          <w:rFonts w:asciiTheme="minorHAnsi" w:hAnsiTheme="minorHAnsi"/>
          <w:i/>
          <w:sz w:val="22"/>
          <w:szCs w:val="22"/>
          <w:shd w:val="clear" w:color="auto" w:fill="FFFFFF"/>
          <w:lang w:val="fr-FR"/>
        </w:rPr>
        <w:t xml:space="preserve">*Chez les patients à risque d'hyponatrémie, il peut être approprié de préférer la </w:t>
      </w:r>
      <w:proofErr w:type="spellStart"/>
      <w:r w:rsidRPr="008E10C2">
        <w:rPr>
          <w:rFonts w:asciiTheme="minorHAnsi" w:hAnsiTheme="minorHAnsi"/>
          <w:i/>
          <w:sz w:val="22"/>
          <w:szCs w:val="22"/>
          <w:shd w:val="clear" w:color="auto" w:fill="FFFFFF"/>
          <w:lang w:val="fr-FR"/>
        </w:rPr>
        <w:t>mirtazapine</w:t>
      </w:r>
      <w:proofErr w:type="spellEnd"/>
      <w:r w:rsidRPr="008E10C2">
        <w:rPr>
          <w:rFonts w:asciiTheme="minorHAnsi" w:hAnsiTheme="minorHAnsi"/>
          <w:i/>
          <w:sz w:val="22"/>
          <w:szCs w:val="22"/>
          <w:shd w:val="clear" w:color="auto" w:fill="FFFFFF"/>
          <w:lang w:val="fr-FR"/>
        </w:rPr>
        <w:t xml:space="preserve"> ou le </w:t>
      </w:r>
      <w:proofErr w:type="spellStart"/>
      <w:r w:rsidRPr="008E10C2">
        <w:rPr>
          <w:rFonts w:asciiTheme="minorHAnsi" w:hAnsiTheme="minorHAnsi"/>
          <w:i/>
          <w:sz w:val="22"/>
          <w:szCs w:val="22"/>
          <w:shd w:val="clear" w:color="auto" w:fill="FFFFFF"/>
          <w:lang w:val="fr-FR"/>
        </w:rPr>
        <w:t>bupropion</w:t>
      </w:r>
      <w:proofErr w:type="spellEnd"/>
      <w:r w:rsidRPr="008E10C2">
        <w:rPr>
          <w:rFonts w:asciiTheme="minorHAnsi" w:hAnsiTheme="minorHAnsi"/>
          <w:i/>
          <w:sz w:val="22"/>
          <w:szCs w:val="22"/>
          <w:shd w:val="clear" w:color="auto" w:fill="FFFFFF"/>
          <w:lang w:val="fr-FR"/>
        </w:rPr>
        <w:t xml:space="preserve"> aux ISRS.</w:t>
      </w:r>
      <w:r>
        <w:rPr>
          <w:rFonts w:asciiTheme="minorHAnsi" w:hAnsiTheme="minorHAnsi"/>
          <w:i/>
          <w:sz w:val="22"/>
          <w:szCs w:val="22"/>
          <w:shd w:val="clear" w:color="auto" w:fill="FFFFFF"/>
          <w:lang w:val="fr-FR"/>
        </w:rPr>
        <w:t xml:space="preserve"> </w:t>
      </w:r>
    </w:p>
    <w:p w14:paraId="1B511124" w14:textId="77777777" w:rsidR="008E10C2" w:rsidRDefault="008E10C2" w:rsidP="0043334F">
      <w:pPr>
        <w:spacing w:before="100" w:beforeAutospacing="1" w:after="100" w:afterAutospacing="1"/>
        <w:contextualSpacing/>
        <w:jc w:val="both"/>
        <w:rPr>
          <w:rFonts w:asciiTheme="minorHAnsi" w:hAnsiTheme="minorHAnsi"/>
          <w:i/>
          <w:sz w:val="22"/>
          <w:szCs w:val="22"/>
          <w:shd w:val="clear" w:color="auto" w:fill="FFFFFF"/>
          <w:lang w:val="fr-FR"/>
        </w:rPr>
      </w:pPr>
    </w:p>
    <w:p w14:paraId="4BD2506D" w14:textId="77777777" w:rsidR="00DB20DE" w:rsidRPr="00E21AE0" w:rsidRDefault="00DB20DE" w:rsidP="0043334F">
      <w:pPr>
        <w:autoSpaceDE w:val="0"/>
        <w:autoSpaceDN w:val="0"/>
        <w:adjustRightInd w:val="0"/>
        <w:contextualSpacing/>
        <w:jc w:val="both"/>
        <w:rPr>
          <w:rFonts w:asciiTheme="minorHAnsi" w:hAnsiTheme="minorHAnsi"/>
          <w:b/>
          <w:sz w:val="22"/>
          <w:szCs w:val="22"/>
          <w:lang w:val="fr-FR"/>
        </w:rPr>
      </w:pPr>
    </w:p>
    <w:p w14:paraId="5E644548" w14:textId="5DB3E6D8" w:rsidR="00962639" w:rsidRPr="00E21AE0" w:rsidRDefault="00E66E29" w:rsidP="0043334F">
      <w:pPr>
        <w:autoSpaceDE w:val="0"/>
        <w:autoSpaceDN w:val="0"/>
        <w:adjustRightInd w:val="0"/>
        <w:contextualSpacing/>
        <w:jc w:val="both"/>
        <w:rPr>
          <w:rFonts w:asciiTheme="minorHAnsi" w:hAnsiTheme="minorHAnsi"/>
          <w:b/>
          <w:color w:val="000000"/>
          <w:sz w:val="22"/>
          <w:szCs w:val="22"/>
          <w:lang w:val="fr-FR"/>
        </w:rPr>
      </w:pPr>
      <w:r w:rsidRPr="00E21AE0">
        <w:rPr>
          <w:rFonts w:ascii="Calibri" w:hAnsi="Calibri" w:cs="Calibri"/>
          <w:b/>
          <w:sz w:val="22"/>
          <w:szCs w:val="22"/>
          <w:lang w:val="fr-FR"/>
        </w:rPr>
        <w:t>#</w:t>
      </w:r>
      <w:r w:rsidR="006C24B0" w:rsidRPr="00E21AE0">
        <w:rPr>
          <w:rFonts w:asciiTheme="minorHAnsi" w:hAnsiTheme="minorHAnsi"/>
          <w:b/>
          <w:sz w:val="22"/>
          <w:szCs w:val="22"/>
          <w:lang w:val="fr-FR"/>
        </w:rPr>
        <w:t>B4.</w:t>
      </w:r>
      <w:r w:rsidR="008E10C2">
        <w:rPr>
          <w:rFonts w:asciiTheme="minorHAnsi" w:hAnsiTheme="minorHAnsi"/>
          <w:b/>
          <w:sz w:val="22"/>
          <w:szCs w:val="22"/>
          <w:lang w:val="fr-FR"/>
        </w:rPr>
        <w:t xml:space="preserve"> </w:t>
      </w:r>
      <w:r w:rsidR="008E10C2" w:rsidRPr="008E10C2">
        <w:rPr>
          <w:rFonts w:asciiTheme="minorHAnsi" w:hAnsiTheme="minorHAnsi"/>
          <w:b/>
          <w:sz w:val="22"/>
          <w:szCs w:val="22"/>
          <w:lang w:val="fr-FR"/>
        </w:rPr>
        <w:t>L'utilisation d'IRSN n'est pas appropriée en présence d'hypertension non contrôlée.</w:t>
      </w:r>
      <w:r w:rsidR="008E10C2">
        <w:rPr>
          <w:rFonts w:asciiTheme="minorHAnsi" w:hAnsiTheme="minorHAnsi"/>
          <w:b/>
          <w:sz w:val="22"/>
          <w:szCs w:val="22"/>
          <w:lang w:val="fr-FR"/>
        </w:rPr>
        <w:t xml:space="preserve"> </w:t>
      </w:r>
    </w:p>
    <w:p w14:paraId="05DFF1C6" w14:textId="7682D126" w:rsidR="008E10C2" w:rsidRDefault="008E10C2" w:rsidP="0043334F">
      <w:pPr>
        <w:autoSpaceDE w:val="0"/>
        <w:autoSpaceDN w:val="0"/>
        <w:adjustRightInd w:val="0"/>
        <w:contextualSpacing/>
        <w:jc w:val="both"/>
        <w:rPr>
          <w:rFonts w:asciiTheme="minorHAnsi" w:hAnsiTheme="minorHAnsi"/>
          <w:i/>
          <w:color w:val="000000"/>
          <w:sz w:val="22"/>
          <w:szCs w:val="22"/>
          <w:lang w:val="fr-FR"/>
        </w:rPr>
      </w:pPr>
      <w:r w:rsidRPr="008E10C2">
        <w:rPr>
          <w:rFonts w:asciiTheme="minorHAnsi" w:hAnsiTheme="minorHAnsi"/>
          <w:i/>
          <w:color w:val="000000"/>
          <w:sz w:val="22"/>
          <w:szCs w:val="22"/>
          <w:lang w:val="fr-FR"/>
        </w:rPr>
        <w:t>* L'effet secondaire HT</w:t>
      </w:r>
      <w:r w:rsidR="00443260">
        <w:rPr>
          <w:rFonts w:asciiTheme="minorHAnsi" w:hAnsiTheme="minorHAnsi"/>
          <w:i/>
          <w:color w:val="000000"/>
          <w:sz w:val="22"/>
          <w:szCs w:val="22"/>
          <w:lang w:val="fr-FR"/>
        </w:rPr>
        <w:t>A</w:t>
      </w:r>
      <w:r w:rsidRPr="008E10C2">
        <w:rPr>
          <w:rFonts w:asciiTheme="minorHAnsi" w:hAnsiTheme="minorHAnsi"/>
          <w:i/>
          <w:color w:val="000000"/>
          <w:sz w:val="22"/>
          <w:szCs w:val="22"/>
          <w:lang w:val="fr-FR"/>
        </w:rPr>
        <w:t xml:space="preserve"> de la </w:t>
      </w:r>
      <w:proofErr w:type="spellStart"/>
      <w:r w:rsidRPr="008E10C2">
        <w:rPr>
          <w:rFonts w:asciiTheme="minorHAnsi" w:hAnsiTheme="minorHAnsi"/>
          <w:i/>
          <w:color w:val="000000"/>
          <w:sz w:val="22"/>
          <w:szCs w:val="22"/>
          <w:lang w:val="fr-FR"/>
        </w:rPr>
        <w:t>venlafaxine</w:t>
      </w:r>
      <w:proofErr w:type="spellEnd"/>
      <w:r w:rsidRPr="008E10C2">
        <w:rPr>
          <w:rFonts w:asciiTheme="minorHAnsi" w:hAnsiTheme="minorHAnsi"/>
          <w:i/>
          <w:color w:val="000000"/>
          <w:sz w:val="22"/>
          <w:szCs w:val="22"/>
          <w:lang w:val="fr-FR"/>
        </w:rPr>
        <w:t xml:space="preserve"> est plus prononcé que celui de la </w:t>
      </w:r>
      <w:proofErr w:type="spellStart"/>
      <w:r w:rsidRPr="008E10C2">
        <w:rPr>
          <w:rFonts w:asciiTheme="minorHAnsi" w:hAnsiTheme="minorHAnsi"/>
          <w:i/>
          <w:color w:val="000000"/>
          <w:sz w:val="22"/>
          <w:szCs w:val="22"/>
          <w:lang w:val="fr-FR"/>
        </w:rPr>
        <w:t>duloxétine</w:t>
      </w:r>
      <w:proofErr w:type="spellEnd"/>
      <w:r w:rsidRPr="008E10C2">
        <w:rPr>
          <w:rFonts w:asciiTheme="minorHAnsi" w:hAnsiTheme="minorHAnsi"/>
          <w:i/>
          <w:color w:val="000000"/>
          <w:sz w:val="22"/>
          <w:szCs w:val="22"/>
          <w:lang w:val="fr-FR"/>
        </w:rPr>
        <w:t xml:space="preserve">. </w:t>
      </w:r>
    </w:p>
    <w:p w14:paraId="00158A04" w14:textId="139EA83A" w:rsidR="008E10C2" w:rsidRDefault="008E10C2" w:rsidP="0043334F">
      <w:pPr>
        <w:autoSpaceDE w:val="0"/>
        <w:autoSpaceDN w:val="0"/>
        <w:adjustRightInd w:val="0"/>
        <w:contextualSpacing/>
        <w:jc w:val="both"/>
        <w:rPr>
          <w:rFonts w:asciiTheme="minorHAnsi" w:hAnsiTheme="minorHAnsi"/>
          <w:i/>
          <w:color w:val="000000"/>
          <w:sz w:val="22"/>
          <w:szCs w:val="22"/>
          <w:lang w:val="fr-FR"/>
        </w:rPr>
      </w:pPr>
      <w:r w:rsidRPr="008E10C2">
        <w:rPr>
          <w:rFonts w:asciiTheme="minorHAnsi" w:hAnsiTheme="minorHAnsi"/>
          <w:i/>
          <w:color w:val="000000"/>
          <w:sz w:val="22"/>
          <w:szCs w:val="22"/>
          <w:lang w:val="fr-FR"/>
        </w:rPr>
        <w:t>* L'effet secondaire HT</w:t>
      </w:r>
      <w:r w:rsidR="00443260">
        <w:rPr>
          <w:rFonts w:asciiTheme="minorHAnsi" w:hAnsiTheme="minorHAnsi"/>
          <w:i/>
          <w:color w:val="000000"/>
          <w:sz w:val="22"/>
          <w:szCs w:val="22"/>
          <w:lang w:val="fr-FR"/>
        </w:rPr>
        <w:t>A</w:t>
      </w:r>
      <w:r w:rsidRPr="008E10C2">
        <w:rPr>
          <w:rFonts w:asciiTheme="minorHAnsi" w:hAnsiTheme="minorHAnsi"/>
          <w:i/>
          <w:color w:val="000000"/>
          <w:sz w:val="22"/>
          <w:szCs w:val="22"/>
          <w:lang w:val="fr-FR"/>
        </w:rPr>
        <w:t xml:space="preserve"> de la </w:t>
      </w:r>
      <w:proofErr w:type="spellStart"/>
      <w:r w:rsidRPr="008E10C2">
        <w:rPr>
          <w:rFonts w:asciiTheme="minorHAnsi" w:hAnsiTheme="minorHAnsi"/>
          <w:i/>
          <w:color w:val="000000"/>
          <w:sz w:val="22"/>
          <w:szCs w:val="22"/>
          <w:lang w:val="fr-FR"/>
        </w:rPr>
        <w:t>venlafaxine</w:t>
      </w:r>
      <w:proofErr w:type="spellEnd"/>
      <w:r w:rsidRPr="008E10C2">
        <w:rPr>
          <w:rFonts w:asciiTheme="minorHAnsi" w:hAnsiTheme="minorHAnsi"/>
          <w:i/>
          <w:color w:val="000000"/>
          <w:sz w:val="22"/>
          <w:szCs w:val="22"/>
          <w:lang w:val="fr-FR"/>
        </w:rPr>
        <w:t xml:space="preserve"> est plus prononcé à des doses &gt; 300 mg/jour.</w:t>
      </w:r>
    </w:p>
    <w:p w14:paraId="5726A5FA" w14:textId="77777777" w:rsidR="008E10C2" w:rsidRDefault="008E10C2" w:rsidP="0043334F">
      <w:pPr>
        <w:autoSpaceDE w:val="0"/>
        <w:autoSpaceDN w:val="0"/>
        <w:adjustRightInd w:val="0"/>
        <w:contextualSpacing/>
        <w:jc w:val="both"/>
        <w:rPr>
          <w:rFonts w:asciiTheme="minorHAnsi" w:hAnsiTheme="minorHAnsi"/>
          <w:i/>
          <w:color w:val="000000"/>
          <w:sz w:val="22"/>
          <w:szCs w:val="22"/>
          <w:lang w:val="fr-FR"/>
        </w:rPr>
      </w:pPr>
    </w:p>
    <w:p w14:paraId="441E40B4" w14:textId="77777777" w:rsidR="008E10C2" w:rsidRDefault="00AD4496" w:rsidP="0043334F">
      <w:pPr>
        <w:pStyle w:val="HTMLncedenBiimlendirilmi"/>
        <w:contextualSpacing/>
        <w:jc w:val="both"/>
        <w:rPr>
          <w:rFonts w:asciiTheme="minorHAnsi" w:hAnsiTheme="minorHAnsi"/>
          <w:b/>
          <w:color w:val="000000"/>
          <w:sz w:val="22"/>
          <w:szCs w:val="22"/>
          <w:lang w:val="fr-FR"/>
        </w:rPr>
      </w:pPr>
      <w:r w:rsidRPr="00E21AE0">
        <w:rPr>
          <w:rFonts w:asciiTheme="minorHAnsi" w:hAnsiTheme="minorHAnsi"/>
          <w:b/>
          <w:color w:val="000000"/>
          <w:sz w:val="22"/>
          <w:szCs w:val="22"/>
          <w:lang w:val="fr-FR"/>
        </w:rPr>
        <w:t xml:space="preserve">B5. </w:t>
      </w:r>
      <w:r w:rsidR="008E10C2" w:rsidRPr="008E10C2">
        <w:rPr>
          <w:rFonts w:asciiTheme="minorHAnsi" w:hAnsiTheme="minorHAnsi"/>
          <w:b/>
          <w:color w:val="000000"/>
          <w:sz w:val="22"/>
          <w:szCs w:val="22"/>
          <w:lang w:val="fr-FR"/>
        </w:rPr>
        <w:t xml:space="preserve">L'utilisation de la </w:t>
      </w:r>
      <w:proofErr w:type="spellStart"/>
      <w:r w:rsidR="008E10C2" w:rsidRPr="008E10C2">
        <w:rPr>
          <w:rFonts w:asciiTheme="minorHAnsi" w:hAnsiTheme="minorHAnsi"/>
          <w:b/>
          <w:color w:val="000000"/>
          <w:sz w:val="22"/>
          <w:szCs w:val="22"/>
          <w:lang w:val="fr-FR"/>
        </w:rPr>
        <w:t>duloxétine</w:t>
      </w:r>
      <w:proofErr w:type="spellEnd"/>
      <w:r w:rsidR="008E10C2" w:rsidRPr="008E10C2">
        <w:rPr>
          <w:rFonts w:asciiTheme="minorHAnsi" w:hAnsiTheme="minorHAnsi"/>
          <w:b/>
          <w:color w:val="000000"/>
          <w:sz w:val="22"/>
          <w:szCs w:val="22"/>
          <w:lang w:val="fr-FR"/>
        </w:rPr>
        <w:t xml:space="preserve"> n'est pas appropriée chez les patients avec un DFG &lt; 30 ml/min/1,73 m2 (augmentation des effets secondaires gastro-intestinaux)</w:t>
      </w:r>
      <w:r w:rsidR="008E10C2">
        <w:rPr>
          <w:rFonts w:asciiTheme="minorHAnsi" w:hAnsiTheme="minorHAnsi"/>
          <w:b/>
          <w:color w:val="000000"/>
          <w:sz w:val="22"/>
          <w:szCs w:val="22"/>
          <w:lang w:val="fr-FR"/>
        </w:rPr>
        <w:t xml:space="preserve"> </w:t>
      </w:r>
    </w:p>
    <w:p w14:paraId="3C97FBE0" w14:textId="77777777" w:rsidR="008E10C2" w:rsidRPr="008E10C2" w:rsidRDefault="008E10C2" w:rsidP="0043334F">
      <w:pPr>
        <w:pStyle w:val="HTMLncedenBiimlendirilmi"/>
        <w:contextualSpacing/>
        <w:jc w:val="both"/>
        <w:rPr>
          <w:rFonts w:asciiTheme="minorHAnsi" w:hAnsiTheme="minorHAnsi"/>
          <w:i/>
          <w:color w:val="222222"/>
          <w:sz w:val="22"/>
          <w:szCs w:val="22"/>
          <w:lang w:val="fr-FR"/>
        </w:rPr>
      </w:pPr>
      <w:r w:rsidRPr="008E10C2">
        <w:rPr>
          <w:rFonts w:asciiTheme="minorHAnsi" w:hAnsiTheme="minorHAnsi"/>
          <w:i/>
          <w:color w:val="222222"/>
          <w:sz w:val="22"/>
          <w:szCs w:val="22"/>
          <w:lang w:val="fr-FR"/>
        </w:rPr>
        <w:t xml:space="preserve">*Utilisation d'autres antidépresseurs courants en cas d'insuffisance rénale : </w:t>
      </w:r>
    </w:p>
    <w:p w14:paraId="6C420FB6" w14:textId="77777777" w:rsidR="008E10C2" w:rsidRPr="008E10C2" w:rsidRDefault="008E10C2" w:rsidP="0043334F">
      <w:pPr>
        <w:pStyle w:val="HTMLncedenBiimlendirilmi"/>
        <w:contextualSpacing/>
        <w:jc w:val="both"/>
        <w:rPr>
          <w:rFonts w:asciiTheme="minorHAnsi" w:hAnsiTheme="minorHAnsi"/>
          <w:i/>
          <w:color w:val="222222"/>
          <w:sz w:val="22"/>
          <w:szCs w:val="22"/>
          <w:lang w:val="fr-FR"/>
        </w:rPr>
      </w:pPr>
      <w:r w:rsidRPr="008E10C2">
        <w:rPr>
          <w:rFonts w:asciiTheme="minorHAnsi" w:hAnsiTheme="minorHAnsi"/>
          <w:i/>
          <w:color w:val="222222"/>
          <w:sz w:val="22"/>
          <w:szCs w:val="22"/>
          <w:lang w:val="fr-FR"/>
        </w:rPr>
        <w:tab/>
      </w:r>
      <w:proofErr w:type="spellStart"/>
      <w:r w:rsidRPr="008E10C2">
        <w:rPr>
          <w:rFonts w:asciiTheme="minorHAnsi" w:hAnsiTheme="minorHAnsi"/>
          <w:i/>
          <w:color w:val="222222"/>
          <w:sz w:val="22"/>
          <w:szCs w:val="22"/>
          <w:lang w:val="fr-FR"/>
        </w:rPr>
        <w:t>Citalopram</w:t>
      </w:r>
      <w:proofErr w:type="spellEnd"/>
      <w:r w:rsidRPr="008E10C2">
        <w:rPr>
          <w:rFonts w:asciiTheme="minorHAnsi" w:hAnsiTheme="minorHAnsi"/>
          <w:i/>
          <w:color w:val="222222"/>
          <w:sz w:val="22"/>
          <w:szCs w:val="22"/>
          <w:lang w:val="fr-FR"/>
        </w:rPr>
        <w:t xml:space="preserve"> et </w:t>
      </w:r>
      <w:proofErr w:type="spellStart"/>
      <w:r w:rsidRPr="008E10C2">
        <w:rPr>
          <w:rFonts w:asciiTheme="minorHAnsi" w:hAnsiTheme="minorHAnsi"/>
          <w:i/>
          <w:color w:val="222222"/>
          <w:sz w:val="22"/>
          <w:szCs w:val="22"/>
          <w:lang w:val="fr-FR"/>
        </w:rPr>
        <w:t>escitalopram</w:t>
      </w:r>
      <w:proofErr w:type="spellEnd"/>
      <w:r w:rsidRPr="008E10C2">
        <w:rPr>
          <w:rFonts w:asciiTheme="minorHAnsi" w:hAnsiTheme="minorHAnsi"/>
          <w:i/>
          <w:color w:val="222222"/>
          <w:sz w:val="22"/>
          <w:szCs w:val="22"/>
          <w:lang w:val="fr-FR"/>
        </w:rPr>
        <w:t xml:space="preserve"> : Aucun ajustement posologique n'est nécessaire en cas d'insuffisance rénale légère à modérée. Un ajustement de la dose n'est pas nécessaire en cas d'insuffisance rénale sévère (DFG &lt; 20 ml/min/1,73 m2), mais doit être utilisé avec prudence.       </w:t>
      </w:r>
      <w:r w:rsidRPr="008E10C2">
        <w:rPr>
          <w:rFonts w:asciiTheme="minorHAnsi" w:hAnsiTheme="minorHAnsi"/>
          <w:i/>
          <w:color w:val="222222"/>
          <w:sz w:val="22"/>
          <w:szCs w:val="22"/>
          <w:lang w:val="fr-FR"/>
        </w:rPr>
        <w:tab/>
      </w:r>
      <w:proofErr w:type="spellStart"/>
      <w:r w:rsidRPr="008E10C2">
        <w:rPr>
          <w:rFonts w:asciiTheme="minorHAnsi" w:hAnsiTheme="minorHAnsi"/>
          <w:i/>
          <w:color w:val="222222"/>
          <w:sz w:val="22"/>
          <w:szCs w:val="22"/>
          <w:lang w:val="fr-FR"/>
        </w:rPr>
        <w:t>Sertraline</w:t>
      </w:r>
      <w:proofErr w:type="spellEnd"/>
      <w:r w:rsidRPr="008E10C2">
        <w:rPr>
          <w:rFonts w:asciiTheme="minorHAnsi" w:hAnsiTheme="minorHAnsi"/>
          <w:i/>
          <w:color w:val="222222"/>
          <w:sz w:val="22"/>
          <w:szCs w:val="22"/>
          <w:lang w:val="fr-FR"/>
        </w:rPr>
        <w:t xml:space="preserve"> : Aucun ajustement posologique n'est nécessaire en cas d'insuffisance rénale. </w:t>
      </w:r>
      <w:r w:rsidRPr="008E10C2">
        <w:rPr>
          <w:rFonts w:asciiTheme="minorHAnsi" w:hAnsiTheme="minorHAnsi"/>
          <w:i/>
          <w:color w:val="222222"/>
          <w:sz w:val="22"/>
          <w:szCs w:val="22"/>
          <w:lang w:val="fr-FR"/>
        </w:rPr>
        <w:tab/>
      </w:r>
      <w:proofErr w:type="spellStart"/>
      <w:r w:rsidRPr="008E10C2">
        <w:rPr>
          <w:rFonts w:asciiTheme="minorHAnsi" w:hAnsiTheme="minorHAnsi"/>
          <w:i/>
          <w:color w:val="222222"/>
          <w:sz w:val="22"/>
          <w:szCs w:val="22"/>
          <w:lang w:val="fr-FR"/>
        </w:rPr>
        <w:t>Paroxétine</w:t>
      </w:r>
      <w:proofErr w:type="spellEnd"/>
      <w:r w:rsidRPr="008E10C2">
        <w:rPr>
          <w:rFonts w:asciiTheme="minorHAnsi" w:hAnsiTheme="minorHAnsi"/>
          <w:i/>
          <w:color w:val="222222"/>
          <w:sz w:val="22"/>
          <w:szCs w:val="22"/>
          <w:lang w:val="fr-FR"/>
        </w:rPr>
        <w:t xml:space="preserve"> : Si DFG &lt; 30 ml/min/1,73 m2, la dose maximale est de 40 mg en comprimés à libération immédiate, dose maximale en préparations à libération prolongée : 50 mg/jour. </w:t>
      </w:r>
    </w:p>
    <w:p w14:paraId="56C20D1E" w14:textId="77777777" w:rsidR="008E10C2" w:rsidRPr="008E10C2" w:rsidRDefault="008E10C2" w:rsidP="0043334F">
      <w:pPr>
        <w:pStyle w:val="HTMLncedenBiimlendirilmi"/>
        <w:contextualSpacing/>
        <w:jc w:val="both"/>
        <w:rPr>
          <w:rFonts w:asciiTheme="minorHAnsi" w:hAnsiTheme="minorHAnsi"/>
          <w:i/>
          <w:color w:val="222222"/>
          <w:sz w:val="22"/>
          <w:szCs w:val="22"/>
          <w:lang w:val="fr-FR"/>
        </w:rPr>
      </w:pPr>
      <w:r w:rsidRPr="008E10C2">
        <w:rPr>
          <w:rFonts w:asciiTheme="minorHAnsi" w:hAnsiTheme="minorHAnsi"/>
          <w:i/>
          <w:color w:val="222222"/>
          <w:sz w:val="22"/>
          <w:szCs w:val="22"/>
          <w:lang w:val="fr-FR"/>
        </w:rPr>
        <w:tab/>
      </w:r>
      <w:proofErr w:type="spellStart"/>
      <w:r w:rsidRPr="008E10C2">
        <w:rPr>
          <w:rFonts w:asciiTheme="minorHAnsi" w:hAnsiTheme="minorHAnsi"/>
          <w:i/>
          <w:color w:val="222222"/>
          <w:sz w:val="22"/>
          <w:szCs w:val="22"/>
          <w:lang w:val="fr-FR"/>
        </w:rPr>
        <w:t>Venlafaxine</w:t>
      </w:r>
      <w:proofErr w:type="spellEnd"/>
      <w:r w:rsidRPr="008E10C2">
        <w:rPr>
          <w:rFonts w:asciiTheme="minorHAnsi" w:hAnsiTheme="minorHAnsi"/>
          <w:i/>
          <w:color w:val="222222"/>
          <w:sz w:val="22"/>
          <w:szCs w:val="22"/>
          <w:lang w:val="fr-FR"/>
        </w:rPr>
        <w:t xml:space="preserve"> : Si DFG &lt; 30 ml/min/1,73 m2, la dose doit être réduite de 50 % dans les préparations à libération prolongée ; Dans les préparations à libération immédiate, si le DFG est de 10-75 ml/min/1,73 m2, la dose doit être réduite de 25 %. </w:t>
      </w:r>
    </w:p>
    <w:p w14:paraId="76976740" w14:textId="77777777" w:rsidR="008E10C2" w:rsidRPr="008E10C2" w:rsidRDefault="008E10C2" w:rsidP="0043334F">
      <w:pPr>
        <w:pStyle w:val="HTMLncedenBiimlendirilmi"/>
        <w:contextualSpacing/>
        <w:jc w:val="both"/>
        <w:rPr>
          <w:rFonts w:asciiTheme="minorHAnsi" w:hAnsiTheme="minorHAnsi"/>
          <w:i/>
          <w:color w:val="222222"/>
          <w:sz w:val="22"/>
          <w:szCs w:val="22"/>
          <w:lang w:val="fr-FR"/>
        </w:rPr>
      </w:pPr>
      <w:r w:rsidRPr="008E10C2">
        <w:rPr>
          <w:rFonts w:asciiTheme="minorHAnsi" w:hAnsiTheme="minorHAnsi"/>
          <w:i/>
          <w:color w:val="222222"/>
          <w:sz w:val="22"/>
          <w:szCs w:val="22"/>
          <w:lang w:val="fr-FR"/>
        </w:rPr>
        <w:tab/>
      </w:r>
      <w:proofErr w:type="spellStart"/>
      <w:r w:rsidRPr="008E10C2">
        <w:rPr>
          <w:rFonts w:asciiTheme="minorHAnsi" w:hAnsiTheme="minorHAnsi"/>
          <w:i/>
          <w:color w:val="222222"/>
          <w:sz w:val="22"/>
          <w:szCs w:val="22"/>
          <w:lang w:val="fr-FR"/>
        </w:rPr>
        <w:t>Mirtazapine</w:t>
      </w:r>
      <w:proofErr w:type="spellEnd"/>
      <w:r w:rsidRPr="008E10C2">
        <w:rPr>
          <w:rFonts w:asciiTheme="minorHAnsi" w:hAnsiTheme="minorHAnsi"/>
          <w:i/>
          <w:color w:val="222222"/>
          <w:sz w:val="22"/>
          <w:szCs w:val="22"/>
          <w:lang w:val="fr-FR"/>
        </w:rPr>
        <w:t xml:space="preserve"> : aucun ajustement posologique n'est nécessaire en cas d'insuffisance rénale, mais doit être utilisé avec prudence en cas d'insuffisance rénale modérée à sévère. </w:t>
      </w:r>
    </w:p>
    <w:p w14:paraId="5DC89479" w14:textId="77777777" w:rsidR="008E10C2" w:rsidRPr="008E10C2" w:rsidRDefault="008E10C2" w:rsidP="0043334F">
      <w:pPr>
        <w:pStyle w:val="HTMLncedenBiimlendirilmi"/>
        <w:contextualSpacing/>
        <w:jc w:val="both"/>
        <w:rPr>
          <w:rFonts w:asciiTheme="minorHAnsi" w:hAnsiTheme="minorHAnsi"/>
          <w:i/>
          <w:color w:val="222222"/>
          <w:sz w:val="22"/>
          <w:szCs w:val="22"/>
          <w:lang w:val="fr-FR"/>
        </w:rPr>
      </w:pPr>
      <w:r w:rsidRPr="008E10C2">
        <w:rPr>
          <w:rFonts w:asciiTheme="minorHAnsi" w:hAnsiTheme="minorHAnsi"/>
          <w:i/>
          <w:color w:val="222222"/>
          <w:sz w:val="22"/>
          <w:szCs w:val="22"/>
          <w:lang w:val="fr-FR"/>
        </w:rPr>
        <w:tab/>
      </w:r>
      <w:proofErr w:type="spellStart"/>
      <w:r w:rsidRPr="008E10C2">
        <w:rPr>
          <w:rFonts w:asciiTheme="minorHAnsi" w:hAnsiTheme="minorHAnsi"/>
          <w:i/>
          <w:color w:val="222222"/>
          <w:sz w:val="22"/>
          <w:szCs w:val="22"/>
          <w:lang w:val="fr-FR"/>
        </w:rPr>
        <w:t>Agomélatine</w:t>
      </w:r>
      <w:proofErr w:type="spellEnd"/>
      <w:r w:rsidRPr="008E10C2">
        <w:rPr>
          <w:rFonts w:asciiTheme="minorHAnsi" w:hAnsiTheme="minorHAnsi"/>
          <w:i/>
          <w:color w:val="222222"/>
          <w:sz w:val="22"/>
          <w:szCs w:val="22"/>
          <w:lang w:val="fr-FR"/>
        </w:rPr>
        <w:t xml:space="preserve"> : Aucun ajustement posologique n'est nécessaire en cas d'insuffisance rénale. </w:t>
      </w:r>
    </w:p>
    <w:p w14:paraId="40A8A460" w14:textId="72F4E003" w:rsidR="008E10C2" w:rsidRPr="008E10C2" w:rsidRDefault="008E10C2" w:rsidP="0043334F">
      <w:pPr>
        <w:pStyle w:val="HTMLncedenBiimlendirilmi"/>
        <w:contextualSpacing/>
        <w:jc w:val="both"/>
        <w:rPr>
          <w:rFonts w:asciiTheme="minorHAnsi" w:hAnsiTheme="minorHAnsi"/>
          <w:i/>
          <w:color w:val="222222"/>
          <w:sz w:val="22"/>
          <w:szCs w:val="22"/>
          <w:lang w:val="fr-FR"/>
        </w:rPr>
      </w:pPr>
      <w:r w:rsidRPr="008E10C2">
        <w:rPr>
          <w:rFonts w:asciiTheme="minorHAnsi" w:hAnsiTheme="minorHAnsi"/>
          <w:i/>
          <w:color w:val="222222"/>
          <w:sz w:val="22"/>
          <w:szCs w:val="22"/>
          <w:lang w:val="fr-FR"/>
        </w:rPr>
        <w:tab/>
      </w:r>
      <w:proofErr w:type="spellStart"/>
      <w:r w:rsidRPr="008E10C2">
        <w:rPr>
          <w:rFonts w:asciiTheme="minorHAnsi" w:hAnsiTheme="minorHAnsi"/>
          <w:i/>
          <w:color w:val="222222"/>
          <w:sz w:val="22"/>
          <w:szCs w:val="22"/>
          <w:lang w:val="fr-FR"/>
        </w:rPr>
        <w:t>Vortioxétine</w:t>
      </w:r>
      <w:proofErr w:type="spellEnd"/>
      <w:r w:rsidRPr="008E10C2">
        <w:rPr>
          <w:rFonts w:asciiTheme="minorHAnsi" w:hAnsiTheme="minorHAnsi"/>
          <w:i/>
          <w:color w:val="222222"/>
          <w:sz w:val="22"/>
          <w:szCs w:val="22"/>
          <w:lang w:val="fr-FR"/>
        </w:rPr>
        <w:t xml:space="preserve"> : Aucun ajustement posologique n'est nécessaire en cas d'insuffisance rénale. </w:t>
      </w:r>
    </w:p>
    <w:p w14:paraId="227A16BF" w14:textId="77777777" w:rsidR="008E10C2" w:rsidRDefault="008E10C2" w:rsidP="0043334F">
      <w:pPr>
        <w:pStyle w:val="HTMLncedenBiimlendirilmi"/>
        <w:contextualSpacing/>
        <w:jc w:val="both"/>
        <w:rPr>
          <w:rFonts w:asciiTheme="minorHAnsi" w:hAnsiTheme="minorHAnsi"/>
          <w:color w:val="222222"/>
          <w:sz w:val="22"/>
          <w:szCs w:val="22"/>
          <w:lang w:val="fr-FR"/>
        </w:rPr>
      </w:pPr>
    </w:p>
    <w:p w14:paraId="0605A6D7" w14:textId="77777777" w:rsidR="00744A29" w:rsidRPr="00E21AE0" w:rsidRDefault="00744A29" w:rsidP="0043334F">
      <w:pPr>
        <w:pStyle w:val="HTMLncedenBiimlendirilmi"/>
        <w:contextualSpacing/>
        <w:jc w:val="both"/>
        <w:rPr>
          <w:rFonts w:asciiTheme="minorHAnsi" w:hAnsiTheme="minorHAnsi" w:cstheme="minorHAnsi"/>
          <w:sz w:val="22"/>
          <w:szCs w:val="22"/>
          <w:lang w:val="fr-FR"/>
        </w:rPr>
      </w:pPr>
    </w:p>
    <w:p w14:paraId="21DE3144" w14:textId="3CC00804" w:rsidR="00744A29" w:rsidRPr="00E21AE0" w:rsidRDefault="006C24B0" w:rsidP="0043334F">
      <w:pPr>
        <w:pStyle w:val="HTMLncedenBiimlendirilmi"/>
        <w:contextualSpacing/>
        <w:jc w:val="both"/>
        <w:rPr>
          <w:rFonts w:asciiTheme="minorHAnsi" w:hAnsiTheme="minorHAnsi"/>
          <w:b/>
          <w:color w:val="000000"/>
          <w:sz w:val="22"/>
          <w:szCs w:val="22"/>
          <w:lang w:val="fr-FR"/>
        </w:rPr>
      </w:pPr>
      <w:r w:rsidRPr="00E21AE0">
        <w:rPr>
          <w:rFonts w:asciiTheme="minorHAnsi" w:hAnsiTheme="minorHAnsi"/>
          <w:b/>
          <w:color w:val="000000"/>
          <w:sz w:val="22"/>
          <w:szCs w:val="22"/>
          <w:lang w:val="fr-FR"/>
        </w:rPr>
        <w:t xml:space="preserve">B6. </w:t>
      </w:r>
      <w:r w:rsidR="008E10C2" w:rsidRPr="008E10C2">
        <w:rPr>
          <w:rFonts w:asciiTheme="minorHAnsi" w:hAnsiTheme="minorHAnsi"/>
          <w:b/>
          <w:color w:val="000000"/>
          <w:sz w:val="22"/>
          <w:szCs w:val="22"/>
          <w:lang w:val="fr-FR"/>
        </w:rPr>
        <w:t xml:space="preserve">En cas de DFG &lt; 60 ml/min/1,73 m2, l'utilisation de </w:t>
      </w:r>
      <w:proofErr w:type="spellStart"/>
      <w:r w:rsidR="008E10C2" w:rsidRPr="008E10C2">
        <w:rPr>
          <w:rFonts w:asciiTheme="minorHAnsi" w:hAnsiTheme="minorHAnsi"/>
          <w:b/>
          <w:color w:val="000000"/>
          <w:sz w:val="22"/>
          <w:szCs w:val="22"/>
          <w:lang w:val="fr-FR"/>
        </w:rPr>
        <w:t>prégabaline</w:t>
      </w:r>
      <w:proofErr w:type="spellEnd"/>
      <w:r w:rsidR="008E10C2" w:rsidRPr="008E10C2">
        <w:rPr>
          <w:rFonts w:asciiTheme="minorHAnsi" w:hAnsiTheme="minorHAnsi"/>
          <w:b/>
          <w:color w:val="000000"/>
          <w:sz w:val="22"/>
          <w:szCs w:val="22"/>
          <w:lang w:val="fr-FR"/>
        </w:rPr>
        <w:t xml:space="preserve"> et de </w:t>
      </w:r>
      <w:proofErr w:type="spellStart"/>
      <w:r w:rsidR="008E10C2" w:rsidRPr="008E10C2">
        <w:rPr>
          <w:rFonts w:asciiTheme="minorHAnsi" w:hAnsiTheme="minorHAnsi"/>
          <w:b/>
          <w:color w:val="000000"/>
          <w:sz w:val="22"/>
          <w:szCs w:val="22"/>
          <w:lang w:val="fr-FR"/>
        </w:rPr>
        <w:t>gabapentine</w:t>
      </w:r>
      <w:proofErr w:type="spellEnd"/>
      <w:r w:rsidR="008E10C2" w:rsidRPr="008E10C2">
        <w:rPr>
          <w:rFonts w:asciiTheme="minorHAnsi" w:hAnsiTheme="minorHAnsi"/>
          <w:b/>
          <w:color w:val="000000"/>
          <w:sz w:val="22"/>
          <w:szCs w:val="22"/>
          <w:lang w:val="fr-FR"/>
        </w:rPr>
        <w:t xml:space="preserve"> sans réduction de dose</w:t>
      </w:r>
      <w:r w:rsidR="000425CF">
        <w:rPr>
          <w:rFonts w:asciiTheme="minorHAnsi" w:hAnsiTheme="minorHAnsi"/>
          <w:b/>
          <w:color w:val="000000"/>
          <w:sz w:val="22"/>
          <w:szCs w:val="22"/>
          <w:lang w:val="fr-FR"/>
        </w:rPr>
        <w:t>,</w:t>
      </w:r>
      <w:r w:rsidR="008E10C2" w:rsidRPr="008E10C2">
        <w:rPr>
          <w:rFonts w:asciiTheme="minorHAnsi" w:hAnsiTheme="minorHAnsi"/>
          <w:b/>
          <w:color w:val="000000"/>
          <w:sz w:val="22"/>
          <w:szCs w:val="22"/>
          <w:lang w:val="fr-FR"/>
        </w:rPr>
        <w:t xml:space="preserve"> n'est pas appropriée. </w:t>
      </w:r>
      <w:r w:rsidR="008E10C2">
        <w:rPr>
          <w:rFonts w:asciiTheme="minorHAnsi" w:hAnsiTheme="minorHAnsi"/>
          <w:b/>
          <w:color w:val="000000"/>
          <w:sz w:val="22"/>
          <w:szCs w:val="22"/>
          <w:lang w:val="fr-FR"/>
        </w:rPr>
        <w:t xml:space="preserve"> </w:t>
      </w:r>
    </w:p>
    <w:p w14:paraId="6414C927" w14:textId="77777777" w:rsidR="00744A29" w:rsidRPr="00E21AE0" w:rsidRDefault="00744A29" w:rsidP="0043334F">
      <w:pPr>
        <w:pStyle w:val="HTMLncedenBiimlendirilmi"/>
        <w:contextualSpacing/>
        <w:jc w:val="both"/>
        <w:rPr>
          <w:rFonts w:asciiTheme="minorHAnsi" w:hAnsiTheme="minorHAnsi"/>
          <w:b/>
          <w:color w:val="000000"/>
          <w:sz w:val="22"/>
          <w:szCs w:val="22"/>
          <w:lang w:val="fr-FR"/>
        </w:rPr>
      </w:pPr>
    </w:p>
    <w:p w14:paraId="29B43DA2" w14:textId="4E5EF260" w:rsidR="000425CF" w:rsidRDefault="006C24B0" w:rsidP="0043334F">
      <w:pPr>
        <w:pStyle w:val="HTMLncedenBiimlendirilmi"/>
        <w:contextualSpacing/>
        <w:jc w:val="both"/>
        <w:rPr>
          <w:rFonts w:asciiTheme="minorHAnsi" w:hAnsiTheme="minorHAnsi"/>
          <w:b/>
          <w:sz w:val="22"/>
          <w:szCs w:val="22"/>
          <w:lang w:val="fr-FR"/>
        </w:rPr>
      </w:pPr>
      <w:r w:rsidRPr="00E21AE0">
        <w:rPr>
          <w:rFonts w:asciiTheme="minorHAnsi" w:hAnsiTheme="minorHAnsi"/>
          <w:b/>
          <w:sz w:val="22"/>
          <w:szCs w:val="22"/>
          <w:lang w:val="fr-FR"/>
        </w:rPr>
        <w:t xml:space="preserve">B7. </w:t>
      </w:r>
      <w:r w:rsidR="000425CF" w:rsidRPr="000425CF">
        <w:rPr>
          <w:rFonts w:asciiTheme="minorHAnsi" w:hAnsiTheme="minorHAnsi"/>
          <w:b/>
          <w:sz w:val="22"/>
          <w:szCs w:val="22"/>
          <w:lang w:val="fr-FR"/>
        </w:rPr>
        <w:t>Chez les patients atteints de délire ou de démence, les médicaments à effets anticholinergiques élevés (</w:t>
      </w:r>
      <w:proofErr w:type="spellStart"/>
      <w:r w:rsidR="000425CF" w:rsidRPr="000425CF">
        <w:rPr>
          <w:rFonts w:asciiTheme="minorHAnsi" w:hAnsiTheme="minorHAnsi"/>
          <w:b/>
          <w:sz w:val="22"/>
          <w:szCs w:val="22"/>
          <w:lang w:val="fr-FR"/>
        </w:rPr>
        <w:t>amitriptyline</w:t>
      </w:r>
      <w:proofErr w:type="spellEnd"/>
      <w:r w:rsidR="000425CF" w:rsidRPr="000425CF">
        <w:rPr>
          <w:rFonts w:asciiTheme="minorHAnsi" w:hAnsiTheme="minorHAnsi"/>
          <w:b/>
          <w:sz w:val="22"/>
          <w:szCs w:val="22"/>
          <w:lang w:val="fr-FR"/>
        </w:rPr>
        <w:t xml:space="preserve">, </w:t>
      </w:r>
      <w:proofErr w:type="spellStart"/>
      <w:r w:rsidR="000425CF" w:rsidRPr="000425CF">
        <w:rPr>
          <w:rFonts w:asciiTheme="minorHAnsi" w:hAnsiTheme="minorHAnsi"/>
          <w:b/>
          <w:sz w:val="22"/>
          <w:szCs w:val="22"/>
          <w:lang w:val="fr-FR"/>
        </w:rPr>
        <w:t>paroxétine</w:t>
      </w:r>
      <w:proofErr w:type="spellEnd"/>
      <w:r w:rsidR="000425CF" w:rsidRPr="000425CF">
        <w:rPr>
          <w:rFonts w:asciiTheme="minorHAnsi" w:hAnsiTheme="minorHAnsi"/>
          <w:b/>
          <w:sz w:val="22"/>
          <w:szCs w:val="22"/>
          <w:lang w:val="fr-FR"/>
        </w:rPr>
        <w:t xml:space="preserve">, </w:t>
      </w:r>
      <w:proofErr w:type="spellStart"/>
      <w:r w:rsidR="000425CF" w:rsidRPr="000425CF">
        <w:rPr>
          <w:rFonts w:asciiTheme="minorHAnsi" w:hAnsiTheme="minorHAnsi"/>
          <w:b/>
          <w:sz w:val="22"/>
          <w:szCs w:val="22"/>
          <w:lang w:val="fr-FR"/>
        </w:rPr>
        <w:t>dicyclomine</w:t>
      </w:r>
      <w:proofErr w:type="spellEnd"/>
      <w:r w:rsidR="000425CF" w:rsidRPr="000425CF">
        <w:rPr>
          <w:rFonts w:asciiTheme="minorHAnsi" w:hAnsiTheme="minorHAnsi"/>
          <w:b/>
          <w:sz w:val="22"/>
          <w:szCs w:val="22"/>
          <w:lang w:val="fr-FR"/>
        </w:rPr>
        <w:t>, L-</w:t>
      </w:r>
      <w:proofErr w:type="spellStart"/>
      <w:r w:rsidR="000425CF" w:rsidRPr="000425CF">
        <w:rPr>
          <w:rFonts w:asciiTheme="minorHAnsi" w:hAnsiTheme="minorHAnsi"/>
          <w:b/>
          <w:sz w:val="22"/>
          <w:szCs w:val="22"/>
          <w:lang w:val="fr-FR"/>
        </w:rPr>
        <w:t>hyoscyamine</w:t>
      </w:r>
      <w:proofErr w:type="spellEnd"/>
      <w:r w:rsidR="000425CF" w:rsidRPr="000425CF">
        <w:rPr>
          <w:rFonts w:asciiTheme="minorHAnsi" w:hAnsiTheme="minorHAnsi"/>
          <w:b/>
          <w:sz w:val="22"/>
          <w:szCs w:val="22"/>
          <w:lang w:val="fr-FR"/>
        </w:rPr>
        <w:t xml:space="preserve">, </w:t>
      </w:r>
      <w:proofErr w:type="spellStart"/>
      <w:r w:rsidR="000425CF" w:rsidRPr="000425CF">
        <w:rPr>
          <w:rFonts w:asciiTheme="minorHAnsi" w:hAnsiTheme="minorHAnsi"/>
          <w:b/>
          <w:sz w:val="22"/>
          <w:szCs w:val="22"/>
          <w:lang w:val="fr-FR"/>
        </w:rPr>
        <w:t>thioridazine</w:t>
      </w:r>
      <w:proofErr w:type="spellEnd"/>
      <w:r w:rsidR="000425CF" w:rsidRPr="000425CF">
        <w:rPr>
          <w:rFonts w:asciiTheme="minorHAnsi" w:hAnsiTheme="minorHAnsi"/>
          <w:b/>
          <w:sz w:val="22"/>
          <w:szCs w:val="22"/>
          <w:lang w:val="fr-FR"/>
        </w:rPr>
        <w:t xml:space="preserve">, chlorpromazine, </w:t>
      </w:r>
      <w:proofErr w:type="spellStart"/>
      <w:r w:rsidR="000425CF" w:rsidRPr="000425CF">
        <w:rPr>
          <w:rFonts w:asciiTheme="minorHAnsi" w:hAnsiTheme="minorHAnsi"/>
          <w:b/>
          <w:sz w:val="22"/>
          <w:szCs w:val="22"/>
          <w:lang w:val="fr-FR"/>
        </w:rPr>
        <w:t>clozapine</w:t>
      </w:r>
      <w:proofErr w:type="spellEnd"/>
      <w:r w:rsidR="000425CF" w:rsidRPr="000425CF">
        <w:rPr>
          <w:rFonts w:asciiTheme="minorHAnsi" w:hAnsiTheme="minorHAnsi"/>
          <w:b/>
          <w:sz w:val="22"/>
          <w:szCs w:val="22"/>
          <w:lang w:val="fr-FR"/>
        </w:rPr>
        <w:t xml:space="preserve">, </w:t>
      </w:r>
      <w:proofErr w:type="spellStart"/>
      <w:r w:rsidR="000425CF" w:rsidRPr="000425CF">
        <w:rPr>
          <w:rFonts w:asciiTheme="minorHAnsi" w:hAnsiTheme="minorHAnsi"/>
          <w:b/>
          <w:sz w:val="22"/>
          <w:szCs w:val="22"/>
          <w:lang w:val="fr-FR"/>
        </w:rPr>
        <w:t>olanzapine</w:t>
      </w:r>
      <w:proofErr w:type="spellEnd"/>
      <w:r w:rsidR="000425CF" w:rsidRPr="000425CF">
        <w:rPr>
          <w:rFonts w:asciiTheme="minorHAnsi" w:hAnsiTheme="minorHAnsi"/>
          <w:b/>
          <w:sz w:val="22"/>
          <w:szCs w:val="22"/>
          <w:lang w:val="fr-FR"/>
        </w:rPr>
        <w:t xml:space="preserve">, </w:t>
      </w:r>
      <w:proofErr w:type="spellStart"/>
      <w:r w:rsidR="000425CF" w:rsidRPr="000425CF">
        <w:rPr>
          <w:rFonts w:asciiTheme="minorHAnsi" w:hAnsiTheme="minorHAnsi"/>
          <w:b/>
          <w:sz w:val="22"/>
          <w:szCs w:val="22"/>
          <w:lang w:val="fr-FR"/>
        </w:rPr>
        <w:t>antimuscariniques</w:t>
      </w:r>
      <w:proofErr w:type="spellEnd"/>
      <w:r w:rsidR="000425CF" w:rsidRPr="000425CF">
        <w:rPr>
          <w:rFonts w:asciiTheme="minorHAnsi" w:hAnsiTheme="minorHAnsi"/>
          <w:b/>
          <w:sz w:val="22"/>
          <w:szCs w:val="22"/>
          <w:lang w:val="fr-FR"/>
        </w:rPr>
        <w:t xml:space="preserve"> urinaires, </w:t>
      </w:r>
      <w:r w:rsidR="000425CF">
        <w:rPr>
          <w:rFonts w:asciiTheme="minorHAnsi" w:hAnsiTheme="minorHAnsi"/>
          <w:b/>
          <w:sz w:val="22"/>
          <w:szCs w:val="22"/>
          <w:lang w:val="fr-FR"/>
        </w:rPr>
        <w:t>bloqueurs</w:t>
      </w:r>
      <w:r w:rsidR="000425CF" w:rsidRPr="000425CF">
        <w:rPr>
          <w:rFonts w:asciiTheme="minorHAnsi" w:hAnsiTheme="minorHAnsi"/>
          <w:b/>
          <w:sz w:val="22"/>
          <w:szCs w:val="22"/>
          <w:lang w:val="fr-FR"/>
        </w:rPr>
        <w:t xml:space="preserve"> des réc</w:t>
      </w:r>
      <w:r w:rsidR="000425CF">
        <w:rPr>
          <w:rFonts w:asciiTheme="minorHAnsi" w:hAnsiTheme="minorHAnsi"/>
          <w:b/>
          <w:sz w:val="22"/>
          <w:szCs w:val="22"/>
          <w:lang w:val="fr-FR"/>
        </w:rPr>
        <w:t>epteurs H1, en particulier les</w:t>
      </w:r>
      <w:r w:rsidR="000425CF" w:rsidRPr="000425CF">
        <w:rPr>
          <w:rFonts w:asciiTheme="minorHAnsi" w:hAnsiTheme="minorHAnsi"/>
          <w:b/>
          <w:sz w:val="22"/>
          <w:szCs w:val="22"/>
          <w:lang w:val="fr-FR"/>
        </w:rPr>
        <w:t xml:space="preserve"> bloqueurs des récepteurs H1,</w:t>
      </w:r>
      <w:r w:rsidR="000425CF" w:rsidRPr="000425CF">
        <w:t xml:space="preserve"> </w:t>
      </w:r>
      <w:r w:rsidR="000425CF" w:rsidRPr="000425CF">
        <w:rPr>
          <w:rFonts w:asciiTheme="minorHAnsi" w:hAnsiTheme="minorHAnsi"/>
          <w:b/>
          <w:sz w:val="22"/>
          <w:szCs w:val="22"/>
          <w:lang w:val="fr-FR"/>
        </w:rPr>
        <w:t>(</w:t>
      </w:r>
      <w:proofErr w:type="spellStart"/>
      <w:r w:rsidR="000425CF" w:rsidRPr="000425CF">
        <w:rPr>
          <w:rFonts w:asciiTheme="minorHAnsi" w:hAnsiTheme="minorHAnsi"/>
          <w:b/>
          <w:sz w:val="22"/>
          <w:szCs w:val="22"/>
          <w:lang w:val="fr-FR"/>
        </w:rPr>
        <w:t>diphenhydramine</w:t>
      </w:r>
      <w:proofErr w:type="spellEnd"/>
      <w:r w:rsidR="000425CF" w:rsidRPr="000425CF">
        <w:rPr>
          <w:rFonts w:asciiTheme="minorHAnsi" w:hAnsiTheme="minorHAnsi"/>
          <w:b/>
          <w:sz w:val="22"/>
          <w:szCs w:val="22"/>
          <w:lang w:val="fr-FR"/>
        </w:rPr>
        <w:t xml:space="preserve">, </w:t>
      </w:r>
      <w:proofErr w:type="spellStart"/>
      <w:r w:rsidR="000425CF" w:rsidRPr="000425CF">
        <w:rPr>
          <w:rFonts w:asciiTheme="minorHAnsi" w:hAnsiTheme="minorHAnsi"/>
          <w:b/>
          <w:sz w:val="22"/>
          <w:szCs w:val="22"/>
          <w:lang w:val="fr-FR"/>
        </w:rPr>
        <w:t>cyproheptadine</w:t>
      </w:r>
      <w:proofErr w:type="spellEnd"/>
      <w:r w:rsidR="000425CF" w:rsidRPr="000425CF">
        <w:rPr>
          <w:rFonts w:asciiTheme="minorHAnsi" w:hAnsiTheme="minorHAnsi"/>
          <w:b/>
          <w:sz w:val="22"/>
          <w:szCs w:val="22"/>
          <w:lang w:val="fr-FR"/>
        </w:rPr>
        <w:t xml:space="preserve">, </w:t>
      </w:r>
      <w:proofErr w:type="spellStart"/>
      <w:r w:rsidR="000425CF" w:rsidRPr="000425CF">
        <w:rPr>
          <w:rFonts w:asciiTheme="minorHAnsi" w:hAnsiTheme="minorHAnsi"/>
          <w:b/>
          <w:sz w:val="22"/>
          <w:szCs w:val="22"/>
          <w:lang w:val="fr-FR"/>
        </w:rPr>
        <w:t>phéniramine</w:t>
      </w:r>
      <w:proofErr w:type="spellEnd"/>
      <w:r w:rsidR="000425CF" w:rsidRPr="000425CF">
        <w:rPr>
          <w:rFonts w:asciiTheme="minorHAnsi" w:hAnsiTheme="minorHAnsi"/>
          <w:b/>
          <w:sz w:val="22"/>
          <w:szCs w:val="22"/>
          <w:lang w:val="fr-FR"/>
        </w:rPr>
        <w:t xml:space="preserve">), l'utilisation de bloqueurs des récepteurs </w:t>
      </w:r>
      <w:r w:rsidR="000425CF">
        <w:rPr>
          <w:rFonts w:asciiTheme="minorHAnsi" w:hAnsiTheme="minorHAnsi"/>
          <w:b/>
          <w:sz w:val="22"/>
          <w:szCs w:val="22"/>
          <w:lang w:val="fr-FR"/>
        </w:rPr>
        <w:t xml:space="preserve">H2 </w:t>
      </w:r>
      <w:r w:rsidR="000425CF" w:rsidRPr="000425CF">
        <w:rPr>
          <w:rFonts w:asciiTheme="minorHAnsi" w:hAnsiTheme="minorHAnsi"/>
          <w:b/>
          <w:sz w:val="22"/>
          <w:szCs w:val="22"/>
          <w:lang w:val="fr-FR"/>
        </w:rPr>
        <w:t>n'est pas appropriée (risque de détérioration cognitive)</w:t>
      </w:r>
      <w:r w:rsidR="000425CF">
        <w:rPr>
          <w:rFonts w:asciiTheme="minorHAnsi" w:hAnsiTheme="minorHAnsi"/>
          <w:b/>
          <w:sz w:val="22"/>
          <w:szCs w:val="22"/>
          <w:lang w:val="fr-FR"/>
        </w:rPr>
        <w:t xml:space="preserve"> </w:t>
      </w:r>
    </w:p>
    <w:p w14:paraId="4D41595A" w14:textId="77777777" w:rsidR="000425CF" w:rsidRDefault="000425CF" w:rsidP="0043334F">
      <w:pPr>
        <w:pStyle w:val="HTMLncedenBiimlendirilmi"/>
        <w:contextualSpacing/>
        <w:jc w:val="both"/>
        <w:rPr>
          <w:rFonts w:asciiTheme="minorHAnsi" w:hAnsiTheme="minorHAnsi"/>
          <w:b/>
          <w:sz w:val="22"/>
          <w:szCs w:val="22"/>
          <w:lang w:val="fr-FR"/>
        </w:rPr>
      </w:pPr>
    </w:p>
    <w:p w14:paraId="72771BE1" w14:textId="77777777" w:rsidR="000425CF" w:rsidRDefault="000425CF" w:rsidP="0043334F">
      <w:pPr>
        <w:pStyle w:val="NormalWeb"/>
        <w:spacing w:before="0" w:beforeAutospacing="0" w:after="0" w:afterAutospacing="0"/>
        <w:contextualSpacing/>
        <w:jc w:val="both"/>
        <w:rPr>
          <w:rFonts w:asciiTheme="minorHAnsi" w:hAnsiTheme="minorHAnsi"/>
          <w:i/>
          <w:sz w:val="22"/>
          <w:szCs w:val="22"/>
          <w:lang w:val="fr-FR"/>
        </w:rPr>
      </w:pPr>
      <w:r w:rsidRPr="000425CF">
        <w:rPr>
          <w:rFonts w:asciiTheme="minorHAnsi" w:hAnsiTheme="minorHAnsi"/>
          <w:i/>
          <w:sz w:val="22"/>
          <w:szCs w:val="22"/>
          <w:lang w:val="fr-FR"/>
        </w:rPr>
        <w:t xml:space="preserve">*Chez les patients présentant des anomalies du système extrapyramidal (anomalies parkinsoniennes) telles que la démence de Parkinson et la démence à corps de </w:t>
      </w:r>
      <w:proofErr w:type="spellStart"/>
      <w:r w:rsidRPr="000425CF">
        <w:rPr>
          <w:rFonts w:asciiTheme="minorHAnsi" w:hAnsiTheme="minorHAnsi"/>
          <w:i/>
          <w:sz w:val="22"/>
          <w:szCs w:val="22"/>
          <w:lang w:val="fr-FR"/>
        </w:rPr>
        <w:t>Lewy</w:t>
      </w:r>
      <w:proofErr w:type="spellEnd"/>
      <w:r w:rsidRPr="000425CF">
        <w:rPr>
          <w:rFonts w:asciiTheme="minorHAnsi" w:hAnsiTheme="minorHAnsi"/>
          <w:i/>
          <w:sz w:val="22"/>
          <w:szCs w:val="22"/>
          <w:lang w:val="fr-FR"/>
        </w:rPr>
        <w:t xml:space="preserve">, l'utilisation de la </w:t>
      </w:r>
      <w:proofErr w:type="spellStart"/>
      <w:r w:rsidRPr="000425CF">
        <w:rPr>
          <w:rFonts w:asciiTheme="minorHAnsi" w:hAnsiTheme="minorHAnsi"/>
          <w:i/>
          <w:sz w:val="22"/>
          <w:szCs w:val="22"/>
          <w:lang w:val="fr-FR"/>
        </w:rPr>
        <w:t>clozapine</w:t>
      </w:r>
      <w:proofErr w:type="spellEnd"/>
      <w:r w:rsidRPr="000425CF">
        <w:rPr>
          <w:rFonts w:asciiTheme="minorHAnsi" w:hAnsiTheme="minorHAnsi"/>
          <w:i/>
          <w:sz w:val="22"/>
          <w:szCs w:val="22"/>
          <w:lang w:val="fr-FR"/>
        </w:rPr>
        <w:t xml:space="preserve"> peut être requise en pratique clinique pour le traitement des symptômes comportementaux sévères de la démence/délire. Dans ce cas, il doit être utilisé pendant la durée la plus courte possible, à la dose la plus faible et avec une surveillance étroite des fonctions cognitives. </w:t>
      </w:r>
    </w:p>
    <w:p w14:paraId="5B6AF874" w14:textId="77777777" w:rsidR="000425CF" w:rsidRDefault="000425CF" w:rsidP="0043334F">
      <w:pPr>
        <w:pStyle w:val="NormalWeb"/>
        <w:spacing w:before="0" w:beforeAutospacing="0" w:after="0" w:afterAutospacing="0"/>
        <w:contextualSpacing/>
        <w:jc w:val="both"/>
        <w:rPr>
          <w:rFonts w:asciiTheme="minorHAnsi" w:hAnsiTheme="minorHAnsi"/>
          <w:i/>
          <w:sz w:val="22"/>
          <w:szCs w:val="22"/>
          <w:lang w:val="fr-FR"/>
        </w:rPr>
      </w:pPr>
      <w:r w:rsidRPr="000425CF">
        <w:rPr>
          <w:rFonts w:asciiTheme="minorHAnsi" w:hAnsiTheme="minorHAnsi"/>
          <w:i/>
          <w:sz w:val="22"/>
          <w:szCs w:val="22"/>
          <w:lang w:val="fr-FR"/>
        </w:rPr>
        <w:t xml:space="preserve">*Chez les patients présentant des anomalies du système extrapyramidal (anomalies parkinsoniennes) telles que la démence de Parkinson et la démence à corps de </w:t>
      </w:r>
      <w:proofErr w:type="spellStart"/>
      <w:r w:rsidRPr="000425CF">
        <w:rPr>
          <w:rFonts w:asciiTheme="minorHAnsi" w:hAnsiTheme="minorHAnsi"/>
          <w:i/>
          <w:sz w:val="22"/>
          <w:szCs w:val="22"/>
          <w:lang w:val="fr-FR"/>
        </w:rPr>
        <w:t>Lewy</w:t>
      </w:r>
      <w:proofErr w:type="spellEnd"/>
      <w:r w:rsidRPr="000425CF">
        <w:rPr>
          <w:rFonts w:asciiTheme="minorHAnsi" w:hAnsiTheme="minorHAnsi"/>
          <w:i/>
          <w:sz w:val="22"/>
          <w:szCs w:val="22"/>
          <w:lang w:val="fr-FR"/>
        </w:rPr>
        <w:t xml:space="preserve">, le traitement par la </w:t>
      </w:r>
      <w:proofErr w:type="spellStart"/>
      <w:r w:rsidRPr="000425CF">
        <w:rPr>
          <w:rFonts w:asciiTheme="minorHAnsi" w:hAnsiTheme="minorHAnsi"/>
          <w:i/>
          <w:sz w:val="22"/>
          <w:szCs w:val="22"/>
          <w:lang w:val="fr-FR"/>
        </w:rPr>
        <w:t>quétiapine</w:t>
      </w:r>
      <w:proofErr w:type="spellEnd"/>
      <w:r w:rsidRPr="000425CF">
        <w:rPr>
          <w:rFonts w:asciiTheme="minorHAnsi" w:hAnsiTheme="minorHAnsi"/>
          <w:i/>
          <w:sz w:val="22"/>
          <w:szCs w:val="22"/>
          <w:lang w:val="fr-FR"/>
        </w:rPr>
        <w:t xml:space="preserve"> est approprié dans la première étape avant le traitement par </w:t>
      </w:r>
      <w:proofErr w:type="spellStart"/>
      <w:r w:rsidRPr="000425CF">
        <w:rPr>
          <w:rFonts w:asciiTheme="minorHAnsi" w:hAnsiTheme="minorHAnsi"/>
          <w:i/>
          <w:sz w:val="22"/>
          <w:szCs w:val="22"/>
          <w:lang w:val="fr-FR"/>
        </w:rPr>
        <w:t>clozapine</w:t>
      </w:r>
      <w:proofErr w:type="spellEnd"/>
      <w:r w:rsidRPr="000425CF">
        <w:rPr>
          <w:rFonts w:asciiTheme="minorHAnsi" w:hAnsiTheme="minorHAnsi"/>
          <w:i/>
          <w:sz w:val="22"/>
          <w:szCs w:val="22"/>
          <w:lang w:val="fr-FR"/>
        </w:rPr>
        <w:t xml:space="preserve"> si l'utilisation de neuroleptiques est nécessaire en raison de symptômes comportementaux graves. </w:t>
      </w:r>
    </w:p>
    <w:p w14:paraId="08CE609C" w14:textId="3E2FAD14" w:rsidR="000425CF" w:rsidRDefault="000425CF" w:rsidP="0043334F">
      <w:pPr>
        <w:pStyle w:val="NormalWeb"/>
        <w:spacing w:before="0" w:beforeAutospacing="0" w:after="0" w:afterAutospacing="0"/>
        <w:contextualSpacing/>
        <w:jc w:val="both"/>
        <w:rPr>
          <w:rFonts w:asciiTheme="minorHAnsi" w:hAnsiTheme="minorHAnsi"/>
          <w:i/>
          <w:sz w:val="22"/>
          <w:szCs w:val="22"/>
          <w:lang w:val="fr-FR"/>
        </w:rPr>
      </w:pPr>
      <w:r w:rsidRPr="000425CF">
        <w:rPr>
          <w:rFonts w:asciiTheme="minorHAnsi" w:hAnsiTheme="minorHAnsi"/>
          <w:i/>
          <w:sz w:val="22"/>
          <w:szCs w:val="22"/>
          <w:lang w:val="fr-FR"/>
        </w:rPr>
        <w:t xml:space="preserve">* Compte tenu du traitement, les traitements par </w:t>
      </w:r>
      <w:proofErr w:type="spellStart"/>
      <w:r w:rsidRPr="000425CF">
        <w:rPr>
          <w:rFonts w:asciiTheme="minorHAnsi" w:hAnsiTheme="minorHAnsi"/>
          <w:i/>
          <w:sz w:val="22"/>
          <w:szCs w:val="22"/>
          <w:lang w:val="fr-FR"/>
        </w:rPr>
        <w:t>clozapine</w:t>
      </w:r>
      <w:proofErr w:type="spellEnd"/>
      <w:r w:rsidRPr="000425CF">
        <w:rPr>
          <w:rFonts w:asciiTheme="minorHAnsi" w:hAnsiTheme="minorHAnsi"/>
          <w:i/>
          <w:sz w:val="22"/>
          <w:szCs w:val="22"/>
          <w:lang w:val="fr-FR"/>
        </w:rPr>
        <w:t>/</w:t>
      </w:r>
      <w:proofErr w:type="spellStart"/>
      <w:r w:rsidRPr="000425CF">
        <w:rPr>
          <w:rFonts w:asciiTheme="minorHAnsi" w:hAnsiTheme="minorHAnsi"/>
          <w:i/>
          <w:sz w:val="22"/>
          <w:szCs w:val="22"/>
          <w:lang w:val="fr-FR"/>
        </w:rPr>
        <w:t>quétiapine</w:t>
      </w:r>
      <w:proofErr w:type="spellEnd"/>
      <w:r w:rsidRPr="000425CF">
        <w:rPr>
          <w:rFonts w:asciiTheme="minorHAnsi" w:hAnsiTheme="minorHAnsi"/>
          <w:i/>
          <w:sz w:val="22"/>
          <w:szCs w:val="22"/>
          <w:lang w:val="fr-FR"/>
        </w:rPr>
        <w:t xml:space="preserve"> doivent être débutés à une dose de 12,5 mg, les effets secondaires doivent être étroitement surveillés et augmentés à des doses de 12,5 </w:t>
      </w:r>
      <w:r w:rsidRPr="000425CF">
        <w:rPr>
          <w:rFonts w:asciiTheme="minorHAnsi" w:hAnsiTheme="minorHAnsi"/>
          <w:i/>
          <w:sz w:val="22"/>
          <w:szCs w:val="22"/>
          <w:lang w:val="fr-FR"/>
        </w:rPr>
        <w:lastRenderedPageBreak/>
        <w:t xml:space="preserve">à 25 mg si nécessaire. Une fois le contrôle des symptômes </w:t>
      </w:r>
      <w:r>
        <w:rPr>
          <w:rFonts w:asciiTheme="minorHAnsi" w:hAnsiTheme="minorHAnsi"/>
          <w:i/>
          <w:sz w:val="22"/>
          <w:szCs w:val="22"/>
          <w:lang w:val="fr-FR"/>
        </w:rPr>
        <w:t>assuré</w:t>
      </w:r>
      <w:r w:rsidRPr="000425CF">
        <w:rPr>
          <w:rFonts w:asciiTheme="minorHAnsi" w:hAnsiTheme="minorHAnsi"/>
          <w:i/>
          <w:sz w:val="22"/>
          <w:szCs w:val="22"/>
          <w:lang w:val="fr-FR"/>
        </w:rPr>
        <w:t>, il faut essayer de réduire et d'arrêter dans quelques semaines.</w:t>
      </w:r>
    </w:p>
    <w:p w14:paraId="36928C72" w14:textId="77777777" w:rsidR="000425CF" w:rsidRDefault="006C24B0" w:rsidP="0043334F">
      <w:pPr>
        <w:spacing w:before="100" w:beforeAutospacing="1" w:after="100" w:afterAutospacing="1"/>
        <w:contextualSpacing/>
        <w:jc w:val="both"/>
        <w:rPr>
          <w:rFonts w:asciiTheme="minorHAnsi" w:hAnsiTheme="minorHAnsi"/>
          <w:b/>
          <w:color w:val="000000" w:themeColor="text1"/>
          <w:sz w:val="22"/>
          <w:szCs w:val="22"/>
          <w:lang w:val="fr-FR"/>
        </w:rPr>
      </w:pPr>
      <w:r w:rsidRPr="00E21AE0">
        <w:rPr>
          <w:rFonts w:asciiTheme="minorHAnsi" w:hAnsiTheme="minorHAnsi"/>
          <w:b/>
          <w:color w:val="000000" w:themeColor="text1"/>
          <w:sz w:val="22"/>
          <w:szCs w:val="22"/>
          <w:lang w:val="fr-FR"/>
        </w:rPr>
        <w:t xml:space="preserve">B8. </w:t>
      </w:r>
      <w:r w:rsidR="000425CF" w:rsidRPr="000425CF">
        <w:rPr>
          <w:rFonts w:asciiTheme="minorHAnsi" w:hAnsiTheme="minorHAnsi"/>
          <w:b/>
          <w:color w:val="000000" w:themeColor="text1"/>
          <w:sz w:val="22"/>
          <w:szCs w:val="22"/>
          <w:lang w:val="fr-FR"/>
        </w:rPr>
        <w:t>L'utilisation d'agents anticholinergiques n'est pas appropriée dans le traitement de la maladie de Parkinson (risque accru d'effets secondaires ; il existe des options médicamenteuses qui sont plus efficaces et ont moins d'effets secondaires)</w:t>
      </w:r>
      <w:r w:rsidR="000425CF">
        <w:rPr>
          <w:rFonts w:asciiTheme="minorHAnsi" w:hAnsiTheme="minorHAnsi"/>
          <w:b/>
          <w:color w:val="000000" w:themeColor="text1"/>
          <w:sz w:val="22"/>
          <w:szCs w:val="22"/>
          <w:lang w:val="fr-FR"/>
        </w:rPr>
        <w:t xml:space="preserve"> </w:t>
      </w:r>
    </w:p>
    <w:p w14:paraId="1FA65CA4" w14:textId="77777777" w:rsidR="009D2A23" w:rsidRPr="00E21AE0" w:rsidRDefault="009D2A23" w:rsidP="0043334F">
      <w:pPr>
        <w:spacing w:before="100" w:beforeAutospacing="1" w:after="100" w:afterAutospacing="1"/>
        <w:contextualSpacing/>
        <w:jc w:val="both"/>
        <w:rPr>
          <w:rStyle w:val="Kpr"/>
          <w:rFonts w:asciiTheme="minorHAnsi" w:eastAsiaTheme="majorEastAsia" w:hAnsiTheme="minorHAnsi" w:cstheme="minorHAnsi"/>
          <w:color w:val="000000" w:themeColor="text1"/>
          <w:sz w:val="22"/>
          <w:szCs w:val="22"/>
          <w:u w:val="none"/>
          <w:lang w:val="fr-FR"/>
        </w:rPr>
      </w:pPr>
    </w:p>
    <w:p w14:paraId="325D902C" w14:textId="12818297" w:rsidR="009D247E" w:rsidRPr="00E21AE0" w:rsidRDefault="006C24B0" w:rsidP="0043334F">
      <w:pPr>
        <w:spacing w:before="100" w:beforeAutospacing="1" w:after="100" w:afterAutospacing="1"/>
        <w:contextualSpacing/>
        <w:jc w:val="both"/>
        <w:rPr>
          <w:rFonts w:asciiTheme="minorHAnsi" w:hAnsiTheme="minorHAnsi" w:cstheme="minorHAnsi"/>
          <w:color w:val="000000"/>
          <w:sz w:val="22"/>
          <w:szCs w:val="22"/>
          <w:lang w:val="fr-FR"/>
        </w:rPr>
      </w:pPr>
      <w:r w:rsidRPr="00E21AE0">
        <w:rPr>
          <w:rFonts w:asciiTheme="minorHAnsi" w:hAnsiTheme="minorHAnsi"/>
          <w:b/>
          <w:sz w:val="22"/>
          <w:szCs w:val="22"/>
          <w:lang w:val="fr-FR"/>
        </w:rPr>
        <w:t xml:space="preserve">B9. </w:t>
      </w:r>
      <w:r w:rsidR="000425CF" w:rsidRPr="000425CF">
        <w:rPr>
          <w:rFonts w:asciiTheme="minorHAnsi" w:hAnsiTheme="minorHAnsi"/>
          <w:b/>
          <w:sz w:val="22"/>
          <w:szCs w:val="22"/>
          <w:lang w:val="fr-FR"/>
        </w:rPr>
        <w:t>Les anticholinergiques ne sont pas adaptés pour traiter les effets secondaires extrapyramidaux des neuroleptiques (risque de toxicité anticholinergique).</w:t>
      </w:r>
      <w:r w:rsidR="000425CF">
        <w:rPr>
          <w:rFonts w:asciiTheme="minorHAnsi" w:hAnsiTheme="minorHAnsi"/>
          <w:b/>
          <w:sz w:val="22"/>
          <w:szCs w:val="22"/>
          <w:lang w:val="fr-FR"/>
        </w:rPr>
        <w:t xml:space="preserve"> </w:t>
      </w:r>
    </w:p>
    <w:p w14:paraId="4A70ABDE" w14:textId="77777777" w:rsidR="00524390" w:rsidRPr="00E21AE0" w:rsidRDefault="00524390" w:rsidP="0043334F">
      <w:pPr>
        <w:spacing w:before="100" w:beforeAutospacing="1" w:after="100" w:afterAutospacing="1"/>
        <w:contextualSpacing/>
        <w:jc w:val="both"/>
        <w:rPr>
          <w:rFonts w:asciiTheme="minorHAnsi" w:hAnsiTheme="minorHAnsi" w:cstheme="minorHAnsi"/>
          <w:color w:val="000000"/>
          <w:sz w:val="22"/>
          <w:szCs w:val="22"/>
          <w:lang w:val="fr-FR"/>
        </w:rPr>
      </w:pPr>
    </w:p>
    <w:p w14:paraId="5F7E5337" w14:textId="4A7A169D" w:rsidR="000B0558" w:rsidRPr="00E21AE0" w:rsidRDefault="006C24B0" w:rsidP="0043334F">
      <w:pPr>
        <w:spacing w:before="100" w:beforeAutospacing="1"/>
        <w:contextualSpacing/>
        <w:jc w:val="both"/>
        <w:rPr>
          <w:rFonts w:asciiTheme="minorHAnsi" w:hAnsiTheme="minorHAnsi"/>
          <w:b/>
          <w:sz w:val="22"/>
          <w:szCs w:val="22"/>
          <w:lang w:val="fr-FR"/>
        </w:rPr>
      </w:pPr>
      <w:r w:rsidRPr="00E21AE0">
        <w:rPr>
          <w:rFonts w:asciiTheme="minorHAnsi" w:hAnsiTheme="minorHAnsi"/>
          <w:b/>
          <w:sz w:val="22"/>
          <w:szCs w:val="22"/>
          <w:lang w:val="fr-FR"/>
        </w:rPr>
        <w:t>B10.</w:t>
      </w:r>
      <w:r w:rsidR="00181929" w:rsidRPr="00E21AE0">
        <w:rPr>
          <w:rFonts w:asciiTheme="minorHAnsi" w:hAnsiTheme="minorHAnsi"/>
          <w:b/>
          <w:sz w:val="22"/>
          <w:szCs w:val="22"/>
          <w:lang w:val="fr-FR"/>
        </w:rPr>
        <w:t xml:space="preserve"> </w:t>
      </w:r>
      <w:r w:rsidR="000425CF" w:rsidRPr="000425CF">
        <w:rPr>
          <w:rFonts w:asciiTheme="minorHAnsi" w:hAnsiTheme="minorHAnsi"/>
          <w:b/>
          <w:sz w:val="22"/>
          <w:szCs w:val="22"/>
          <w:lang w:val="fr-FR"/>
        </w:rPr>
        <w:t>L'utilisation de neuroleptiques/antipsychotiques n'est pas appropriée chez les patients atteints de démence, sauf dans les cas où les traitements non médicamenteux sont inefficaces pour soulager les symptômes comportementaux et psychologiques et les symptômes sont sévères (risque accru d'accident vasculaire cérébral, insuffisance cardiaque, pneumonie-infection, décès).</w:t>
      </w:r>
      <w:r w:rsidR="000425CF">
        <w:rPr>
          <w:rFonts w:asciiTheme="minorHAnsi" w:hAnsiTheme="minorHAnsi"/>
          <w:b/>
          <w:sz w:val="22"/>
          <w:szCs w:val="22"/>
          <w:lang w:val="fr-FR"/>
        </w:rPr>
        <w:t xml:space="preserve"> </w:t>
      </w:r>
    </w:p>
    <w:p w14:paraId="56D6DBB9" w14:textId="77777777" w:rsidR="000425CF" w:rsidRDefault="000425CF" w:rsidP="0043334F">
      <w:pPr>
        <w:contextualSpacing/>
        <w:jc w:val="both"/>
        <w:rPr>
          <w:rFonts w:asciiTheme="minorHAnsi" w:hAnsiTheme="minorHAnsi"/>
          <w:i/>
          <w:sz w:val="22"/>
          <w:szCs w:val="22"/>
          <w:lang w:val="fr-FR"/>
        </w:rPr>
      </w:pPr>
      <w:r w:rsidRPr="000425CF">
        <w:rPr>
          <w:rFonts w:asciiTheme="minorHAnsi" w:hAnsiTheme="minorHAnsi"/>
          <w:i/>
          <w:sz w:val="22"/>
          <w:szCs w:val="22"/>
          <w:lang w:val="fr-FR"/>
        </w:rPr>
        <w:t>* Dans les cas où les traitements non médicamenteux sont inefficaces pour soulager les symptômes comportementaux et psychologiques chez les patients atteints de démence et que les symptômes sont graves, des neuroleptiques/antipsychotiques peuvent être utilisés, mais dans ce cas, ils doivent être utilisés à la dose la plus faible qui permet de contrôler les symptômes et pour la durée la plus courte. *La principale approche pour soulager les symptômes comportementaux et psychologiques chez les patients atteints de démence consiste à administrer un traitement optimal de la démence (</w:t>
      </w:r>
      <w:proofErr w:type="spellStart"/>
      <w:r w:rsidRPr="000425CF">
        <w:rPr>
          <w:rFonts w:asciiTheme="minorHAnsi" w:hAnsiTheme="minorHAnsi"/>
          <w:i/>
          <w:sz w:val="22"/>
          <w:szCs w:val="22"/>
          <w:lang w:val="fr-FR"/>
        </w:rPr>
        <w:t>ChEi</w:t>
      </w:r>
      <w:proofErr w:type="spellEnd"/>
      <w:r w:rsidRPr="000425CF">
        <w:rPr>
          <w:rFonts w:asciiTheme="minorHAnsi" w:hAnsiTheme="minorHAnsi"/>
          <w:i/>
          <w:sz w:val="22"/>
          <w:szCs w:val="22"/>
          <w:lang w:val="fr-FR"/>
        </w:rPr>
        <w:t>/</w:t>
      </w:r>
      <w:proofErr w:type="spellStart"/>
      <w:r w:rsidRPr="000425CF">
        <w:rPr>
          <w:rFonts w:asciiTheme="minorHAnsi" w:hAnsiTheme="minorHAnsi"/>
          <w:i/>
          <w:sz w:val="22"/>
          <w:szCs w:val="22"/>
          <w:lang w:val="fr-FR"/>
        </w:rPr>
        <w:t>mémantine</w:t>
      </w:r>
      <w:proofErr w:type="spellEnd"/>
      <w:r w:rsidRPr="000425CF">
        <w:rPr>
          <w:rFonts w:asciiTheme="minorHAnsi" w:hAnsiTheme="minorHAnsi"/>
          <w:i/>
          <w:sz w:val="22"/>
          <w:szCs w:val="22"/>
          <w:lang w:val="fr-FR"/>
        </w:rPr>
        <w:t xml:space="preserve">). Les ISRS sélectionnés (en particulier le </w:t>
      </w:r>
      <w:proofErr w:type="spellStart"/>
      <w:r w:rsidRPr="000425CF">
        <w:rPr>
          <w:rFonts w:asciiTheme="minorHAnsi" w:hAnsiTheme="minorHAnsi"/>
          <w:i/>
          <w:sz w:val="22"/>
          <w:szCs w:val="22"/>
          <w:lang w:val="fr-FR"/>
        </w:rPr>
        <w:t>citalopram</w:t>
      </w:r>
      <w:proofErr w:type="spellEnd"/>
      <w:r w:rsidRPr="000425CF">
        <w:rPr>
          <w:rFonts w:asciiTheme="minorHAnsi" w:hAnsiTheme="minorHAnsi"/>
          <w:i/>
          <w:sz w:val="22"/>
          <w:szCs w:val="22"/>
          <w:lang w:val="fr-FR"/>
        </w:rPr>
        <w:t xml:space="preserve">) peuvent ensuite être essayés. </w:t>
      </w:r>
    </w:p>
    <w:p w14:paraId="161F7B4B" w14:textId="1E484DA1" w:rsidR="000425CF" w:rsidRDefault="000425CF" w:rsidP="0043334F">
      <w:pPr>
        <w:contextualSpacing/>
        <w:jc w:val="both"/>
        <w:rPr>
          <w:rFonts w:asciiTheme="minorHAnsi" w:hAnsiTheme="minorHAnsi"/>
          <w:i/>
          <w:sz w:val="22"/>
          <w:szCs w:val="22"/>
          <w:lang w:val="fr-FR"/>
        </w:rPr>
      </w:pPr>
      <w:r w:rsidRPr="000425CF">
        <w:rPr>
          <w:rFonts w:asciiTheme="minorHAnsi" w:hAnsiTheme="minorHAnsi"/>
          <w:i/>
          <w:sz w:val="22"/>
          <w:szCs w:val="22"/>
          <w:lang w:val="fr-FR"/>
        </w:rPr>
        <w:t xml:space="preserve">*Il existe des informations contradictoires sur l'efficacité de la </w:t>
      </w:r>
      <w:proofErr w:type="spellStart"/>
      <w:r w:rsidRPr="000425CF">
        <w:rPr>
          <w:rFonts w:asciiTheme="minorHAnsi" w:hAnsiTheme="minorHAnsi"/>
          <w:i/>
          <w:sz w:val="22"/>
          <w:szCs w:val="22"/>
          <w:lang w:val="fr-FR"/>
        </w:rPr>
        <w:t>sertraline</w:t>
      </w:r>
      <w:proofErr w:type="spellEnd"/>
      <w:r w:rsidRPr="000425CF">
        <w:rPr>
          <w:rFonts w:asciiTheme="minorHAnsi" w:hAnsiTheme="minorHAnsi"/>
          <w:i/>
          <w:sz w:val="22"/>
          <w:szCs w:val="22"/>
          <w:lang w:val="fr-FR"/>
        </w:rPr>
        <w:t xml:space="preserve">, de la </w:t>
      </w:r>
      <w:proofErr w:type="spellStart"/>
      <w:r w:rsidRPr="000425CF">
        <w:rPr>
          <w:rFonts w:asciiTheme="minorHAnsi" w:hAnsiTheme="minorHAnsi"/>
          <w:i/>
          <w:sz w:val="22"/>
          <w:szCs w:val="22"/>
          <w:lang w:val="fr-FR"/>
        </w:rPr>
        <w:t>trazadone</w:t>
      </w:r>
      <w:proofErr w:type="spellEnd"/>
      <w:r w:rsidRPr="000425CF">
        <w:rPr>
          <w:rFonts w:asciiTheme="minorHAnsi" w:hAnsiTheme="minorHAnsi"/>
          <w:i/>
          <w:sz w:val="22"/>
          <w:szCs w:val="22"/>
          <w:lang w:val="fr-FR"/>
        </w:rPr>
        <w:t xml:space="preserve"> et de la mélatonine dans le soulagement des symptômes comportementaux et psychologiques chez les patients atteints de démence.</w:t>
      </w:r>
    </w:p>
    <w:p w14:paraId="61A55204" w14:textId="77777777" w:rsidR="000425CF" w:rsidRDefault="000425CF" w:rsidP="0043334F">
      <w:pPr>
        <w:contextualSpacing/>
        <w:jc w:val="both"/>
        <w:rPr>
          <w:rFonts w:asciiTheme="minorHAnsi" w:hAnsiTheme="minorHAnsi"/>
          <w:i/>
          <w:sz w:val="22"/>
          <w:szCs w:val="22"/>
          <w:lang w:val="fr-FR"/>
        </w:rPr>
      </w:pPr>
    </w:p>
    <w:p w14:paraId="3A8FA3BA" w14:textId="77777777" w:rsidR="00CE4E4E" w:rsidRDefault="007D439E" w:rsidP="0043334F">
      <w:pPr>
        <w:pStyle w:val="AklamaMetni"/>
        <w:contextualSpacing/>
        <w:jc w:val="both"/>
        <w:rPr>
          <w:b/>
          <w:color w:val="000000"/>
          <w:sz w:val="22"/>
          <w:szCs w:val="22"/>
          <w:lang w:val="fr-FR"/>
        </w:rPr>
      </w:pPr>
      <w:r w:rsidRPr="00E21AE0">
        <w:rPr>
          <w:b/>
          <w:color w:val="000000"/>
          <w:sz w:val="22"/>
          <w:szCs w:val="22"/>
          <w:lang w:val="fr-FR"/>
        </w:rPr>
        <w:t xml:space="preserve">B11. </w:t>
      </w:r>
      <w:r w:rsidR="00CE4E4E" w:rsidRPr="00CE4E4E">
        <w:rPr>
          <w:b/>
          <w:color w:val="000000"/>
          <w:sz w:val="22"/>
          <w:szCs w:val="22"/>
          <w:lang w:val="fr-FR"/>
        </w:rPr>
        <w:t>L'utilisation de neuroleptiques/antipsychotiques à des fins hypnotiques n'est pas appropriée (confusion accrue, hypotension, effets secondaires extrapyramidaux, risque de chute)</w:t>
      </w:r>
      <w:r w:rsidR="00CE4E4E">
        <w:rPr>
          <w:b/>
          <w:color w:val="000000"/>
          <w:sz w:val="22"/>
          <w:szCs w:val="22"/>
          <w:lang w:val="fr-FR"/>
        </w:rPr>
        <w:t xml:space="preserve"> </w:t>
      </w:r>
    </w:p>
    <w:p w14:paraId="2D086110" w14:textId="77777777" w:rsidR="00CE4E4E" w:rsidRDefault="00CE4E4E" w:rsidP="0043334F">
      <w:pPr>
        <w:contextualSpacing/>
        <w:jc w:val="both"/>
        <w:rPr>
          <w:rFonts w:asciiTheme="minorHAnsi" w:hAnsiTheme="minorHAnsi"/>
          <w:i/>
          <w:sz w:val="22"/>
          <w:szCs w:val="22"/>
          <w:lang w:val="fr-FR" w:eastAsia="en-GB"/>
        </w:rPr>
      </w:pPr>
      <w:r w:rsidRPr="00CE4E4E">
        <w:rPr>
          <w:rFonts w:asciiTheme="minorHAnsi" w:hAnsiTheme="minorHAnsi"/>
          <w:i/>
          <w:sz w:val="22"/>
          <w:szCs w:val="22"/>
          <w:lang w:val="fr-FR" w:eastAsia="en-GB"/>
        </w:rPr>
        <w:t xml:space="preserve">*Dans le traitement de l'insomnie chez les personnes âgées, la régulation de l'hygiène du sommeil et les thérapies </w:t>
      </w:r>
      <w:proofErr w:type="spellStart"/>
      <w:r w:rsidRPr="00CE4E4E">
        <w:rPr>
          <w:rFonts w:asciiTheme="minorHAnsi" w:hAnsiTheme="minorHAnsi"/>
          <w:i/>
          <w:sz w:val="22"/>
          <w:szCs w:val="22"/>
          <w:lang w:val="fr-FR" w:eastAsia="en-GB"/>
        </w:rPr>
        <w:t>cognitivo</w:t>
      </w:r>
      <w:proofErr w:type="spellEnd"/>
      <w:r w:rsidRPr="00CE4E4E">
        <w:rPr>
          <w:rFonts w:asciiTheme="minorHAnsi" w:hAnsiTheme="minorHAnsi"/>
          <w:i/>
          <w:sz w:val="22"/>
          <w:szCs w:val="22"/>
          <w:lang w:val="fr-FR" w:eastAsia="en-GB"/>
        </w:rPr>
        <w:t xml:space="preserve">-comportementales doivent être appliquées en priorité. </w:t>
      </w:r>
    </w:p>
    <w:p w14:paraId="32B7F468" w14:textId="6FD08197" w:rsidR="00CE4E4E" w:rsidRPr="00CE4E4E" w:rsidRDefault="00CE4E4E" w:rsidP="0043334F">
      <w:pPr>
        <w:contextualSpacing/>
        <w:jc w:val="both"/>
        <w:rPr>
          <w:rFonts w:asciiTheme="minorHAnsi" w:hAnsiTheme="minorHAnsi"/>
          <w:i/>
          <w:sz w:val="22"/>
          <w:szCs w:val="22"/>
          <w:lang w:val="fr-FR" w:eastAsia="en-GB"/>
        </w:rPr>
      </w:pPr>
      <w:r w:rsidRPr="00CE4E4E">
        <w:rPr>
          <w:rFonts w:asciiTheme="minorHAnsi" w:hAnsiTheme="minorHAnsi"/>
          <w:i/>
          <w:sz w:val="22"/>
          <w:szCs w:val="22"/>
          <w:lang w:val="fr-FR" w:eastAsia="en-GB"/>
        </w:rPr>
        <w:t xml:space="preserve">* Si un traitement pharmacologique est nécessaire dans le traitement de l'insomnie chez les personnes âgées, la mélatonine, un agoniste des récepteurs de la mélatonine </w:t>
      </w:r>
      <w:proofErr w:type="spellStart"/>
      <w:r w:rsidRPr="00CE4E4E">
        <w:rPr>
          <w:rFonts w:asciiTheme="minorHAnsi" w:hAnsiTheme="minorHAnsi"/>
          <w:i/>
          <w:sz w:val="22"/>
          <w:szCs w:val="22"/>
          <w:lang w:val="fr-FR" w:eastAsia="en-GB"/>
        </w:rPr>
        <w:t>ramelteon</w:t>
      </w:r>
      <w:proofErr w:type="spellEnd"/>
      <w:r w:rsidRPr="00CE4E4E">
        <w:rPr>
          <w:rFonts w:asciiTheme="minorHAnsi" w:hAnsiTheme="minorHAnsi"/>
          <w:i/>
          <w:sz w:val="22"/>
          <w:szCs w:val="22"/>
          <w:lang w:val="fr-FR" w:eastAsia="en-GB"/>
        </w:rPr>
        <w:t xml:space="preserve"> peut être utilisé. En cas de dépression concomitante, l'utilisation d'antidépresseurs sédatifs (</w:t>
      </w:r>
      <w:proofErr w:type="spellStart"/>
      <w:r w:rsidRPr="00CE4E4E">
        <w:rPr>
          <w:rFonts w:asciiTheme="minorHAnsi" w:hAnsiTheme="minorHAnsi"/>
          <w:i/>
          <w:sz w:val="22"/>
          <w:szCs w:val="22"/>
          <w:lang w:val="fr-FR" w:eastAsia="en-GB"/>
        </w:rPr>
        <w:t>mirtazapine</w:t>
      </w:r>
      <w:proofErr w:type="spellEnd"/>
      <w:r w:rsidRPr="00CE4E4E">
        <w:rPr>
          <w:rFonts w:asciiTheme="minorHAnsi" w:hAnsiTheme="minorHAnsi"/>
          <w:i/>
          <w:sz w:val="22"/>
          <w:szCs w:val="22"/>
          <w:lang w:val="fr-FR" w:eastAsia="en-GB"/>
        </w:rPr>
        <w:t xml:space="preserve">, </w:t>
      </w:r>
      <w:proofErr w:type="spellStart"/>
      <w:r w:rsidRPr="00CE4E4E">
        <w:rPr>
          <w:rFonts w:asciiTheme="minorHAnsi" w:hAnsiTheme="minorHAnsi"/>
          <w:i/>
          <w:sz w:val="22"/>
          <w:szCs w:val="22"/>
          <w:lang w:val="fr-FR" w:eastAsia="en-GB"/>
        </w:rPr>
        <w:t>trazadon</w:t>
      </w:r>
      <w:proofErr w:type="spellEnd"/>
      <w:r w:rsidRPr="00CE4E4E">
        <w:rPr>
          <w:rFonts w:asciiTheme="minorHAnsi" w:hAnsiTheme="minorHAnsi"/>
          <w:i/>
          <w:sz w:val="22"/>
          <w:szCs w:val="22"/>
          <w:lang w:val="fr-FR" w:eastAsia="en-GB"/>
        </w:rPr>
        <w:t xml:space="preserve">, </w:t>
      </w:r>
      <w:proofErr w:type="spellStart"/>
      <w:r w:rsidRPr="00CE4E4E">
        <w:rPr>
          <w:rFonts w:asciiTheme="minorHAnsi" w:hAnsiTheme="minorHAnsi"/>
          <w:i/>
          <w:sz w:val="22"/>
          <w:szCs w:val="22"/>
          <w:lang w:val="fr-FR" w:eastAsia="en-GB"/>
        </w:rPr>
        <w:t>agomélatine</w:t>
      </w:r>
      <w:proofErr w:type="spellEnd"/>
      <w:r w:rsidRPr="00CE4E4E">
        <w:rPr>
          <w:rFonts w:asciiTheme="minorHAnsi" w:hAnsiTheme="minorHAnsi"/>
          <w:i/>
          <w:sz w:val="22"/>
          <w:szCs w:val="22"/>
          <w:lang w:val="fr-FR" w:eastAsia="en-GB"/>
        </w:rPr>
        <w:t>) peut être évaluée.</w:t>
      </w:r>
    </w:p>
    <w:p w14:paraId="27975E89" w14:textId="77777777" w:rsidR="001A75B0" w:rsidRPr="00E21AE0" w:rsidRDefault="001A75B0" w:rsidP="0043334F">
      <w:pPr>
        <w:spacing w:before="100" w:beforeAutospacing="1" w:after="100" w:afterAutospacing="1"/>
        <w:contextualSpacing/>
        <w:jc w:val="both"/>
        <w:rPr>
          <w:rFonts w:asciiTheme="minorHAnsi" w:hAnsiTheme="minorHAnsi"/>
          <w:b/>
          <w:sz w:val="22"/>
          <w:szCs w:val="22"/>
          <w:lang w:val="fr-FR"/>
        </w:rPr>
      </w:pPr>
    </w:p>
    <w:p w14:paraId="75126417" w14:textId="1CADF628" w:rsidR="006C24B0" w:rsidRPr="00E21AE0" w:rsidRDefault="006C24B0" w:rsidP="0043334F">
      <w:pPr>
        <w:spacing w:before="100" w:beforeAutospacing="1" w:after="100" w:afterAutospacing="1"/>
        <w:contextualSpacing/>
        <w:jc w:val="both"/>
        <w:rPr>
          <w:rFonts w:asciiTheme="minorHAnsi" w:hAnsiTheme="minorHAnsi"/>
          <w:b/>
          <w:color w:val="000000"/>
          <w:sz w:val="22"/>
          <w:szCs w:val="22"/>
          <w:lang w:val="fr-FR"/>
        </w:rPr>
      </w:pPr>
      <w:r w:rsidRPr="00E21AE0">
        <w:rPr>
          <w:rFonts w:asciiTheme="minorHAnsi" w:hAnsiTheme="minorHAnsi"/>
          <w:b/>
          <w:sz w:val="22"/>
          <w:szCs w:val="22"/>
          <w:lang w:val="fr-FR"/>
        </w:rPr>
        <w:t xml:space="preserve">B12. </w:t>
      </w:r>
      <w:r w:rsidR="00CE4E4E" w:rsidRPr="00CE4E4E">
        <w:rPr>
          <w:rFonts w:asciiTheme="minorHAnsi" w:hAnsiTheme="minorHAnsi"/>
          <w:b/>
          <w:sz w:val="22"/>
          <w:szCs w:val="22"/>
          <w:lang w:val="fr-FR"/>
        </w:rPr>
        <w:t xml:space="preserve">L'utilisation de neuroleptiques/antipsychotiques (sauf </w:t>
      </w:r>
      <w:proofErr w:type="spellStart"/>
      <w:r w:rsidR="00CE4E4E" w:rsidRPr="00CE4E4E">
        <w:rPr>
          <w:rFonts w:asciiTheme="minorHAnsi" w:hAnsiTheme="minorHAnsi"/>
          <w:b/>
          <w:sz w:val="22"/>
          <w:szCs w:val="22"/>
          <w:lang w:val="fr-FR"/>
        </w:rPr>
        <w:t>quétiapine</w:t>
      </w:r>
      <w:proofErr w:type="spellEnd"/>
      <w:r w:rsidR="00CE4E4E" w:rsidRPr="00CE4E4E">
        <w:rPr>
          <w:rFonts w:asciiTheme="minorHAnsi" w:hAnsiTheme="minorHAnsi"/>
          <w:b/>
          <w:sz w:val="22"/>
          <w:szCs w:val="22"/>
          <w:lang w:val="fr-FR"/>
        </w:rPr>
        <w:t xml:space="preserve"> ou </w:t>
      </w:r>
      <w:proofErr w:type="spellStart"/>
      <w:r w:rsidR="00CE4E4E" w:rsidRPr="00CE4E4E">
        <w:rPr>
          <w:rFonts w:asciiTheme="minorHAnsi" w:hAnsiTheme="minorHAnsi"/>
          <w:b/>
          <w:sz w:val="22"/>
          <w:szCs w:val="22"/>
          <w:lang w:val="fr-FR"/>
        </w:rPr>
        <w:t>clozapine</w:t>
      </w:r>
      <w:proofErr w:type="spellEnd"/>
      <w:r w:rsidR="00CE4E4E" w:rsidRPr="00CE4E4E">
        <w:rPr>
          <w:rFonts w:asciiTheme="minorHAnsi" w:hAnsiTheme="minorHAnsi"/>
          <w:b/>
          <w:sz w:val="22"/>
          <w:szCs w:val="22"/>
          <w:lang w:val="fr-FR"/>
        </w:rPr>
        <w:t xml:space="preserve">) n'est pas appropriée chez les patients atteints de parkinsonisme ou de démence à corps de </w:t>
      </w:r>
      <w:proofErr w:type="spellStart"/>
      <w:r w:rsidR="00CE4E4E" w:rsidRPr="00CE4E4E">
        <w:rPr>
          <w:rFonts w:asciiTheme="minorHAnsi" w:hAnsiTheme="minorHAnsi"/>
          <w:b/>
          <w:sz w:val="22"/>
          <w:szCs w:val="22"/>
          <w:lang w:val="fr-FR"/>
        </w:rPr>
        <w:t>Lewy</w:t>
      </w:r>
      <w:proofErr w:type="spellEnd"/>
      <w:r w:rsidR="00CE4E4E" w:rsidRPr="00CE4E4E">
        <w:rPr>
          <w:rFonts w:asciiTheme="minorHAnsi" w:hAnsiTheme="minorHAnsi"/>
          <w:b/>
          <w:sz w:val="22"/>
          <w:szCs w:val="22"/>
          <w:lang w:val="fr-FR"/>
        </w:rPr>
        <w:t xml:space="preserve"> (risque de symptômes extrapyramidaux sévères)</w:t>
      </w:r>
      <w:r w:rsidR="00CE4E4E">
        <w:rPr>
          <w:rFonts w:asciiTheme="minorHAnsi" w:hAnsiTheme="minorHAnsi"/>
          <w:b/>
          <w:sz w:val="22"/>
          <w:szCs w:val="22"/>
          <w:lang w:val="fr-FR"/>
        </w:rPr>
        <w:t xml:space="preserve"> </w:t>
      </w:r>
    </w:p>
    <w:p w14:paraId="5D96BAA5" w14:textId="77777777" w:rsidR="00EE065C" w:rsidRPr="00E21AE0" w:rsidRDefault="00EE065C"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val="fr-FR" w:eastAsia="en-GB"/>
        </w:rPr>
      </w:pPr>
    </w:p>
    <w:p w14:paraId="01E0E410" w14:textId="77777777" w:rsidR="001B712D" w:rsidRPr="00E21AE0" w:rsidRDefault="001B712D"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val="fr-FR"/>
        </w:rPr>
      </w:pPr>
    </w:p>
    <w:p w14:paraId="49AAF309" w14:textId="77777777" w:rsidR="00CE4E4E" w:rsidRDefault="006C24B0"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b/>
          <w:sz w:val="22"/>
          <w:szCs w:val="22"/>
          <w:lang w:val="fr-FR"/>
        </w:rPr>
      </w:pPr>
      <w:r w:rsidRPr="00E21AE0">
        <w:rPr>
          <w:rFonts w:asciiTheme="minorHAnsi" w:hAnsiTheme="minorHAnsi"/>
          <w:b/>
          <w:sz w:val="22"/>
          <w:szCs w:val="22"/>
          <w:lang w:val="fr-FR"/>
        </w:rPr>
        <w:t>B13.</w:t>
      </w:r>
      <w:r w:rsidR="00181929" w:rsidRPr="00E21AE0">
        <w:rPr>
          <w:rFonts w:asciiTheme="minorHAnsi" w:hAnsiTheme="minorHAnsi"/>
          <w:b/>
          <w:sz w:val="22"/>
          <w:szCs w:val="22"/>
          <w:lang w:val="fr-FR"/>
        </w:rPr>
        <w:t xml:space="preserve"> </w:t>
      </w:r>
      <w:r w:rsidR="00CE4E4E" w:rsidRPr="00CE4E4E">
        <w:rPr>
          <w:rFonts w:asciiTheme="minorHAnsi" w:hAnsiTheme="minorHAnsi"/>
          <w:b/>
          <w:sz w:val="22"/>
          <w:szCs w:val="22"/>
          <w:lang w:val="fr-FR"/>
        </w:rPr>
        <w:t xml:space="preserve">L'utilisation de neuroleptiques/antipsychotiques (effets secondaires extrapyramidaux), de benzodiazépines (sédation, troubles de l'équilibre) et d'hypnotiques de type Z (par exemple </w:t>
      </w:r>
      <w:proofErr w:type="spellStart"/>
      <w:r w:rsidR="00CE4E4E" w:rsidRPr="00CE4E4E">
        <w:rPr>
          <w:rFonts w:asciiTheme="minorHAnsi" w:hAnsiTheme="minorHAnsi"/>
          <w:b/>
          <w:sz w:val="22"/>
          <w:szCs w:val="22"/>
          <w:lang w:val="fr-FR"/>
        </w:rPr>
        <w:t>zopiclone</w:t>
      </w:r>
      <w:proofErr w:type="spellEnd"/>
      <w:r w:rsidR="00CE4E4E" w:rsidRPr="00CE4E4E">
        <w:rPr>
          <w:rFonts w:asciiTheme="minorHAnsi" w:hAnsiTheme="minorHAnsi"/>
          <w:b/>
          <w:sz w:val="22"/>
          <w:szCs w:val="22"/>
          <w:lang w:val="fr-FR"/>
        </w:rPr>
        <w:t xml:space="preserve">, </w:t>
      </w:r>
      <w:proofErr w:type="spellStart"/>
      <w:r w:rsidR="00CE4E4E" w:rsidRPr="00CE4E4E">
        <w:rPr>
          <w:rFonts w:asciiTheme="minorHAnsi" w:hAnsiTheme="minorHAnsi"/>
          <w:b/>
          <w:sz w:val="22"/>
          <w:szCs w:val="22"/>
          <w:lang w:val="fr-FR"/>
        </w:rPr>
        <w:t>zolpidem</w:t>
      </w:r>
      <w:proofErr w:type="spellEnd"/>
      <w:r w:rsidR="00CE4E4E" w:rsidRPr="00CE4E4E">
        <w:rPr>
          <w:rFonts w:asciiTheme="minorHAnsi" w:hAnsiTheme="minorHAnsi"/>
          <w:b/>
          <w:sz w:val="22"/>
          <w:szCs w:val="22"/>
          <w:lang w:val="fr-FR"/>
        </w:rPr>
        <w:t xml:space="preserve">, </w:t>
      </w:r>
      <w:proofErr w:type="spellStart"/>
      <w:r w:rsidR="00CE4E4E" w:rsidRPr="00CE4E4E">
        <w:rPr>
          <w:rFonts w:asciiTheme="minorHAnsi" w:hAnsiTheme="minorHAnsi"/>
          <w:b/>
          <w:sz w:val="22"/>
          <w:szCs w:val="22"/>
          <w:lang w:val="fr-FR"/>
        </w:rPr>
        <w:t>zaleplon</w:t>
      </w:r>
      <w:proofErr w:type="spellEnd"/>
      <w:r w:rsidR="00CE4E4E" w:rsidRPr="00CE4E4E">
        <w:rPr>
          <w:rFonts w:asciiTheme="minorHAnsi" w:hAnsiTheme="minorHAnsi"/>
          <w:b/>
          <w:sz w:val="22"/>
          <w:szCs w:val="22"/>
          <w:lang w:val="fr-FR"/>
        </w:rPr>
        <w:t>) (sédation prolongée pendant la journée, ataxie) n'est pas appropriée chez les patients à haut risque chute.</w:t>
      </w:r>
    </w:p>
    <w:p w14:paraId="63FE1AC2" w14:textId="77777777" w:rsidR="00CE4E4E" w:rsidRDefault="00CE4E4E"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b/>
          <w:sz w:val="22"/>
          <w:szCs w:val="22"/>
          <w:lang w:val="fr-FR"/>
        </w:rPr>
      </w:pPr>
    </w:p>
    <w:p w14:paraId="49371851" w14:textId="66172A9F" w:rsidR="00354D28" w:rsidRPr="00E21AE0" w:rsidRDefault="00CE4E4E" w:rsidP="0043334F">
      <w:pPr>
        <w:contextualSpacing/>
        <w:jc w:val="both"/>
        <w:rPr>
          <w:rFonts w:asciiTheme="minorHAnsi" w:hAnsiTheme="minorHAnsi"/>
          <w:i/>
          <w:sz w:val="22"/>
          <w:szCs w:val="22"/>
          <w:lang w:val="fr-FR"/>
        </w:rPr>
      </w:pPr>
      <w:r w:rsidRPr="00CE4E4E">
        <w:rPr>
          <w:rFonts w:asciiTheme="minorHAnsi" w:hAnsiTheme="minorHAnsi"/>
          <w:i/>
          <w:sz w:val="22"/>
          <w:szCs w:val="22"/>
          <w:lang w:val="fr-FR"/>
        </w:rPr>
        <w:t>*En général, ce groupe de médicaments sont des médicaments qui augmentent le risque de chute chez les personnes âgées. Son utilisation chez les personnes âgées doit être évitée autant que possible.</w:t>
      </w:r>
      <w:r>
        <w:rPr>
          <w:rFonts w:asciiTheme="minorHAnsi" w:hAnsiTheme="minorHAnsi"/>
          <w:i/>
          <w:sz w:val="22"/>
          <w:szCs w:val="22"/>
          <w:lang w:val="fr-FR"/>
        </w:rPr>
        <w:t xml:space="preserve"> </w:t>
      </w:r>
    </w:p>
    <w:p w14:paraId="61ACC838" w14:textId="77777777" w:rsidR="001A75B0" w:rsidRPr="00E21AE0" w:rsidRDefault="001A75B0" w:rsidP="0043334F">
      <w:pPr>
        <w:contextualSpacing/>
        <w:jc w:val="both"/>
        <w:rPr>
          <w:rFonts w:asciiTheme="minorHAnsi" w:hAnsiTheme="minorHAnsi"/>
          <w:i/>
          <w:sz w:val="22"/>
          <w:szCs w:val="22"/>
          <w:lang w:val="fr-FR"/>
        </w:rPr>
      </w:pPr>
    </w:p>
    <w:p w14:paraId="785059DD" w14:textId="77777777" w:rsidR="00CE4E4E" w:rsidRDefault="006C24B0" w:rsidP="0043334F">
      <w:pPr>
        <w:contextualSpacing/>
        <w:jc w:val="both"/>
        <w:rPr>
          <w:rFonts w:asciiTheme="minorHAnsi" w:hAnsiTheme="minorHAnsi"/>
          <w:b/>
          <w:sz w:val="22"/>
          <w:szCs w:val="22"/>
          <w:lang w:val="fr-FR"/>
        </w:rPr>
      </w:pPr>
      <w:r w:rsidRPr="00E21AE0">
        <w:rPr>
          <w:rFonts w:asciiTheme="minorHAnsi" w:hAnsiTheme="minorHAnsi"/>
          <w:b/>
          <w:sz w:val="22"/>
          <w:szCs w:val="22"/>
          <w:lang w:val="fr-FR"/>
        </w:rPr>
        <w:t>B14.</w:t>
      </w:r>
      <w:r w:rsidR="00E60D55" w:rsidRPr="00E21AE0">
        <w:rPr>
          <w:rFonts w:asciiTheme="minorHAnsi" w:hAnsiTheme="minorHAnsi"/>
          <w:b/>
          <w:sz w:val="22"/>
          <w:szCs w:val="22"/>
          <w:lang w:val="fr-FR"/>
        </w:rPr>
        <w:t xml:space="preserve"> </w:t>
      </w:r>
      <w:r w:rsidR="00CE4E4E" w:rsidRPr="00CE4E4E">
        <w:rPr>
          <w:rFonts w:asciiTheme="minorHAnsi" w:hAnsiTheme="minorHAnsi"/>
          <w:b/>
          <w:sz w:val="22"/>
          <w:szCs w:val="22"/>
          <w:lang w:val="fr-FR"/>
        </w:rPr>
        <w:t>L'utilisation de benzodiazépines pendant plus de 4 semaines n'est pas appropriée (sédation prolongée, confusion, trouble de l'équilibre, chute, risque d'accident de la circulation)</w:t>
      </w:r>
      <w:r w:rsidR="00CE4E4E">
        <w:rPr>
          <w:rFonts w:asciiTheme="minorHAnsi" w:hAnsiTheme="minorHAnsi"/>
          <w:b/>
          <w:sz w:val="22"/>
          <w:szCs w:val="22"/>
          <w:lang w:val="fr-FR"/>
        </w:rPr>
        <w:t xml:space="preserve"> </w:t>
      </w:r>
    </w:p>
    <w:p w14:paraId="552EFD35" w14:textId="77777777" w:rsidR="00CE4E4E" w:rsidRDefault="00CE4E4E" w:rsidP="0043334F">
      <w:pPr>
        <w:contextualSpacing/>
        <w:jc w:val="both"/>
        <w:rPr>
          <w:rFonts w:asciiTheme="minorHAnsi" w:hAnsiTheme="minorHAnsi"/>
          <w:i/>
          <w:sz w:val="22"/>
          <w:szCs w:val="22"/>
          <w:lang w:val="fr-FR"/>
        </w:rPr>
      </w:pPr>
      <w:r w:rsidRPr="00CE4E4E">
        <w:rPr>
          <w:rFonts w:asciiTheme="minorHAnsi" w:hAnsiTheme="minorHAnsi"/>
          <w:i/>
          <w:sz w:val="22"/>
          <w:szCs w:val="22"/>
          <w:lang w:val="fr-FR"/>
        </w:rPr>
        <w:t xml:space="preserve">*En général, l'utilisation de benzodiazépines doit être évitée en raison de leur potentiel élevé d'effets secondaires. </w:t>
      </w:r>
    </w:p>
    <w:p w14:paraId="5DE0C937" w14:textId="77777777" w:rsidR="00CE4E4E" w:rsidRDefault="00CE4E4E" w:rsidP="0043334F">
      <w:pPr>
        <w:contextualSpacing/>
        <w:jc w:val="both"/>
        <w:rPr>
          <w:rFonts w:asciiTheme="minorHAnsi" w:hAnsiTheme="minorHAnsi"/>
          <w:i/>
          <w:sz w:val="22"/>
          <w:szCs w:val="22"/>
          <w:lang w:val="fr-FR"/>
        </w:rPr>
      </w:pPr>
      <w:r w:rsidRPr="00CE4E4E">
        <w:rPr>
          <w:rFonts w:asciiTheme="minorHAnsi" w:hAnsiTheme="minorHAnsi"/>
          <w:i/>
          <w:sz w:val="22"/>
          <w:szCs w:val="22"/>
          <w:lang w:val="fr-FR"/>
        </w:rPr>
        <w:lastRenderedPageBreak/>
        <w:t xml:space="preserve">*Les benzodiazépines à courte durée d'action peuvent être utilisées avec prudence et pendant une courte période (&lt; 4 semaines) dans des indications cliniques (p. ex., le </w:t>
      </w:r>
      <w:proofErr w:type="spellStart"/>
      <w:r w:rsidRPr="00CE4E4E">
        <w:rPr>
          <w:rFonts w:asciiTheme="minorHAnsi" w:hAnsiTheme="minorHAnsi"/>
          <w:i/>
          <w:sz w:val="22"/>
          <w:szCs w:val="22"/>
          <w:lang w:val="fr-FR"/>
        </w:rPr>
        <w:t>lorazépam</w:t>
      </w:r>
      <w:proofErr w:type="spellEnd"/>
      <w:r w:rsidRPr="00CE4E4E">
        <w:rPr>
          <w:rFonts w:asciiTheme="minorHAnsi" w:hAnsiTheme="minorHAnsi"/>
          <w:i/>
          <w:sz w:val="22"/>
          <w:szCs w:val="22"/>
          <w:lang w:val="fr-FR"/>
        </w:rPr>
        <w:t xml:space="preserve"> peut être administré en cas d'agitation liée à la démence). </w:t>
      </w:r>
    </w:p>
    <w:p w14:paraId="381C082E" w14:textId="77777777" w:rsidR="00CE4E4E" w:rsidRDefault="00CE4E4E" w:rsidP="0043334F">
      <w:pPr>
        <w:contextualSpacing/>
        <w:jc w:val="both"/>
        <w:rPr>
          <w:rFonts w:asciiTheme="minorHAnsi" w:hAnsiTheme="minorHAnsi"/>
          <w:i/>
          <w:sz w:val="22"/>
          <w:szCs w:val="22"/>
          <w:lang w:val="fr-FR"/>
        </w:rPr>
      </w:pPr>
      <w:r w:rsidRPr="00CE4E4E">
        <w:rPr>
          <w:rFonts w:asciiTheme="minorHAnsi" w:hAnsiTheme="minorHAnsi"/>
          <w:i/>
          <w:sz w:val="22"/>
          <w:szCs w:val="22"/>
          <w:lang w:val="fr-FR"/>
        </w:rPr>
        <w:t xml:space="preserve">*Le </w:t>
      </w:r>
      <w:proofErr w:type="spellStart"/>
      <w:r w:rsidRPr="00CE4E4E">
        <w:rPr>
          <w:rFonts w:asciiTheme="minorHAnsi" w:hAnsiTheme="minorHAnsi"/>
          <w:i/>
          <w:sz w:val="22"/>
          <w:szCs w:val="22"/>
          <w:lang w:val="fr-FR"/>
        </w:rPr>
        <w:t>clonazépam</w:t>
      </w:r>
      <w:proofErr w:type="spellEnd"/>
      <w:r w:rsidRPr="00CE4E4E">
        <w:rPr>
          <w:rFonts w:asciiTheme="minorHAnsi" w:hAnsiTheme="minorHAnsi"/>
          <w:i/>
          <w:sz w:val="22"/>
          <w:szCs w:val="22"/>
          <w:lang w:val="fr-FR"/>
        </w:rPr>
        <w:t xml:space="preserve">, l'une des benzodiazépines à action prolongée, peut être administré pour le trouble du comportement en sommeil paradoxal qui ne peut pas être contrôlé avec d'autres médicaments chez des patients sélectionnés, mais dans ce cas, une surveillance clinique étroite doit être suivie. </w:t>
      </w:r>
    </w:p>
    <w:p w14:paraId="2126F09A" w14:textId="13943759" w:rsidR="00CE4E4E" w:rsidRDefault="00CE4E4E" w:rsidP="0043334F">
      <w:pPr>
        <w:contextualSpacing/>
        <w:jc w:val="both"/>
        <w:rPr>
          <w:rFonts w:asciiTheme="minorHAnsi" w:hAnsiTheme="minorHAnsi"/>
          <w:i/>
          <w:sz w:val="22"/>
          <w:szCs w:val="22"/>
          <w:lang w:val="fr-FR"/>
        </w:rPr>
      </w:pPr>
      <w:r w:rsidRPr="00CE4E4E">
        <w:rPr>
          <w:rFonts w:asciiTheme="minorHAnsi" w:hAnsiTheme="minorHAnsi"/>
          <w:i/>
          <w:sz w:val="22"/>
          <w:szCs w:val="22"/>
          <w:lang w:val="fr-FR"/>
        </w:rPr>
        <w:t>*Toutes les benzodiazépines utilisées pendant 2 semaines ou plus doivent être arrêtées progressivement, pas soudainement, afin de ne pas provoquer le « syndrome de sevrage des benzodiazépines ».</w:t>
      </w:r>
      <w:r>
        <w:rPr>
          <w:rFonts w:asciiTheme="minorHAnsi" w:hAnsiTheme="minorHAnsi"/>
          <w:i/>
          <w:sz w:val="22"/>
          <w:szCs w:val="22"/>
          <w:lang w:val="fr-FR"/>
        </w:rPr>
        <w:t xml:space="preserve"> </w:t>
      </w:r>
    </w:p>
    <w:p w14:paraId="74A7DDF2" w14:textId="77777777" w:rsidR="00C846A1" w:rsidRPr="00E21AE0" w:rsidRDefault="00C846A1" w:rsidP="0043334F">
      <w:pPr>
        <w:contextualSpacing/>
        <w:jc w:val="both"/>
        <w:rPr>
          <w:rFonts w:asciiTheme="minorHAnsi" w:hAnsiTheme="minorHAnsi" w:cstheme="minorHAnsi"/>
          <w:sz w:val="22"/>
          <w:szCs w:val="22"/>
          <w:lang w:val="fr-FR" w:eastAsia="en-GB"/>
        </w:rPr>
      </w:pPr>
    </w:p>
    <w:p w14:paraId="2A23A739" w14:textId="77777777" w:rsidR="00A859F9" w:rsidRDefault="00B835E2" w:rsidP="0043334F">
      <w:pPr>
        <w:spacing w:before="100" w:beforeAutospacing="1" w:after="100" w:afterAutospacing="1"/>
        <w:contextualSpacing/>
        <w:jc w:val="both"/>
        <w:rPr>
          <w:rFonts w:asciiTheme="minorHAnsi" w:hAnsiTheme="minorHAnsi"/>
          <w:b/>
          <w:sz w:val="22"/>
          <w:szCs w:val="22"/>
          <w:lang w:val="fr-FR"/>
        </w:rPr>
      </w:pPr>
      <w:r w:rsidRPr="00E21AE0">
        <w:rPr>
          <w:rFonts w:asciiTheme="minorHAnsi" w:hAnsiTheme="minorHAnsi"/>
          <w:b/>
          <w:sz w:val="22"/>
          <w:szCs w:val="22"/>
          <w:lang w:val="fr-FR"/>
        </w:rPr>
        <w:t>B1</w:t>
      </w:r>
      <w:r w:rsidR="0058769E" w:rsidRPr="00E21AE0">
        <w:rPr>
          <w:rFonts w:asciiTheme="minorHAnsi" w:hAnsiTheme="minorHAnsi"/>
          <w:b/>
          <w:sz w:val="22"/>
          <w:szCs w:val="22"/>
          <w:lang w:val="fr-FR"/>
        </w:rPr>
        <w:t>5</w:t>
      </w:r>
      <w:r w:rsidRPr="00E21AE0">
        <w:rPr>
          <w:rFonts w:asciiTheme="minorHAnsi" w:hAnsiTheme="minorHAnsi"/>
          <w:b/>
          <w:sz w:val="22"/>
          <w:szCs w:val="22"/>
          <w:lang w:val="fr-FR"/>
        </w:rPr>
        <w:t>.</w:t>
      </w:r>
      <w:r w:rsidR="00E60D55" w:rsidRPr="00E21AE0">
        <w:rPr>
          <w:rFonts w:asciiTheme="minorHAnsi" w:hAnsiTheme="minorHAnsi"/>
          <w:b/>
          <w:sz w:val="22"/>
          <w:szCs w:val="22"/>
          <w:lang w:val="fr-FR"/>
        </w:rPr>
        <w:t xml:space="preserve"> </w:t>
      </w:r>
      <w:r w:rsidR="00A859F9" w:rsidRPr="00A859F9">
        <w:rPr>
          <w:rFonts w:asciiTheme="minorHAnsi" w:hAnsiTheme="minorHAnsi"/>
          <w:b/>
          <w:sz w:val="22"/>
          <w:szCs w:val="22"/>
          <w:lang w:val="fr-FR"/>
        </w:rPr>
        <w:t xml:space="preserve">Les benzodiazépines ne conviennent pas à une utilisation en cas d'insuffisance respiratoire aiguë et chronique (PO2&lt; 60 </w:t>
      </w:r>
      <w:proofErr w:type="spellStart"/>
      <w:r w:rsidR="00A859F9" w:rsidRPr="00A859F9">
        <w:rPr>
          <w:rFonts w:asciiTheme="minorHAnsi" w:hAnsiTheme="minorHAnsi"/>
          <w:b/>
          <w:sz w:val="22"/>
          <w:szCs w:val="22"/>
          <w:lang w:val="fr-FR"/>
        </w:rPr>
        <w:t>mmHg</w:t>
      </w:r>
      <w:proofErr w:type="spellEnd"/>
      <w:r w:rsidR="00A859F9" w:rsidRPr="00A859F9">
        <w:rPr>
          <w:rFonts w:asciiTheme="minorHAnsi" w:hAnsiTheme="minorHAnsi"/>
          <w:b/>
          <w:sz w:val="22"/>
          <w:szCs w:val="22"/>
          <w:lang w:val="fr-FR"/>
        </w:rPr>
        <w:t xml:space="preserve"> et/ou PCO2&gt; 50 </w:t>
      </w:r>
      <w:proofErr w:type="spellStart"/>
      <w:r w:rsidR="00A859F9" w:rsidRPr="00A859F9">
        <w:rPr>
          <w:rFonts w:asciiTheme="minorHAnsi" w:hAnsiTheme="minorHAnsi"/>
          <w:b/>
          <w:sz w:val="22"/>
          <w:szCs w:val="22"/>
          <w:lang w:val="fr-FR"/>
        </w:rPr>
        <w:t>mmHg</w:t>
      </w:r>
      <w:proofErr w:type="spellEnd"/>
      <w:r w:rsidR="00A859F9" w:rsidRPr="00A859F9">
        <w:rPr>
          <w:rFonts w:asciiTheme="minorHAnsi" w:hAnsiTheme="minorHAnsi"/>
          <w:b/>
          <w:sz w:val="22"/>
          <w:szCs w:val="22"/>
          <w:lang w:val="fr-FR"/>
        </w:rPr>
        <w:t>) (risque accru d'insuffisance respiratoire).</w:t>
      </w:r>
      <w:r w:rsidR="00A859F9">
        <w:rPr>
          <w:rFonts w:asciiTheme="minorHAnsi" w:hAnsiTheme="minorHAnsi"/>
          <w:b/>
          <w:sz w:val="22"/>
          <w:szCs w:val="22"/>
          <w:lang w:val="fr-FR"/>
        </w:rPr>
        <w:t xml:space="preserve"> </w:t>
      </w:r>
    </w:p>
    <w:p w14:paraId="1CA70676" w14:textId="77777777" w:rsidR="00A859F9" w:rsidRDefault="00A859F9" w:rsidP="0043334F">
      <w:pPr>
        <w:spacing w:before="100" w:beforeAutospacing="1" w:after="100" w:afterAutospacing="1"/>
        <w:contextualSpacing/>
        <w:jc w:val="both"/>
        <w:rPr>
          <w:rFonts w:asciiTheme="minorHAnsi" w:hAnsiTheme="minorHAnsi"/>
          <w:b/>
          <w:sz w:val="22"/>
          <w:szCs w:val="22"/>
          <w:lang w:val="fr-FR"/>
        </w:rPr>
      </w:pPr>
    </w:p>
    <w:p w14:paraId="1747CED6" w14:textId="0153010A" w:rsidR="00A859F9" w:rsidRDefault="006C24B0" w:rsidP="0043334F">
      <w:pPr>
        <w:spacing w:before="100" w:beforeAutospacing="1"/>
        <w:contextualSpacing/>
        <w:jc w:val="both"/>
        <w:rPr>
          <w:rFonts w:asciiTheme="minorHAnsi" w:hAnsiTheme="minorHAnsi"/>
          <w:b/>
          <w:sz w:val="22"/>
          <w:szCs w:val="22"/>
          <w:lang w:val="fr-FR"/>
        </w:rPr>
      </w:pPr>
      <w:r w:rsidRPr="00E21AE0">
        <w:rPr>
          <w:rFonts w:asciiTheme="minorHAnsi" w:hAnsiTheme="minorHAnsi"/>
          <w:b/>
          <w:sz w:val="22"/>
          <w:szCs w:val="22"/>
          <w:lang w:val="fr-FR"/>
        </w:rPr>
        <w:t>B1</w:t>
      </w:r>
      <w:r w:rsidR="0058769E" w:rsidRPr="00E21AE0">
        <w:rPr>
          <w:rFonts w:asciiTheme="minorHAnsi" w:hAnsiTheme="minorHAnsi"/>
          <w:b/>
          <w:sz w:val="22"/>
          <w:szCs w:val="22"/>
          <w:lang w:val="fr-FR"/>
        </w:rPr>
        <w:t>6</w:t>
      </w:r>
      <w:r w:rsidR="00A859F9">
        <w:rPr>
          <w:rFonts w:asciiTheme="minorHAnsi" w:hAnsiTheme="minorHAnsi"/>
          <w:b/>
          <w:sz w:val="22"/>
          <w:szCs w:val="22"/>
          <w:lang w:val="fr-FR"/>
        </w:rPr>
        <w:t xml:space="preserve">. </w:t>
      </w:r>
      <w:proofErr w:type="spellStart"/>
      <w:r w:rsidR="00A859F9" w:rsidRPr="00A859F9">
        <w:rPr>
          <w:rFonts w:asciiTheme="minorHAnsi" w:hAnsiTheme="minorHAnsi"/>
          <w:b/>
          <w:sz w:val="22"/>
          <w:szCs w:val="22"/>
          <w:lang w:val="fr-FR"/>
        </w:rPr>
        <w:t>ChEi</w:t>
      </w:r>
      <w:proofErr w:type="spellEnd"/>
      <w:r w:rsidR="00A859F9" w:rsidRPr="00A859F9">
        <w:rPr>
          <w:rFonts w:asciiTheme="minorHAnsi" w:hAnsiTheme="minorHAnsi"/>
          <w:b/>
          <w:sz w:val="22"/>
          <w:szCs w:val="22"/>
          <w:lang w:val="fr-FR"/>
        </w:rPr>
        <w:t xml:space="preserve"> ne convient pas aux patients présentant une bradycardie persistante (&lt;50/min), un bloc cardiaque du 2e ou du 3e degré ou une syncope inexpliquée, les patients avec un </w:t>
      </w:r>
      <w:proofErr w:type="spellStart"/>
      <w:r w:rsidR="00A859F9" w:rsidRPr="00A859F9">
        <w:rPr>
          <w:rFonts w:asciiTheme="minorHAnsi" w:hAnsiTheme="minorHAnsi"/>
          <w:b/>
          <w:sz w:val="22"/>
          <w:szCs w:val="22"/>
          <w:lang w:val="fr-FR"/>
        </w:rPr>
        <w:t>QTc</w:t>
      </w:r>
      <w:proofErr w:type="spellEnd"/>
      <w:r w:rsidR="00A859F9" w:rsidRPr="00A859F9">
        <w:rPr>
          <w:rFonts w:asciiTheme="minorHAnsi" w:hAnsiTheme="minorHAnsi"/>
          <w:b/>
          <w:sz w:val="22"/>
          <w:szCs w:val="22"/>
          <w:lang w:val="fr-FR"/>
        </w:rPr>
        <w:t xml:space="preserve"> prolongé (&gt;470 ms chez les femmes, &gt;450 ms chez les hommes) (</w:t>
      </w:r>
      <w:r w:rsidR="00A859F9">
        <w:rPr>
          <w:rFonts w:asciiTheme="minorHAnsi" w:hAnsiTheme="minorHAnsi"/>
          <w:b/>
          <w:sz w:val="22"/>
          <w:szCs w:val="22"/>
          <w:lang w:val="fr-FR"/>
        </w:rPr>
        <w:t>risque d’</w:t>
      </w:r>
      <w:r w:rsidR="00A859F9" w:rsidRPr="00A859F9">
        <w:rPr>
          <w:rFonts w:asciiTheme="minorHAnsi" w:hAnsiTheme="minorHAnsi"/>
          <w:b/>
          <w:sz w:val="22"/>
          <w:szCs w:val="22"/>
          <w:lang w:val="fr-FR"/>
        </w:rPr>
        <w:t>anomalie de la conducti</w:t>
      </w:r>
      <w:r w:rsidR="00A859F9">
        <w:rPr>
          <w:rFonts w:asciiTheme="minorHAnsi" w:hAnsiTheme="minorHAnsi"/>
          <w:b/>
          <w:sz w:val="22"/>
          <w:szCs w:val="22"/>
          <w:lang w:val="fr-FR"/>
        </w:rPr>
        <w:t>on cardiaque, de syncope, de blessure</w:t>
      </w:r>
      <w:r w:rsidR="00A859F9" w:rsidRPr="00A859F9">
        <w:rPr>
          <w:rFonts w:asciiTheme="minorHAnsi" w:hAnsiTheme="minorHAnsi"/>
          <w:b/>
          <w:sz w:val="22"/>
          <w:szCs w:val="22"/>
          <w:lang w:val="fr-FR"/>
        </w:rPr>
        <w:t>)</w:t>
      </w:r>
      <w:r w:rsidR="00A859F9">
        <w:rPr>
          <w:rFonts w:asciiTheme="minorHAnsi" w:hAnsiTheme="minorHAnsi"/>
          <w:b/>
          <w:sz w:val="22"/>
          <w:szCs w:val="22"/>
          <w:lang w:val="fr-FR"/>
        </w:rPr>
        <w:t xml:space="preserve"> </w:t>
      </w:r>
    </w:p>
    <w:p w14:paraId="2012F4F5" w14:textId="77777777" w:rsidR="00A859F9" w:rsidRDefault="00A859F9" w:rsidP="0043334F">
      <w:pPr>
        <w:contextualSpacing/>
        <w:jc w:val="both"/>
        <w:rPr>
          <w:rFonts w:asciiTheme="minorHAnsi" w:hAnsiTheme="minorHAnsi"/>
          <w:i/>
          <w:sz w:val="22"/>
          <w:szCs w:val="22"/>
          <w:lang w:val="fr-FR"/>
        </w:rPr>
      </w:pPr>
      <w:r w:rsidRPr="00A859F9">
        <w:rPr>
          <w:rFonts w:asciiTheme="minorHAnsi" w:hAnsiTheme="minorHAnsi"/>
          <w:i/>
          <w:sz w:val="22"/>
          <w:szCs w:val="22"/>
          <w:lang w:val="fr-FR"/>
        </w:rPr>
        <w:t>*</w:t>
      </w:r>
      <w:proofErr w:type="spellStart"/>
      <w:r w:rsidRPr="00A859F9">
        <w:rPr>
          <w:rFonts w:asciiTheme="minorHAnsi" w:hAnsiTheme="minorHAnsi"/>
          <w:i/>
          <w:sz w:val="22"/>
          <w:szCs w:val="22"/>
          <w:lang w:val="fr-FR"/>
        </w:rPr>
        <w:t>ChEi</w:t>
      </w:r>
      <w:proofErr w:type="spellEnd"/>
      <w:r w:rsidRPr="00A859F9">
        <w:rPr>
          <w:rFonts w:asciiTheme="minorHAnsi" w:hAnsiTheme="minorHAnsi"/>
          <w:i/>
          <w:sz w:val="22"/>
          <w:szCs w:val="22"/>
          <w:lang w:val="fr-FR"/>
        </w:rPr>
        <w:t xml:space="preserve"> peut être démarré chez les patients avec une fréquence cardiaque de 50-60/min et qui sont asymptomatiques. La fréquence cardiaque et les symptômes doivent être contrôlés 1 semaine après le début du traitement ou l'augmentation de la dose. </w:t>
      </w:r>
    </w:p>
    <w:p w14:paraId="0CC2C01D" w14:textId="77777777" w:rsidR="00A859F9" w:rsidRDefault="00A859F9" w:rsidP="0043334F">
      <w:pPr>
        <w:contextualSpacing/>
        <w:jc w:val="both"/>
        <w:rPr>
          <w:rFonts w:asciiTheme="minorHAnsi" w:hAnsiTheme="minorHAnsi"/>
          <w:i/>
          <w:sz w:val="22"/>
          <w:szCs w:val="22"/>
          <w:lang w:val="fr-FR"/>
        </w:rPr>
      </w:pPr>
      <w:r w:rsidRPr="00A859F9">
        <w:rPr>
          <w:rFonts w:asciiTheme="minorHAnsi" w:hAnsiTheme="minorHAnsi"/>
          <w:i/>
          <w:sz w:val="22"/>
          <w:szCs w:val="22"/>
          <w:lang w:val="fr-FR"/>
        </w:rPr>
        <w:t xml:space="preserve">*Il peut être utilisé avec prudence si la fréquence cardiaque n'est pas &lt; 50/min et qu'il n'y a aucun symptôme chez les personnes prenant des médicaments limitant la fréquence de façon concomitante. </w:t>
      </w:r>
      <w:proofErr w:type="spellStart"/>
      <w:r w:rsidRPr="00A859F9">
        <w:rPr>
          <w:rFonts w:asciiTheme="minorHAnsi" w:hAnsiTheme="minorHAnsi"/>
          <w:i/>
          <w:sz w:val="22"/>
          <w:szCs w:val="22"/>
          <w:lang w:val="fr-FR"/>
        </w:rPr>
        <w:t>ChEi</w:t>
      </w:r>
      <w:proofErr w:type="spellEnd"/>
      <w:r w:rsidRPr="00A859F9">
        <w:rPr>
          <w:rFonts w:asciiTheme="minorHAnsi" w:hAnsiTheme="minorHAnsi"/>
          <w:i/>
          <w:sz w:val="22"/>
          <w:szCs w:val="22"/>
          <w:lang w:val="fr-FR"/>
        </w:rPr>
        <w:t xml:space="preserve"> doit être utilisé avec prudence chez les patients atteints de BBG ou de FA, et les patients doivent être suivis. </w:t>
      </w:r>
    </w:p>
    <w:p w14:paraId="07A07EE2" w14:textId="77777777" w:rsidR="00A859F9" w:rsidRDefault="00A859F9" w:rsidP="0043334F">
      <w:pPr>
        <w:contextualSpacing/>
        <w:jc w:val="both"/>
        <w:rPr>
          <w:rFonts w:asciiTheme="minorHAnsi" w:hAnsiTheme="minorHAnsi"/>
          <w:i/>
          <w:sz w:val="22"/>
          <w:szCs w:val="22"/>
          <w:lang w:val="fr-FR"/>
        </w:rPr>
      </w:pPr>
      <w:r w:rsidRPr="00A859F9">
        <w:rPr>
          <w:rFonts w:asciiTheme="minorHAnsi" w:hAnsiTheme="minorHAnsi"/>
          <w:i/>
          <w:sz w:val="22"/>
          <w:szCs w:val="22"/>
          <w:lang w:val="fr-FR"/>
        </w:rPr>
        <w:t xml:space="preserve">*Les </w:t>
      </w:r>
      <w:proofErr w:type="spellStart"/>
      <w:r w:rsidRPr="00A859F9">
        <w:rPr>
          <w:rFonts w:asciiTheme="minorHAnsi" w:hAnsiTheme="minorHAnsi"/>
          <w:i/>
          <w:sz w:val="22"/>
          <w:szCs w:val="22"/>
          <w:lang w:val="fr-FR"/>
        </w:rPr>
        <w:t>ChEi</w:t>
      </w:r>
      <w:proofErr w:type="spellEnd"/>
      <w:r w:rsidRPr="00A859F9">
        <w:rPr>
          <w:rFonts w:asciiTheme="minorHAnsi" w:hAnsiTheme="minorHAnsi"/>
          <w:i/>
          <w:sz w:val="22"/>
          <w:szCs w:val="22"/>
          <w:lang w:val="fr-FR"/>
        </w:rPr>
        <w:t xml:space="preserve"> doivent être utilisés avec prudence chez les patients atteints de MPOC ou d'asthme. Il peut aggraver le bronchospasme, il doit être suivi. </w:t>
      </w:r>
    </w:p>
    <w:p w14:paraId="3E701B2B" w14:textId="7CDC7CD2" w:rsidR="00D43767" w:rsidRPr="00E21AE0" w:rsidRDefault="00A859F9" w:rsidP="00A859F9">
      <w:pPr>
        <w:contextualSpacing/>
        <w:jc w:val="both"/>
        <w:rPr>
          <w:rFonts w:asciiTheme="minorHAnsi" w:hAnsiTheme="minorHAnsi"/>
          <w:i/>
          <w:sz w:val="22"/>
          <w:szCs w:val="22"/>
          <w:lang w:val="fr-FR"/>
        </w:rPr>
      </w:pPr>
      <w:r w:rsidRPr="00A859F9">
        <w:rPr>
          <w:rFonts w:asciiTheme="minorHAnsi" w:hAnsiTheme="minorHAnsi"/>
          <w:i/>
          <w:sz w:val="22"/>
          <w:szCs w:val="22"/>
          <w:lang w:val="fr-FR"/>
        </w:rPr>
        <w:t xml:space="preserve">*Les </w:t>
      </w:r>
      <w:proofErr w:type="spellStart"/>
      <w:r w:rsidRPr="00A859F9">
        <w:rPr>
          <w:rFonts w:asciiTheme="minorHAnsi" w:hAnsiTheme="minorHAnsi"/>
          <w:i/>
          <w:sz w:val="22"/>
          <w:szCs w:val="22"/>
          <w:lang w:val="fr-FR"/>
        </w:rPr>
        <w:t>ChEi</w:t>
      </w:r>
      <w:proofErr w:type="spellEnd"/>
      <w:r w:rsidRPr="00A859F9">
        <w:rPr>
          <w:rFonts w:asciiTheme="minorHAnsi" w:hAnsiTheme="minorHAnsi"/>
          <w:i/>
          <w:sz w:val="22"/>
          <w:szCs w:val="22"/>
          <w:lang w:val="fr-FR"/>
        </w:rPr>
        <w:t xml:space="preserve"> doivent être utilisés avec prudence chez les patients ayant des antécédents d'ulcère gastrique et ceux utilisant des anti-inflammatoires non stéroïdiens. Ces patients doivent être suivis pour des saignements gastro-intestinaux.</w:t>
      </w:r>
    </w:p>
    <w:p w14:paraId="0FF63386" w14:textId="77777777" w:rsidR="001B712D" w:rsidRPr="00E21AE0" w:rsidRDefault="001B712D" w:rsidP="0043334F">
      <w:pPr>
        <w:pStyle w:val="HTMLncedenBiimlendirilmi"/>
        <w:contextualSpacing/>
        <w:jc w:val="both"/>
        <w:rPr>
          <w:rFonts w:asciiTheme="minorHAnsi" w:hAnsiTheme="minorHAnsi" w:cstheme="minorHAnsi"/>
          <w:sz w:val="22"/>
          <w:szCs w:val="22"/>
          <w:lang w:val="fr-FR"/>
        </w:rPr>
      </w:pPr>
    </w:p>
    <w:p w14:paraId="73234F14" w14:textId="5302F071" w:rsidR="006C24B0" w:rsidRPr="00E21AE0" w:rsidRDefault="006C24B0" w:rsidP="0043334F">
      <w:pPr>
        <w:pStyle w:val="HTMLncedenBiimlendirilmi"/>
        <w:contextualSpacing/>
        <w:jc w:val="both"/>
        <w:rPr>
          <w:rFonts w:asciiTheme="minorHAnsi" w:hAnsiTheme="minorHAnsi" w:cstheme="minorHAnsi"/>
          <w:color w:val="000000" w:themeColor="text1"/>
          <w:sz w:val="22"/>
          <w:szCs w:val="22"/>
          <w:lang w:val="fr-FR"/>
        </w:rPr>
      </w:pPr>
      <w:r w:rsidRPr="00E21AE0">
        <w:rPr>
          <w:rFonts w:asciiTheme="minorHAnsi" w:hAnsiTheme="minorHAnsi"/>
          <w:b/>
          <w:sz w:val="22"/>
          <w:szCs w:val="22"/>
          <w:lang w:val="fr-FR"/>
        </w:rPr>
        <w:t>B1</w:t>
      </w:r>
      <w:r w:rsidR="0058769E" w:rsidRPr="00E21AE0">
        <w:rPr>
          <w:rFonts w:asciiTheme="minorHAnsi" w:hAnsiTheme="minorHAnsi"/>
          <w:b/>
          <w:sz w:val="22"/>
          <w:szCs w:val="22"/>
          <w:lang w:val="fr-FR"/>
        </w:rPr>
        <w:t>7</w:t>
      </w:r>
      <w:r w:rsidRPr="00E21AE0">
        <w:rPr>
          <w:rFonts w:asciiTheme="minorHAnsi" w:hAnsiTheme="minorHAnsi"/>
          <w:b/>
          <w:sz w:val="22"/>
          <w:szCs w:val="22"/>
          <w:lang w:val="fr-FR"/>
        </w:rPr>
        <w:t xml:space="preserve">. </w:t>
      </w:r>
      <w:r w:rsidR="00A859F9" w:rsidRPr="00A859F9">
        <w:rPr>
          <w:rFonts w:asciiTheme="minorHAnsi" w:hAnsiTheme="minorHAnsi"/>
          <w:b/>
          <w:sz w:val="22"/>
          <w:szCs w:val="22"/>
          <w:lang w:val="fr-FR"/>
        </w:rPr>
        <w:t xml:space="preserve">L'utilisation de </w:t>
      </w:r>
      <w:proofErr w:type="spellStart"/>
      <w:r w:rsidR="00A859F9" w:rsidRPr="00A859F9">
        <w:rPr>
          <w:rFonts w:asciiTheme="minorHAnsi" w:hAnsiTheme="minorHAnsi"/>
          <w:b/>
          <w:sz w:val="22"/>
          <w:szCs w:val="22"/>
          <w:lang w:val="fr-FR"/>
        </w:rPr>
        <w:t>lévodopa</w:t>
      </w:r>
      <w:proofErr w:type="spellEnd"/>
      <w:r w:rsidR="00A859F9" w:rsidRPr="00A859F9">
        <w:rPr>
          <w:rFonts w:asciiTheme="minorHAnsi" w:hAnsiTheme="minorHAnsi"/>
          <w:b/>
          <w:sz w:val="22"/>
          <w:szCs w:val="22"/>
          <w:lang w:val="fr-FR"/>
        </w:rPr>
        <w:t xml:space="preserve"> ou d'agonistes dopaminergiques n'est pas adaptée au traitement du tremblement essentiel (pas d'efficacité prouvée)</w:t>
      </w:r>
      <w:r w:rsidR="00A859F9">
        <w:rPr>
          <w:rFonts w:asciiTheme="minorHAnsi" w:hAnsiTheme="minorHAnsi"/>
          <w:b/>
          <w:sz w:val="22"/>
          <w:szCs w:val="22"/>
          <w:lang w:val="fr-FR"/>
        </w:rPr>
        <w:t xml:space="preserve"> </w:t>
      </w:r>
    </w:p>
    <w:p w14:paraId="2C9DA355" w14:textId="77777777" w:rsidR="00EE065C" w:rsidRPr="00E21AE0" w:rsidRDefault="00EE065C"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val="fr-FR" w:eastAsia="en-GB"/>
        </w:rPr>
      </w:pPr>
    </w:p>
    <w:p w14:paraId="25EA5A85" w14:textId="77777777" w:rsidR="001B712D" w:rsidRPr="00E21AE0" w:rsidRDefault="001B712D" w:rsidP="0043334F">
      <w:pPr>
        <w:spacing w:before="100" w:beforeAutospacing="1" w:after="100" w:afterAutospacing="1"/>
        <w:contextualSpacing/>
        <w:jc w:val="both"/>
        <w:rPr>
          <w:rFonts w:asciiTheme="minorHAnsi" w:hAnsiTheme="minorHAnsi" w:cstheme="minorHAnsi"/>
          <w:color w:val="000000"/>
          <w:sz w:val="22"/>
          <w:szCs w:val="22"/>
          <w:lang w:val="fr-FR"/>
        </w:rPr>
      </w:pPr>
    </w:p>
    <w:p w14:paraId="3E35FAB8" w14:textId="2A3B40DE" w:rsidR="001B712D" w:rsidRPr="00E21AE0" w:rsidRDefault="006C24B0" w:rsidP="0043334F">
      <w:pPr>
        <w:spacing w:before="100" w:beforeAutospacing="1" w:after="100" w:afterAutospacing="1"/>
        <w:contextualSpacing/>
        <w:jc w:val="both"/>
        <w:rPr>
          <w:rFonts w:asciiTheme="minorHAnsi" w:hAnsiTheme="minorHAnsi"/>
          <w:b/>
          <w:color w:val="000000" w:themeColor="text1"/>
          <w:sz w:val="22"/>
          <w:szCs w:val="22"/>
          <w:lang w:val="fr-FR"/>
        </w:rPr>
      </w:pPr>
      <w:r w:rsidRPr="00E21AE0">
        <w:rPr>
          <w:rFonts w:asciiTheme="minorHAnsi" w:hAnsiTheme="minorHAnsi"/>
          <w:b/>
          <w:color w:val="000000"/>
          <w:sz w:val="22"/>
          <w:szCs w:val="22"/>
          <w:lang w:val="fr-FR"/>
        </w:rPr>
        <w:t>B1</w:t>
      </w:r>
      <w:r w:rsidR="0058769E" w:rsidRPr="00E21AE0">
        <w:rPr>
          <w:rFonts w:asciiTheme="minorHAnsi" w:hAnsiTheme="minorHAnsi"/>
          <w:b/>
          <w:color w:val="000000"/>
          <w:sz w:val="22"/>
          <w:szCs w:val="22"/>
          <w:lang w:val="fr-FR"/>
        </w:rPr>
        <w:t>8</w:t>
      </w:r>
      <w:r w:rsidRPr="00E21AE0">
        <w:rPr>
          <w:rFonts w:asciiTheme="minorHAnsi" w:hAnsiTheme="minorHAnsi"/>
          <w:b/>
          <w:color w:val="000000"/>
          <w:sz w:val="22"/>
          <w:szCs w:val="22"/>
          <w:lang w:val="fr-FR"/>
        </w:rPr>
        <w:t xml:space="preserve">. </w:t>
      </w:r>
      <w:r w:rsidR="00A859F9" w:rsidRPr="00A859F9">
        <w:rPr>
          <w:rFonts w:asciiTheme="minorHAnsi" w:hAnsiTheme="minorHAnsi"/>
          <w:b/>
          <w:color w:val="000000"/>
          <w:sz w:val="22"/>
          <w:szCs w:val="22"/>
          <w:lang w:val="fr-FR"/>
        </w:rPr>
        <w:t xml:space="preserve">L'utilisation continue et à long terme de médicaments tels que la </w:t>
      </w:r>
      <w:proofErr w:type="spellStart"/>
      <w:r w:rsidR="00A859F9" w:rsidRPr="00A859F9">
        <w:rPr>
          <w:rFonts w:asciiTheme="minorHAnsi" w:hAnsiTheme="minorHAnsi"/>
          <w:b/>
          <w:color w:val="000000"/>
          <w:sz w:val="22"/>
          <w:szCs w:val="22"/>
          <w:lang w:val="fr-FR"/>
        </w:rPr>
        <w:t>bétahistine</w:t>
      </w:r>
      <w:proofErr w:type="spellEnd"/>
      <w:r w:rsidR="00A859F9" w:rsidRPr="00A859F9">
        <w:rPr>
          <w:rFonts w:asciiTheme="minorHAnsi" w:hAnsiTheme="minorHAnsi"/>
          <w:b/>
          <w:color w:val="000000"/>
          <w:sz w:val="22"/>
          <w:szCs w:val="22"/>
          <w:lang w:val="fr-FR"/>
        </w:rPr>
        <w:t xml:space="preserve">, la </w:t>
      </w:r>
      <w:proofErr w:type="spellStart"/>
      <w:r w:rsidR="00A859F9" w:rsidRPr="00A859F9">
        <w:rPr>
          <w:rFonts w:asciiTheme="minorHAnsi" w:hAnsiTheme="minorHAnsi"/>
          <w:b/>
          <w:color w:val="000000"/>
          <w:sz w:val="22"/>
          <w:szCs w:val="22"/>
          <w:lang w:val="fr-FR"/>
        </w:rPr>
        <w:t>trimétazidine</w:t>
      </w:r>
      <w:proofErr w:type="spellEnd"/>
      <w:r w:rsidR="00A859F9" w:rsidRPr="00A859F9">
        <w:rPr>
          <w:rFonts w:asciiTheme="minorHAnsi" w:hAnsiTheme="minorHAnsi"/>
          <w:b/>
          <w:color w:val="000000"/>
          <w:sz w:val="22"/>
          <w:szCs w:val="22"/>
          <w:lang w:val="fr-FR"/>
        </w:rPr>
        <w:t xml:space="preserve">, le </w:t>
      </w:r>
      <w:proofErr w:type="spellStart"/>
      <w:r w:rsidR="00A859F9" w:rsidRPr="00A859F9">
        <w:rPr>
          <w:rFonts w:asciiTheme="minorHAnsi" w:hAnsiTheme="minorHAnsi"/>
          <w:b/>
          <w:color w:val="000000"/>
          <w:sz w:val="22"/>
          <w:szCs w:val="22"/>
          <w:lang w:val="fr-FR"/>
        </w:rPr>
        <w:t>dimenhydrinate</w:t>
      </w:r>
      <w:proofErr w:type="spellEnd"/>
      <w:r w:rsidR="00A859F9" w:rsidRPr="00A859F9">
        <w:rPr>
          <w:rFonts w:asciiTheme="minorHAnsi" w:hAnsiTheme="minorHAnsi"/>
          <w:b/>
          <w:color w:val="000000"/>
          <w:sz w:val="22"/>
          <w:szCs w:val="22"/>
          <w:lang w:val="fr-FR"/>
        </w:rPr>
        <w:t xml:space="preserve"> n'est pas appropriée dans le traitement du vertige (manque d'effets bénéfiques fondés sur des preuves).</w:t>
      </w:r>
      <w:r w:rsidR="00A859F9">
        <w:rPr>
          <w:rFonts w:asciiTheme="minorHAnsi" w:hAnsiTheme="minorHAnsi"/>
          <w:b/>
          <w:color w:val="000000"/>
          <w:sz w:val="22"/>
          <w:szCs w:val="22"/>
          <w:lang w:val="fr-FR"/>
        </w:rPr>
        <w:t xml:space="preserve"> </w:t>
      </w:r>
    </w:p>
    <w:p w14:paraId="5F1D7D1A" w14:textId="77777777" w:rsidR="001B712D" w:rsidRPr="00E21AE0" w:rsidRDefault="001B712D" w:rsidP="0043334F">
      <w:pPr>
        <w:spacing w:before="100" w:beforeAutospacing="1" w:after="100" w:afterAutospacing="1"/>
        <w:contextualSpacing/>
        <w:jc w:val="both"/>
        <w:rPr>
          <w:rFonts w:asciiTheme="minorHAnsi" w:hAnsiTheme="minorHAnsi" w:cstheme="minorHAnsi"/>
          <w:color w:val="000000"/>
          <w:sz w:val="22"/>
          <w:szCs w:val="22"/>
          <w:lang w:val="fr-FR"/>
        </w:rPr>
      </w:pPr>
    </w:p>
    <w:p w14:paraId="250272A8" w14:textId="172475BB" w:rsidR="006C24B0" w:rsidRPr="00E21AE0" w:rsidRDefault="00E66E29" w:rsidP="0043334F">
      <w:pPr>
        <w:spacing w:before="100" w:beforeAutospacing="1" w:after="100" w:afterAutospacing="1"/>
        <w:contextualSpacing/>
        <w:jc w:val="both"/>
        <w:rPr>
          <w:rFonts w:asciiTheme="minorHAnsi" w:hAnsiTheme="minorHAnsi" w:cstheme="minorHAnsi"/>
          <w:color w:val="000000"/>
          <w:sz w:val="22"/>
          <w:szCs w:val="22"/>
          <w:lang w:val="fr-FR"/>
        </w:rPr>
      </w:pPr>
      <w:r w:rsidRPr="00E21AE0">
        <w:rPr>
          <w:rFonts w:ascii="Calibri" w:hAnsi="Calibri" w:cs="Calibri"/>
          <w:b/>
          <w:sz w:val="22"/>
          <w:szCs w:val="22"/>
          <w:lang w:val="fr-FR"/>
        </w:rPr>
        <w:t>#</w:t>
      </w:r>
      <w:r w:rsidR="006C24B0" w:rsidRPr="00E21AE0">
        <w:rPr>
          <w:rFonts w:asciiTheme="minorHAnsi" w:hAnsiTheme="minorHAnsi"/>
          <w:b/>
          <w:sz w:val="22"/>
          <w:szCs w:val="22"/>
          <w:lang w:val="fr-FR"/>
        </w:rPr>
        <w:t>B1</w:t>
      </w:r>
      <w:r w:rsidR="0058769E" w:rsidRPr="00E21AE0">
        <w:rPr>
          <w:rFonts w:asciiTheme="minorHAnsi" w:hAnsiTheme="minorHAnsi"/>
          <w:b/>
          <w:sz w:val="22"/>
          <w:szCs w:val="22"/>
          <w:lang w:val="fr-FR"/>
        </w:rPr>
        <w:t>9</w:t>
      </w:r>
      <w:r w:rsidR="006C24B0" w:rsidRPr="00E21AE0">
        <w:rPr>
          <w:rFonts w:asciiTheme="minorHAnsi" w:hAnsiTheme="minorHAnsi"/>
          <w:b/>
          <w:sz w:val="22"/>
          <w:szCs w:val="22"/>
          <w:lang w:val="fr-FR"/>
        </w:rPr>
        <w:t xml:space="preserve">. </w:t>
      </w:r>
      <w:r w:rsidR="00A859F9">
        <w:rPr>
          <w:rFonts w:asciiTheme="minorHAnsi" w:hAnsiTheme="minorHAnsi"/>
          <w:b/>
          <w:sz w:val="22"/>
          <w:szCs w:val="22"/>
          <w:lang w:val="fr-FR"/>
        </w:rPr>
        <w:t>L’utilisation de la</w:t>
      </w:r>
      <w:r w:rsidR="00A859F9" w:rsidRPr="00A859F9">
        <w:rPr>
          <w:rFonts w:asciiTheme="minorHAnsi" w:hAnsiTheme="minorHAnsi"/>
          <w:b/>
          <w:sz w:val="22"/>
          <w:szCs w:val="22"/>
          <w:lang w:val="fr-FR"/>
        </w:rPr>
        <w:t xml:space="preserve"> </w:t>
      </w:r>
      <w:proofErr w:type="spellStart"/>
      <w:r w:rsidR="00A859F9" w:rsidRPr="00A859F9">
        <w:rPr>
          <w:rFonts w:asciiTheme="minorHAnsi" w:hAnsiTheme="minorHAnsi"/>
          <w:b/>
          <w:sz w:val="22"/>
          <w:szCs w:val="22"/>
          <w:lang w:val="fr-FR"/>
        </w:rPr>
        <w:t>cinnarizine</w:t>
      </w:r>
      <w:proofErr w:type="spellEnd"/>
      <w:r w:rsidR="00A859F9" w:rsidRPr="00A859F9">
        <w:rPr>
          <w:rFonts w:asciiTheme="minorHAnsi" w:hAnsiTheme="minorHAnsi"/>
          <w:b/>
          <w:sz w:val="22"/>
          <w:szCs w:val="22"/>
          <w:lang w:val="fr-FR"/>
        </w:rPr>
        <w:t xml:space="preserve"> </w:t>
      </w:r>
      <w:r w:rsidR="00A859F9">
        <w:rPr>
          <w:rFonts w:asciiTheme="minorHAnsi" w:hAnsiTheme="minorHAnsi"/>
          <w:b/>
          <w:sz w:val="22"/>
          <w:szCs w:val="22"/>
          <w:lang w:val="fr-FR"/>
        </w:rPr>
        <w:t>n’est pas appropriée</w:t>
      </w:r>
      <w:r w:rsidR="00A859F9" w:rsidRPr="00A859F9">
        <w:rPr>
          <w:rFonts w:asciiTheme="minorHAnsi" w:hAnsiTheme="minorHAnsi"/>
          <w:b/>
          <w:sz w:val="22"/>
          <w:szCs w:val="22"/>
          <w:lang w:val="fr-FR"/>
        </w:rPr>
        <w:t xml:space="preserve"> (effets secondaires extrapyramidaux, utilité </w:t>
      </w:r>
      <w:r w:rsidR="00D42F87" w:rsidRPr="00A859F9">
        <w:rPr>
          <w:rFonts w:asciiTheme="minorHAnsi" w:hAnsiTheme="minorHAnsi"/>
          <w:b/>
          <w:sz w:val="22"/>
          <w:szCs w:val="22"/>
          <w:lang w:val="fr-FR"/>
        </w:rPr>
        <w:t>limitée)</w:t>
      </w:r>
      <w:r w:rsidR="00D42F87">
        <w:rPr>
          <w:rFonts w:asciiTheme="minorHAnsi" w:hAnsiTheme="minorHAnsi"/>
          <w:b/>
          <w:sz w:val="22"/>
          <w:szCs w:val="22"/>
          <w:lang w:val="fr-FR"/>
        </w:rPr>
        <w:t xml:space="preserve"> </w:t>
      </w:r>
    </w:p>
    <w:p w14:paraId="69F55B4A" w14:textId="77777777" w:rsidR="001B712D" w:rsidRPr="00E21AE0" w:rsidRDefault="001B712D" w:rsidP="0043334F">
      <w:pPr>
        <w:spacing w:before="100" w:beforeAutospacing="1" w:after="100" w:afterAutospacing="1"/>
        <w:contextualSpacing/>
        <w:jc w:val="both"/>
        <w:rPr>
          <w:rFonts w:asciiTheme="minorHAnsi" w:hAnsiTheme="minorHAnsi" w:cstheme="minorHAnsi"/>
          <w:sz w:val="22"/>
          <w:szCs w:val="22"/>
          <w:lang w:val="fr-FR"/>
        </w:rPr>
      </w:pPr>
    </w:p>
    <w:p w14:paraId="6E196D8E" w14:textId="77777777" w:rsidR="00C846A1" w:rsidRPr="00E21AE0" w:rsidRDefault="00C846A1" w:rsidP="0043334F">
      <w:pPr>
        <w:spacing w:before="100" w:beforeAutospacing="1" w:after="100" w:afterAutospacing="1"/>
        <w:contextualSpacing/>
        <w:jc w:val="both"/>
        <w:rPr>
          <w:rFonts w:asciiTheme="minorHAnsi" w:hAnsiTheme="minorHAnsi" w:cstheme="minorHAnsi"/>
          <w:color w:val="000000"/>
          <w:sz w:val="22"/>
          <w:szCs w:val="22"/>
          <w:lang w:val="fr-FR"/>
        </w:rPr>
      </w:pPr>
    </w:p>
    <w:p w14:paraId="53740493" w14:textId="77777777" w:rsidR="00A859F9" w:rsidRDefault="005712F8" w:rsidP="0043334F">
      <w:pPr>
        <w:spacing w:before="100" w:beforeAutospacing="1" w:after="100" w:afterAutospacing="1"/>
        <w:contextualSpacing/>
        <w:jc w:val="both"/>
        <w:rPr>
          <w:rFonts w:asciiTheme="minorHAnsi" w:hAnsiTheme="minorHAnsi"/>
          <w:b/>
          <w:color w:val="000000"/>
          <w:sz w:val="22"/>
          <w:szCs w:val="22"/>
          <w:lang w:val="fr-FR"/>
        </w:rPr>
      </w:pPr>
      <w:r w:rsidRPr="00E21AE0">
        <w:rPr>
          <w:rFonts w:asciiTheme="minorHAnsi" w:hAnsiTheme="minorHAnsi"/>
          <w:b/>
          <w:color w:val="000000"/>
          <w:sz w:val="22"/>
          <w:szCs w:val="22"/>
          <w:lang w:val="fr-FR"/>
        </w:rPr>
        <w:t xml:space="preserve">B20. </w:t>
      </w:r>
      <w:r w:rsidR="00A859F9" w:rsidRPr="00A859F9">
        <w:rPr>
          <w:rFonts w:asciiTheme="minorHAnsi" w:hAnsiTheme="minorHAnsi"/>
          <w:b/>
          <w:color w:val="000000"/>
          <w:sz w:val="22"/>
          <w:szCs w:val="22"/>
          <w:lang w:val="fr-FR"/>
        </w:rPr>
        <w:t xml:space="preserve">Le </w:t>
      </w:r>
      <w:proofErr w:type="spellStart"/>
      <w:r w:rsidR="00A859F9" w:rsidRPr="00A859F9">
        <w:rPr>
          <w:rFonts w:asciiTheme="minorHAnsi" w:hAnsiTheme="minorHAnsi"/>
          <w:b/>
          <w:color w:val="000000"/>
          <w:sz w:val="22"/>
          <w:szCs w:val="22"/>
          <w:lang w:val="fr-FR"/>
        </w:rPr>
        <w:t>piracétam</w:t>
      </w:r>
      <w:proofErr w:type="spellEnd"/>
      <w:r w:rsidR="00A859F9" w:rsidRPr="00A859F9">
        <w:rPr>
          <w:rFonts w:asciiTheme="minorHAnsi" w:hAnsiTheme="minorHAnsi"/>
          <w:b/>
          <w:color w:val="000000"/>
          <w:sz w:val="22"/>
          <w:szCs w:val="22"/>
          <w:lang w:val="fr-FR"/>
        </w:rPr>
        <w:t xml:space="preserve"> ne peut être utilisé que dans le traitement des convulsions myocloniques (en raison de l'absence d'efficacité clinique prouvée, du coût et du potentiel d'effets secondaires)</w:t>
      </w:r>
      <w:r w:rsidR="00A859F9">
        <w:rPr>
          <w:rFonts w:asciiTheme="minorHAnsi" w:hAnsiTheme="minorHAnsi"/>
          <w:b/>
          <w:color w:val="000000"/>
          <w:sz w:val="22"/>
          <w:szCs w:val="22"/>
          <w:lang w:val="fr-FR"/>
        </w:rPr>
        <w:t xml:space="preserve"> </w:t>
      </w:r>
    </w:p>
    <w:p w14:paraId="5165D819" w14:textId="77777777" w:rsidR="00A859F9" w:rsidRDefault="00A859F9" w:rsidP="0043334F">
      <w:pPr>
        <w:spacing w:before="100" w:beforeAutospacing="1" w:after="100" w:afterAutospacing="1"/>
        <w:contextualSpacing/>
        <w:jc w:val="both"/>
        <w:rPr>
          <w:rFonts w:asciiTheme="minorHAnsi" w:hAnsiTheme="minorHAnsi"/>
          <w:i/>
          <w:color w:val="000000"/>
          <w:sz w:val="22"/>
          <w:szCs w:val="22"/>
          <w:lang w:val="fr-FR"/>
        </w:rPr>
      </w:pPr>
      <w:r w:rsidRPr="00A859F9">
        <w:rPr>
          <w:rFonts w:asciiTheme="minorHAnsi" w:hAnsiTheme="minorHAnsi"/>
          <w:i/>
          <w:color w:val="000000"/>
          <w:sz w:val="22"/>
          <w:szCs w:val="22"/>
          <w:lang w:val="fr-FR"/>
        </w:rPr>
        <w:t xml:space="preserve">*Il peut être utilisé chez les patients dont on pense qu'ils présentent un bénéfice symptomatique du traitement par le </w:t>
      </w:r>
      <w:proofErr w:type="spellStart"/>
      <w:r w:rsidRPr="00A859F9">
        <w:rPr>
          <w:rFonts w:asciiTheme="minorHAnsi" w:hAnsiTheme="minorHAnsi"/>
          <w:i/>
          <w:color w:val="000000"/>
          <w:sz w:val="22"/>
          <w:szCs w:val="22"/>
          <w:lang w:val="fr-FR"/>
        </w:rPr>
        <w:t>piracétam</w:t>
      </w:r>
      <w:proofErr w:type="spellEnd"/>
      <w:r w:rsidRPr="00A859F9">
        <w:rPr>
          <w:rFonts w:asciiTheme="minorHAnsi" w:hAnsiTheme="minorHAnsi"/>
          <w:i/>
          <w:color w:val="000000"/>
          <w:sz w:val="22"/>
          <w:szCs w:val="22"/>
          <w:lang w:val="fr-FR"/>
        </w:rPr>
        <w:t xml:space="preserve">, compte tenu du rapport bénéfice/perte. </w:t>
      </w:r>
    </w:p>
    <w:p w14:paraId="67D00304" w14:textId="2EFA3F94" w:rsidR="00A859F9" w:rsidRDefault="00A859F9" w:rsidP="0043334F">
      <w:pPr>
        <w:spacing w:before="100" w:beforeAutospacing="1" w:after="100" w:afterAutospacing="1"/>
        <w:contextualSpacing/>
        <w:jc w:val="both"/>
        <w:rPr>
          <w:rFonts w:asciiTheme="minorHAnsi" w:hAnsiTheme="minorHAnsi"/>
          <w:i/>
          <w:color w:val="000000"/>
          <w:sz w:val="22"/>
          <w:szCs w:val="22"/>
          <w:lang w:val="fr-FR"/>
        </w:rPr>
      </w:pPr>
      <w:r w:rsidRPr="00A859F9">
        <w:rPr>
          <w:rFonts w:asciiTheme="minorHAnsi" w:hAnsiTheme="minorHAnsi"/>
          <w:i/>
          <w:color w:val="000000"/>
          <w:sz w:val="22"/>
          <w:szCs w:val="22"/>
          <w:lang w:val="fr-FR"/>
        </w:rPr>
        <w:t xml:space="preserve">*Des études montrent que le </w:t>
      </w:r>
      <w:proofErr w:type="spellStart"/>
      <w:r w:rsidRPr="00A859F9">
        <w:rPr>
          <w:rFonts w:asciiTheme="minorHAnsi" w:hAnsiTheme="minorHAnsi"/>
          <w:i/>
          <w:color w:val="000000"/>
          <w:sz w:val="22"/>
          <w:szCs w:val="22"/>
          <w:lang w:val="fr-FR"/>
        </w:rPr>
        <w:t>piracétam</w:t>
      </w:r>
      <w:proofErr w:type="spellEnd"/>
      <w:r w:rsidRPr="00A859F9">
        <w:rPr>
          <w:rFonts w:asciiTheme="minorHAnsi" w:hAnsiTheme="minorHAnsi"/>
          <w:i/>
          <w:color w:val="000000"/>
          <w:sz w:val="22"/>
          <w:szCs w:val="22"/>
          <w:lang w:val="fr-FR"/>
        </w:rPr>
        <w:t xml:space="preserve"> peut avoir un bénéfice limité dans le traitement de l'aphasie aiguë après un AVC.</w:t>
      </w:r>
      <w:r>
        <w:rPr>
          <w:rFonts w:asciiTheme="minorHAnsi" w:hAnsiTheme="minorHAnsi"/>
          <w:i/>
          <w:color w:val="000000"/>
          <w:sz w:val="22"/>
          <w:szCs w:val="22"/>
          <w:lang w:val="fr-FR"/>
        </w:rPr>
        <w:t xml:space="preserve"> </w:t>
      </w:r>
    </w:p>
    <w:p w14:paraId="4087A60E" w14:textId="77777777" w:rsidR="00A859F9" w:rsidRDefault="00A859F9" w:rsidP="0043334F">
      <w:pPr>
        <w:spacing w:before="100" w:beforeAutospacing="1" w:after="100" w:afterAutospacing="1"/>
        <w:contextualSpacing/>
        <w:jc w:val="both"/>
        <w:rPr>
          <w:rFonts w:asciiTheme="minorHAnsi" w:hAnsiTheme="minorHAnsi"/>
          <w:i/>
          <w:color w:val="000000"/>
          <w:sz w:val="22"/>
          <w:szCs w:val="22"/>
          <w:lang w:val="fr-FR"/>
        </w:rPr>
      </w:pPr>
    </w:p>
    <w:p w14:paraId="07261C72" w14:textId="77777777" w:rsidR="005D469F" w:rsidRPr="00E21AE0" w:rsidRDefault="005D469F" w:rsidP="0043334F">
      <w:pPr>
        <w:tabs>
          <w:tab w:val="left" w:pos="708"/>
        </w:tabs>
        <w:contextualSpacing/>
        <w:jc w:val="both"/>
        <w:rPr>
          <w:rFonts w:asciiTheme="minorHAnsi" w:hAnsiTheme="minorHAnsi" w:cstheme="minorHAnsi"/>
          <w:sz w:val="22"/>
          <w:szCs w:val="22"/>
          <w:lang w:val="fr-FR"/>
        </w:rPr>
      </w:pPr>
    </w:p>
    <w:p w14:paraId="3E123183" w14:textId="77777777" w:rsidR="00E62F12" w:rsidRDefault="006C24B0" w:rsidP="0043334F">
      <w:pPr>
        <w:tabs>
          <w:tab w:val="left" w:pos="708"/>
        </w:tabs>
        <w:contextualSpacing/>
        <w:jc w:val="both"/>
        <w:rPr>
          <w:rFonts w:asciiTheme="minorHAnsi" w:hAnsiTheme="minorHAnsi"/>
          <w:b/>
          <w:color w:val="000000"/>
          <w:sz w:val="22"/>
          <w:szCs w:val="22"/>
          <w:lang w:val="fr-FR"/>
        </w:rPr>
      </w:pPr>
      <w:r w:rsidRPr="00E21AE0">
        <w:rPr>
          <w:rFonts w:asciiTheme="minorHAnsi" w:hAnsiTheme="minorHAnsi"/>
          <w:b/>
          <w:color w:val="000000"/>
          <w:sz w:val="22"/>
          <w:szCs w:val="22"/>
          <w:lang w:val="fr-FR"/>
        </w:rPr>
        <w:t>B2</w:t>
      </w:r>
      <w:r w:rsidR="0058769E" w:rsidRPr="00E21AE0">
        <w:rPr>
          <w:rFonts w:asciiTheme="minorHAnsi" w:hAnsiTheme="minorHAnsi"/>
          <w:b/>
          <w:color w:val="000000"/>
          <w:sz w:val="22"/>
          <w:szCs w:val="22"/>
          <w:lang w:val="fr-FR"/>
        </w:rPr>
        <w:t>1</w:t>
      </w:r>
      <w:r w:rsidRPr="00E21AE0">
        <w:rPr>
          <w:rFonts w:asciiTheme="minorHAnsi" w:hAnsiTheme="minorHAnsi"/>
          <w:b/>
          <w:color w:val="000000"/>
          <w:sz w:val="22"/>
          <w:szCs w:val="22"/>
          <w:lang w:val="fr-FR"/>
        </w:rPr>
        <w:t xml:space="preserve">. </w:t>
      </w:r>
      <w:r w:rsidR="00E62F12" w:rsidRPr="00E62F12">
        <w:rPr>
          <w:rFonts w:asciiTheme="minorHAnsi" w:hAnsiTheme="minorHAnsi"/>
          <w:b/>
          <w:color w:val="000000"/>
          <w:sz w:val="22"/>
          <w:szCs w:val="22"/>
          <w:lang w:val="fr-FR"/>
        </w:rPr>
        <w:t xml:space="preserve">L'utilisation en première intention de la carbamazépine, de la </w:t>
      </w:r>
      <w:proofErr w:type="spellStart"/>
      <w:r w:rsidR="00E62F12" w:rsidRPr="00E62F12">
        <w:rPr>
          <w:rFonts w:asciiTheme="minorHAnsi" w:hAnsiTheme="minorHAnsi"/>
          <w:b/>
          <w:color w:val="000000"/>
          <w:sz w:val="22"/>
          <w:szCs w:val="22"/>
          <w:lang w:val="fr-FR"/>
        </w:rPr>
        <w:t>phénytoïne</w:t>
      </w:r>
      <w:proofErr w:type="spellEnd"/>
      <w:r w:rsidR="00E62F12" w:rsidRPr="00E62F12">
        <w:rPr>
          <w:rFonts w:asciiTheme="minorHAnsi" w:hAnsiTheme="minorHAnsi"/>
          <w:b/>
          <w:color w:val="000000"/>
          <w:sz w:val="22"/>
          <w:szCs w:val="22"/>
          <w:lang w:val="fr-FR"/>
        </w:rPr>
        <w:t xml:space="preserve">, du phénobarbital ou du </w:t>
      </w:r>
      <w:proofErr w:type="spellStart"/>
      <w:r w:rsidR="00E62F12" w:rsidRPr="00E62F12">
        <w:rPr>
          <w:rFonts w:asciiTheme="minorHAnsi" w:hAnsiTheme="minorHAnsi"/>
          <w:b/>
          <w:color w:val="000000"/>
          <w:sz w:val="22"/>
          <w:szCs w:val="22"/>
          <w:lang w:val="fr-FR"/>
        </w:rPr>
        <w:t>valproate</w:t>
      </w:r>
      <w:proofErr w:type="spellEnd"/>
      <w:r w:rsidR="00E62F12" w:rsidRPr="00E62F12">
        <w:rPr>
          <w:rFonts w:asciiTheme="minorHAnsi" w:hAnsiTheme="minorHAnsi"/>
          <w:b/>
          <w:color w:val="000000"/>
          <w:sz w:val="22"/>
          <w:szCs w:val="22"/>
          <w:lang w:val="fr-FR"/>
        </w:rPr>
        <w:t xml:space="preserve"> n'est pas appropriée dans le traitement chronique de l'épilepsie (en raison d'effets </w:t>
      </w:r>
      <w:r w:rsidR="00E62F12" w:rsidRPr="00E62F12">
        <w:rPr>
          <w:rFonts w:asciiTheme="minorHAnsi" w:hAnsiTheme="minorHAnsi"/>
          <w:b/>
          <w:color w:val="000000"/>
          <w:sz w:val="22"/>
          <w:szCs w:val="22"/>
          <w:lang w:val="fr-FR"/>
        </w:rPr>
        <w:lastRenderedPageBreak/>
        <w:t>indésirables sur la vitamine D, d'induction enzymatique, de risque de chute ; il existe également des alternatives plus sûres)</w:t>
      </w:r>
      <w:r w:rsidR="00E62F12">
        <w:rPr>
          <w:rFonts w:asciiTheme="minorHAnsi" w:hAnsiTheme="minorHAnsi"/>
          <w:b/>
          <w:color w:val="000000"/>
          <w:sz w:val="22"/>
          <w:szCs w:val="22"/>
          <w:lang w:val="fr-FR"/>
        </w:rPr>
        <w:t xml:space="preserve"> </w:t>
      </w:r>
    </w:p>
    <w:p w14:paraId="7B4CCB9C" w14:textId="77777777" w:rsidR="00E62F12" w:rsidRDefault="00E62F12" w:rsidP="0043334F">
      <w:pPr>
        <w:contextualSpacing/>
        <w:jc w:val="both"/>
        <w:rPr>
          <w:rFonts w:asciiTheme="minorHAnsi" w:hAnsiTheme="minorHAnsi"/>
          <w:i/>
          <w:sz w:val="22"/>
          <w:szCs w:val="22"/>
          <w:lang w:val="fr-FR"/>
        </w:rPr>
      </w:pPr>
      <w:r w:rsidRPr="00E62F12">
        <w:rPr>
          <w:rFonts w:asciiTheme="minorHAnsi" w:hAnsiTheme="minorHAnsi"/>
          <w:i/>
          <w:sz w:val="22"/>
          <w:szCs w:val="22"/>
          <w:lang w:val="fr-FR"/>
        </w:rPr>
        <w:t xml:space="preserve">*De nouveaux agents tels que le </w:t>
      </w:r>
      <w:proofErr w:type="spellStart"/>
      <w:r w:rsidRPr="00E62F12">
        <w:rPr>
          <w:rFonts w:asciiTheme="minorHAnsi" w:hAnsiTheme="minorHAnsi"/>
          <w:i/>
          <w:sz w:val="22"/>
          <w:szCs w:val="22"/>
          <w:lang w:val="fr-FR"/>
        </w:rPr>
        <w:t>lévatiracétam</w:t>
      </w:r>
      <w:proofErr w:type="spellEnd"/>
      <w:r w:rsidRPr="00E62F12">
        <w:rPr>
          <w:rFonts w:asciiTheme="minorHAnsi" w:hAnsiTheme="minorHAnsi"/>
          <w:i/>
          <w:sz w:val="22"/>
          <w:szCs w:val="22"/>
          <w:lang w:val="fr-FR"/>
        </w:rPr>
        <w:t xml:space="preserve">, la </w:t>
      </w:r>
      <w:proofErr w:type="spellStart"/>
      <w:r w:rsidRPr="00E62F12">
        <w:rPr>
          <w:rFonts w:asciiTheme="minorHAnsi" w:hAnsiTheme="minorHAnsi"/>
          <w:i/>
          <w:sz w:val="22"/>
          <w:szCs w:val="22"/>
          <w:lang w:val="fr-FR"/>
        </w:rPr>
        <w:t>lamotrigine</w:t>
      </w:r>
      <w:proofErr w:type="spellEnd"/>
      <w:r w:rsidRPr="00E62F12">
        <w:rPr>
          <w:rFonts w:asciiTheme="minorHAnsi" w:hAnsiTheme="minorHAnsi"/>
          <w:i/>
          <w:sz w:val="22"/>
          <w:szCs w:val="22"/>
          <w:lang w:val="fr-FR"/>
        </w:rPr>
        <w:t xml:space="preserve">, la </w:t>
      </w:r>
      <w:proofErr w:type="spellStart"/>
      <w:r w:rsidRPr="00E62F12">
        <w:rPr>
          <w:rFonts w:asciiTheme="minorHAnsi" w:hAnsiTheme="minorHAnsi"/>
          <w:i/>
          <w:sz w:val="22"/>
          <w:szCs w:val="22"/>
          <w:lang w:val="fr-FR"/>
        </w:rPr>
        <w:t>gabapentine</w:t>
      </w:r>
      <w:proofErr w:type="spellEnd"/>
      <w:r w:rsidRPr="00E62F12">
        <w:rPr>
          <w:rFonts w:asciiTheme="minorHAnsi" w:hAnsiTheme="minorHAnsi"/>
          <w:i/>
          <w:sz w:val="22"/>
          <w:szCs w:val="22"/>
          <w:lang w:val="fr-FR"/>
        </w:rPr>
        <w:t xml:space="preserve"> peuvent être préférés dans le traitement de l'épilepsie chronique chez les personnes âgées.</w:t>
      </w:r>
    </w:p>
    <w:p w14:paraId="50B649D1" w14:textId="77777777" w:rsidR="00E62F12" w:rsidRDefault="00E62F12" w:rsidP="0043334F">
      <w:pPr>
        <w:contextualSpacing/>
        <w:jc w:val="both"/>
        <w:rPr>
          <w:rFonts w:asciiTheme="minorHAnsi" w:hAnsiTheme="minorHAnsi"/>
          <w:i/>
          <w:sz w:val="22"/>
          <w:szCs w:val="22"/>
          <w:lang w:val="fr-FR"/>
        </w:rPr>
      </w:pPr>
    </w:p>
    <w:p w14:paraId="037FB699" w14:textId="77777777" w:rsidR="00C846A1" w:rsidRPr="00E21AE0" w:rsidRDefault="00C846A1" w:rsidP="0043334F">
      <w:pPr>
        <w:tabs>
          <w:tab w:val="left" w:pos="708"/>
        </w:tabs>
        <w:contextualSpacing/>
        <w:rPr>
          <w:rFonts w:asciiTheme="minorHAnsi" w:hAnsiTheme="minorHAnsi" w:cstheme="minorHAnsi"/>
          <w:color w:val="000000" w:themeColor="text1"/>
          <w:sz w:val="22"/>
          <w:szCs w:val="22"/>
          <w:lang w:val="fr-FR"/>
        </w:rPr>
      </w:pPr>
    </w:p>
    <w:p w14:paraId="77A271E8" w14:textId="77777777" w:rsidR="00E62F12" w:rsidRDefault="006C24B0" w:rsidP="0043334F">
      <w:pPr>
        <w:tabs>
          <w:tab w:val="left" w:pos="708"/>
        </w:tabs>
        <w:contextualSpacing/>
        <w:rPr>
          <w:rFonts w:asciiTheme="minorHAnsi" w:hAnsiTheme="minorHAnsi"/>
          <w:b/>
          <w:color w:val="000000" w:themeColor="text1"/>
          <w:sz w:val="22"/>
          <w:szCs w:val="22"/>
          <w:lang w:val="fr-FR"/>
        </w:rPr>
      </w:pPr>
      <w:r w:rsidRPr="00E21AE0">
        <w:rPr>
          <w:rFonts w:asciiTheme="minorHAnsi" w:hAnsiTheme="minorHAnsi"/>
          <w:b/>
          <w:color w:val="000000" w:themeColor="text1"/>
          <w:sz w:val="22"/>
          <w:szCs w:val="22"/>
          <w:lang w:val="fr-FR"/>
        </w:rPr>
        <w:t>B2</w:t>
      </w:r>
      <w:r w:rsidR="0058769E" w:rsidRPr="00E21AE0">
        <w:rPr>
          <w:rFonts w:asciiTheme="minorHAnsi" w:hAnsiTheme="minorHAnsi"/>
          <w:b/>
          <w:color w:val="000000" w:themeColor="text1"/>
          <w:sz w:val="22"/>
          <w:szCs w:val="22"/>
          <w:lang w:val="fr-FR"/>
        </w:rPr>
        <w:t>2</w:t>
      </w:r>
      <w:r w:rsidRPr="00E21AE0">
        <w:rPr>
          <w:rFonts w:asciiTheme="minorHAnsi" w:hAnsiTheme="minorHAnsi"/>
          <w:b/>
          <w:color w:val="000000" w:themeColor="text1"/>
          <w:sz w:val="22"/>
          <w:szCs w:val="22"/>
          <w:lang w:val="fr-FR"/>
        </w:rPr>
        <w:t xml:space="preserve">. </w:t>
      </w:r>
      <w:r w:rsidR="00E62F12" w:rsidRPr="00E62F12">
        <w:rPr>
          <w:rFonts w:asciiTheme="minorHAnsi" w:hAnsiTheme="minorHAnsi"/>
          <w:b/>
          <w:color w:val="000000" w:themeColor="text1"/>
          <w:sz w:val="22"/>
          <w:szCs w:val="22"/>
          <w:lang w:val="fr-FR"/>
        </w:rPr>
        <w:t xml:space="preserve">Le </w:t>
      </w:r>
      <w:proofErr w:type="spellStart"/>
      <w:r w:rsidR="00E62F12" w:rsidRPr="00E62F12">
        <w:rPr>
          <w:rFonts w:asciiTheme="minorHAnsi" w:hAnsiTheme="minorHAnsi"/>
          <w:b/>
          <w:color w:val="000000" w:themeColor="text1"/>
          <w:sz w:val="22"/>
          <w:szCs w:val="22"/>
          <w:lang w:val="fr-FR"/>
        </w:rPr>
        <w:t>tramadol</w:t>
      </w:r>
      <w:proofErr w:type="spellEnd"/>
      <w:r w:rsidR="00E62F12" w:rsidRPr="00E62F12">
        <w:rPr>
          <w:rFonts w:asciiTheme="minorHAnsi" w:hAnsiTheme="minorHAnsi"/>
          <w:b/>
          <w:color w:val="000000" w:themeColor="text1"/>
          <w:sz w:val="22"/>
          <w:szCs w:val="22"/>
          <w:lang w:val="fr-FR"/>
        </w:rPr>
        <w:t>, les neuroleptiques/antipsychotiques (</w:t>
      </w:r>
      <w:proofErr w:type="spellStart"/>
      <w:r w:rsidR="00E62F12" w:rsidRPr="00E62F12">
        <w:rPr>
          <w:rFonts w:asciiTheme="minorHAnsi" w:hAnsiTheme="minorHAnsi"/>
          <w:b/>
          <w:color w:val="000000" w:themeColor="text1"/>
          <w:sz w:val="22"/>
          <w:szCs w:val="22"/>
          <w:lang w:val="fr-FR"/>
        </w:rPr>
        <w:t>clozapine</w:t>
      </w:r>
      <w:proofErr w:type="spellEnd"/>
      <w:r w:rsidR="00E62F12" w:rsidRPr="00E62F12">
        <w:rPr>
          <w:rFonts w:asciiTheme="minorHAnsi" w:hAnsiTheme="minorHAnsi"/>
          <w:b/>
          <w:color w:val="000000" w:themeColor="text1"/>
          <w:sz w:val="22"/>
          <w:szCs w:val="22"/>
          <w:lang w:val="fr-FR"/>
        </w:rPr>
        <w:t xml:space="preserve">, </w:t>
      </w:r>
      <w:proofErr w:type="spellStart"/>
      <w:r w:rsidR="00E62F12" w:rsidRPr="00E62F12">
        <w:rPr>
          <w:rFonts w:asciiTheme="minorHAnsi" w:hAnsiTheme="minorHAnsi"/>
          <w:b/>
          <w:color w:val="000000" w:themeColor="text1"/>
          <w:sz w:val="22"/>
          <w:szCs w:val="22"/>
          <w:lang w:val="fr-FR"/>
        </w:rPr>
        <w:t>olanzapine</w:t>
      </w:r>
      <w:proofErr w:type="spellEnd"/>
      <w:r w:rsidR="00E62F12" w:rsidRPr="00E62F12">
        <w:rPr>
          <w:rFonts w:asciiTheme="minorHAnsi" w:hAnsiTheme="minorHAnsi"/>
          <w:b/>
          <w:color w:val="000000" w:themeColor="text1"/>
          <w:sz w:val="22"/>
          <w:szCs w:val="22"/>
          <w:lang w:val="fr-FR"/>
        </w:rPr>
        <w:t xml:space="preserve">, chlorpromazine, </w:t>
      </w:r>
      <w:proofErr w:type="spellStart"/>
      <w:r w:rsidR="00E62F12" w:rsidRPr="00E62F12">
        <w:rPr>
          <w:rFonts w:asciiTheme="minorHAnsi" w:hAnsiTheme="minorHAnsi"/>
          <w:b/>
          <w:color w:val="000000" w:themeColor="text1"/>
          <w:sz w:val="22"/>
          <w:szCs w:val="22"/>
          <w:lang w:val="fr-FR"/>
        </w:rPr>
        <w:t>thioridazine</w:t>
      </w:r>
      <w:proofErr w:type="spellEnd"/>
      <w:r w:rsidR="00E62F12" w:rsidRPr="00E62F12">
        <w:rPr>
          <w:rFonts w:asciiTheme="minorHAnsi" w:hAnsiTheme="minorHAnsi"/>
          <w:b/>
          <w:color w:val="000000" w:themeColor="text1"/>
          <w:sz w:val="22"/>
          <w:szCs w:val="22"/>
          <w:lang w:val="fr-FR"/>
        </w:rPr>
        <w:t xml:space="preserve">), le </w:t>
      </w:r>
      <w:proofErr w:type="spellStart"/>
      <w:r w:rsidR="00E62F12" w:rsidRPr="00E62F12">
        <w:rPr>
          <w:rFonts w:asciiTheme="minorHAnsi" w:hAnsiTheme="minorHAnsi"/>
          <w:b/>
          <w:color w:val="000000" w:themeColor="text1"/>
          <w:sz w:val="22"/>
          <w:szCs w:val="22"/>
          <w:lang w:val="fr-FR"/>
        </w:rPr>
        <w:t>bupropion</w:t>
      </w:r>
      <w:proofErr w:type="spellEnd"/>
      <w:r w:rsidR="00E62F12" w:rsidRPr="00E62F12">
        <w:rPr>
          <w:rFonts w:asciiTheme="minorHAnsi" w:hAnsiTheme="minorHAnsi"/>
          <w:b/>
          <w:color w:val="000000" w:themeColor="text1"/>
          <w:sz w:val="22"/>
          <w:szCs w:val="22"/>
          <w:lang w:val="fr-FR"/>
        </w:rPr>
        <w:t xml:space="preserve"> et la </w:t>
      </w:r>
      <w:proofErr w:type="spellStart"/>
      <w:r w:rsidR="00E62F12" w:rsidRPr="00E62F12">
        <w:rPr>
          <w:rFonts w:asciiTheme="minorHAnsi" w:hAnsiTheme="minorHAnsi"/>
          <w:b/>
          <w:color w:val="000000" w:themeColor="text1"/>
          <w:sz w:val="22"/>
          <w:szCs w:val="22"/>
          <w:lang w:val="fr-FR"/>
        </w:rPr>
        <w:t>maprotiline</w:t>
      </w:r>
      <w:proofErr w:type="spellEnd"/>
      <w:r w:rsidR="00E62F12" w:rsidRPr="00E62F12">
        <w:rPr>
          <w:rFonts w:asciiTheme="minorHAnsi" w:hAnsiTheme="minorHAnsi"/>
          <w:b/>
          <w:color w:val="000000" w:themeColor="text1"/>
          <w:sz w:val="22"/>
          <w:szCs w:val="22"/>
          <w:lang w:val="fr-FR"/>
        </w:rPr>
        <w:t xml:space="preserve"> ne conviennent pas aux patients épileptiques.</w:t>
      </w:r>
      <w:r w:rsidR="00E62F12">
        <w:rPr>
          <w:rFonts w:asciiTheme="minorHAnsi" w:hAnsiTheme="minorHAnsi"/>
          <w:b/>
          <w:color w:val="000000" w:themeColor="text1"/>
          <w:sz w:val="22"/>
          <w:szCs w:val="22"/>
          <w:lang w:val="fr-FR"/>
        </w:rPr>
        <w:t xml:space="preserve"> </w:t>
      </w:r>
    </w:p>
    <w:p w14:paraId="3E72293E" w14:textId="77777777" w:rsidR="00E62F12" w:rsidRDefault="00E62F12" w:rsidP="0043334F">
      <w:pPr>
        <w:tabs>
          <w:tab w:val="left" w:pos="708"/>
        </w:tabs>
        <w:contextualSpacing/>
        <w:rPr>
          <w:rFonts w:asciiTheme="minorHAnsi" w:hAnsiTheme="minorHAnsi"/>
          <w:b/>
          <w:color w:val="000000" w:themeColor="text1"/>
          <w:sz w:val="22"/>
          <w:szCs w:val="22"/>
          <w:lang w:val="fr-FR"/>
        </w:rPr>
      </w:pPr>
    </w:p>
    <w:p w14:paraId="6769BAB4" w14:textId="77777777" w:rsidR="00E85274" w:rsidRPr="00E21AE0" w:rsidRDefault="00E85274" w:rsidP="0043334F">
      <w:pPr>
        <w:pStyle w:val="HTMLncedenBiimlendirilmi"/>
        <w:contextualSpacing/>
        <w:jc w:val="both"/>
        <w:rPr>
          <w:rFonts w:asciiTheme="minorHAnsi" w:hAnsiTheme="minorHAnsi" w:cstheme="minorHAnsi"/>
          <w:color w:val="000000"/>
          <w:sz w:val="22"/>
          <w:szCs w:val="22"/>
          <w:lang w:val="fr-FR"/>
        </w:rPr>
      </w:pPr>
    </w:p>
    <w:p w14:paraId="5D563BC4" w14:textId="77777777" w:rsidR="00E62F12" w:rsidRDefault="006C24B0" w:rsidP="00E85274">
      <w:pPr>
        <w:pStyle w:val="HTMLncedenBiimlendirilmi"/>
        <w:contextualSpacing/>
        <w:jc w:val="both"/>
        <w:rPr>
          <w:rFonts w:asciiTheme="minorHAnsi" w:hAnsiTheme="minorHAnsi"/>
          <w:b/>
          <w:color w:val="000000"/>
          <w:sz w:val="22"/>
          <w:szCs w:val="22"/>
          <w:lang w:val="fr-FR"/>
        </w:rPr>
      </w:pPr>
      <w:r w:rsidRPr="00E21AE0">
        <w:rPr>
          <w:rFonts w:asciiTheme="minorHAnsi" w:hAnsiTheme="minorHAnsi"/>
          <w:b/>
          <w:color w:val="000000"/>
          <w:sz w:val="22"/>
          <w:szCs w:val="22"/>
          <w:lang w:val="fr-FR"/>
        </w:rPr>
        <w:t>B2</w:t>
      </w:r>
      <w:r w:rsidR="0058769E" w:rsidRPr="00E21AE0">
        <w:rPr>
          <w:rFonts w:asciiTheme="minorHAnsi" w:hAnsiTheme="minorHAnsi"/>
          <w:b/>
          <w:color w:val="000000"/>
          <w:sz w:val="22"/>
          <w:szCs w:val="22"/>
          <w:lang w:val="fr-FR"/>
        </w:rPr>
        <w:t>3</w:t>
      </w:r>
      <w:r w:rsidRPr="00E21AE0">
        <w:rPr>
          <w:rFonts w:asciiTheme="minorHAnsi" w:hAnsiTheme="minorHAnsi"/>
          <w:b/>
          <w:color w:val="000000"/>
          <w:sz w:val="22"/>
          <w:szCs w:val="22"/>
          <w:lang w:val="fr-FR"/>
        </w:rPr>
        <w:t xml:space="preserve">. </w:t>
      </w:r>
      <w:r w:rsidR="00E62F12" w:rsidRPr="00E62F12">
        <w:rPr>
          <w:rFonts w:asciiTheme="minorHAnsi" w:hAnsiTheme="minorHAnsi"/>
          <w:b/>
          <w:color w:val="000000"/>
          <w:sz w:val="22"/>
          <w:szCs w:val="22"/>
          <w:lang w:val="fr-FR"/>
        </w:rPr>
        <w:t xml:space="preserve">Le traitement antiépileptique n'est pas approprié pour la prophylaxie des crises en raison de la présence d'un AVC ischémique/hémorragique chez un patient qui n'a pas eu de convulsions antérieures. </w:t>
      </w:r>
      <w:r w:rsidR="00E62F12">
        <w:rPr>
          <w:rFonts w:asciiTheme="minorHAnsi" w:hAnsiTheme="minorHAnsi"/>
          <w:b/>
          <w:color w:val="000000"/>
          <w:sz w:val="22"/>
          <w:szCs w:val="22"/>
          <w:lang w:val="fr-FR"/>
        </w:rPr>
        <w:t xml:space="preserve"> </w:t>
      </w:r>
    </w:p>
    <w:p w14:paraId="09F367F5" w14:textId="7077FA97" w:rsidR="00E62F12" w:rsidRDefault="00260D35" w:rsidP="0043334F">
      <w:pPr>
        <w:spacing w:before="100" w:beforeAutospacing="1" w:after="100" w:afterAutospacing="1"/>
        <w:contextualSpacing/>
        <w:jc w:val="both"/>
        <w:rPr>
          <w:rFonts w:asciiTheme="minorHAnsi" w:hAnsiTheme="minorHAnsi"/>
          <w:b/>
          <w:sz w:val="22"/>
          <w:szCs w:val="22"/>
          <w:lang w:val="fr-FR"/>
        </w:rPr>
      </w:pPr>
      <w:r w:rsidRPr="00E21AE0">
        <w:rPr>
          <w:rFonts w:asciiTheme="minorHAnsi" w:hAnsiTheme="minorHAnsi"/>
          <w:b/>
          <w:sz w:val="22"/>
          <w:szCs w:val="22"/>
          <w:lang w:val="fr-FR"/>
        </w:rPr>
        <w:t>B2</w:t>
      </w:r>
      <w:r w:rsidR="0058769E" w:rsidRPr="00E21AE0">
        <w:rPr>
          <w:rFonts w:asciiTheme="minorHAnsi" w:hAnsiTheme="minorHAnsi"/>
          <w:b/>
          <w:sz w:val="22"/>
          <w:szCs w:val="22"/>
          <w:lang w:val="fr-FR"/>
        </w:rPr>
        <w:t>4</w:t>
      </w:r>
      <w:r w:rsidR="00F412F2" w:rsidRPr="00E21AE0">
        <w:rPr>
          <w:rFonts w:asciiTheme="minorHAnsi" w:hAnsiTheme="minorHAnsi"/>
          <w:b/>
          <w:sz w:val="22"/>
          <w:szCs w:val="22"/>
          <w:lang w:val="fr-FR"/>
        </w:rPr>
        <w:t xml:space="preserve">. </w:t>
      </w:r>
      <w:r w:rsidR="00E62F12" w:rsidRPr="00E62F12">
        <w:rPr>
          <w:rFonts w:asciiTheme="minorHAnsi" w:hAnsiTheme="minorHAnsi"/>
          <w:b/>
          <w:sz w:val="22"/>
          <w:szCs w:val="22"/>
          <w:lang w:val="fr-FR"/>
        </w:rPr>
        <w:t xml:space="preserve">L'utilisation du </w:t>
      </w:r>
      <w:proofErr w:type="spellStart"/>
      <w:r w:rsidR="00E62F12" w:rsidRPr="00E62F12">
        <w:rPr>
          <w:rFonts w:asciiTheme="minorHAnsi" w:hAnsiTheme="minorHAnsi"/>
          <w:b/>
          <w:sz w:val="22"/>
          <w:szCs w:val="22"/>
          <w:lang w:val="fr-FR"/>
        </w:rPr>
        <w:t>citalopram</w:t>
      </w:r>
      <w:proofErr w:type="spellEnd"/>
      <w:r w:rsidR="00E62F12" w:rsidRPr="00E62F12">
        <w:rPr>
          <w:rFonts w:asciiTheme="minorHAnsi" w:hAnsiTheme="minorHAnsi"/>
          <w:b/>
          <w:sz w:val="22"/>
          <w:szCs w:val="22"/>
          <w:lang w:val="fr-FR"/>
        </w:rPr>
        <w:t xml:space="preserve"> à des doses supérieures à 20 mg/jour et de l'</w:t>
      </w:r>
      <w:proofErr w:type="spellStart"/>
      <w:r w:rsidR="00E62F12" w:rsidRPr="00E62F12">
        <w:rPr>
          <w:rFonts w:asciiTheme="minorHAnsi" w:hAnsiTheme="minorHAnsi"/>
          <w:b/>
          <w:sz w:val="22"/>
          <w:szCs w:val="22"/>
          <w:lang w:val="fr-FR"/>
        </w:rPr>
        <w:t>escitalopram</w:t>
      </w:r>
      <w:proofErr w:type="spellEnd"/>
      <w:r w:rsidR="00E62F12" w:rsidRPr="00E62F12">
        <w:rPr>
          <w:rFonts w:asciiTheme="minorHAnsi" w:hAnsiTheme="minorHAnsi"/>
          <w:b/>
          <w:sz w:val="22"/>
          <w:szCs w:val="22"/>
          <w:lang w:val="fr-FR"/>
        </w:rPr>
        <w:t xml:space="preserve"> supérieure à 10 mg/jour chez </w:t>
      </w:r>
      <w:r w:rsidR="00E62F12">
        <w:rPr>
          <w:rFonts w:asciiTheme="minorHAnsi" w:hAnsiTheme="minorHAnsi"/>
          <w:b/>
          <w:sz w:val="22"/>
          <w:szCs w:val="22"/>
          <w:lang w:val="fr-FR"/>
        </w:rPr>
        <w:t>les personnes</w:t>
      </w:r>
      <w:r w:rsidR="00E62F12" w:rsidRPr="00E62F12">
        <w:rPr>
          <w:rFonts w:asciiTheme="minorHAnsi" w:hAnsiTheme="minorHAnsi"/>
          <w:b/>
          <w:sz w:val="22"/>
          <w:szCs w:val="22"/>
          <w:lang w:val="fr-FR"/>
        </w:rPr>
        <w:t xml:space="preserve"> âgé</w:t>
      </w:r>
      <w:r w:rsidR="00E62F12">
        <w:rPr>
          <w:rFonts w:asciiTheme="minorHAnsi" w:hAnsiTheme="minorHAnsi"/>
          <w:b/>
          <w:sz w:val="22"/>
          <w:szCs w:val="22"/>
          <w:lang w:val="fr-FR"/>
        </w:rPr>
        <w:t>es</w:t>
      </w:r>
      <w:r w:rsidR="00E62F12" w:rsidRPr="00E62F12">
        <w:rPr>
          <w:rFonts w:asciiTheme="minorHAnsi" w:hAnsiTheme="minorHAnsi"/>
          <w:b/>
          <w:sz w:val="22"/>
          <w:szCs w:val="22"/>
          <w:lang w:val="fr-FR"/>
        </w:rPr>
        <w:t xml:space="preserve"> n'est pas appropriée (en raison du risque d'allongement de </w:t>
      </w:r>
      <w:proofErr w:type="spellStart"/>
      <w:r w:rsidR="00E62F12" w:rsidRPr="00E62F12">
        <w:rPr>
          <w:rFonts w:asciiTheme="minorHAnsi" w:hAnsiTheme="minorHAnsi"/>
          <w:b/>
          <w:sz w:val="22"/>
          <w:szCs w:val="22"/>
          <w:lang w:val="fr-FR"/>
        </w:rPr>
        <w:t>QTc</w:t>
      </w:r>
      <w:proofErr w:type="spellEnd"/>
      <w:r w:rsidR="00E62F12" w:rsidRPr="00E62F12">
        <w:rPr>
          <w:rFonts w:asciiTheme="minorHAnsi" w:hAnsiTheme="minorHAnsi"/>
          <w:b/>
          <w:sz w:val="22"/>
          <w:szCs w:val="22"/>
          <w:lang w:val="fr-FR"/>
        </w:rPr>
        <w:t>).</w:t>
      </w:r>
      <w:r w:rsidR="00E62F12">
        <w:rPr>
          <w:rFonts w:asciiTheme="minorHAnsi" w:hAnsiTheme="minorHAnsi"/>
          <w:b/>
          <w:sz w:val="22"/>
          <w:szCs w:val="22"/>
          <w:lang w:val="fr-FR"/>
        </w:rPr>
        <w:t xml:space="preserve"> </w:t>
      </w:r>
    </w:p>
    <w:p w14:paraId="30FADE91" w14:textId="77777777" w:rsidR="00E62F12" w:rsidRDefault="00E62F12" w:rsidP="0043334F">
      <w:pPr>
        <w:spacing w:before="100" w:beforeAutospacing="1" w:after="100" w:afterAutospacing="1"/>
        <w:contextualSpacing/>
        <w:jc w:val="both"/>
        <w:rPr>
          <w:rFonts w:asciiTheme="minorHAnsi" w:hAnsiTheme="minorHAnsi"/>
          <w:b/>
          <w:sz w:val="22"/>
          <w:szCs w:val="22"/>
          <w:lang w:val="fr-FR"/>
        </w:rPr>
      </w:pPr>
    </w:p>
    <w:p w14:paraId="660162CF" w14:textId="77777777" w:rsidR="00C846A1" w:rsidRPr="00E21AE0" w:rsidRDefault="00C846A1" w:rsidP="0043334F">
      <w:pPr>
        <w:spacing w:before="100" w:beforeAutospacing="1" w:after="100" w:afterAutospacing="1"/>
        <w:contextualSpacing/>
        <w:jc w:val="both"/>
        <w:rPr>
          <w:rFonts w:asciiTheme="minorHAnsi" w:hAnsiTheme="minorHAnsi"/>
          <w:sz w:val="22"/>
          <w:szCs w:val="22"/>
          <w:vertAlign w:val="superscript"/>
          <w:lang w:val="fr-FR"/>
        </w:rPr>
      </w:pPr>
    </w:p>
    <w:p w14:paraId="5E388600" w14:textId="61213B7A" w:rsidR="004816D3" w:rsidRPr="00E21AE0" w:rsidRDefault="00EE065C" w:rsidP="0043334F">
      <w:pPr>
        <w:spacing w:before="100" w:beforeAutospacing="1" w:after="100" w:afterAutospacing="1"/>
        <w:contextualSpacing/>
        <w:jc w:val="both"/>
        <w:rPr>
          <w:rFonts w:asciiTheme="minorHAnsi" w:hAnsiTheme="minorHAnsi"/>
          <w:b/>
          <w:sz w:val="28"/>
          <w:szCs w:val="28"/>
          <w:lang w:val="fr-FR"/>
        </w:rPr>
      </w:pPr>
      <w:proofErr w:type="gramStart"/>
      <w:r w:rsidRPr="00E21AE0">
        <w:rPr>
          <w:rFonts w:asciiTheme="minorHAnsi" w:hAnsiTheme="minorHAnsi"/>
          <w:b/>
          <w:sz w:val="28"/>
          <w:szCs w:val="28"/>
          <w:lang w:val="fr-FR"/>
        </w:rPr>
        <w:t>C:</w:t>
      </w:r>
      <w:proofErr w:type="gramEnd"/>
      <w:r w:rsidRPr="00E21AE0">
        <w:rPr>
          <w:rFonts w:asciiTheme="minorHAnsi" w:hAnsiTheme="minorHAnsi"/>
          <w:b/>
          <w:sz w:val="28"/>
          <w:szCs w:val="28"/>
          <w:lang w:val="fr-FR"/>
        </w:rPr>
        <w:t xml:space="preserve"> </w:t>
      </w:r>
      <w:r w:rsidR="00E62F12">
        <w:rPr>
          <w:rFonts w:asciiTheme="minorHAnsi" w:hAnsiTheme="minorHAnsi"/>
          <w:b/>
          <w:sz w:val="28"/>
          <w:szCs w:val="28"/>
          <w:lang w:val="fr-FR"/>
        </w:rPr>
        <w:t xml:space="preserve">Les critères du Système </w:t>
      </w:r>
      <w:proofErr w:type="spellStart"/>
      <w:r w:rsidR="00E62F12">
        <w:rPr>
          <w:rFonts w:asciiTheme="minorHAnsi" w:hAnsiTheme="minorHAnsi"/>
          <w:b/>
          <w:sz w:val="28"/>
          <w:szCs w:val="28"/>
          <w:lang w:val="fr-FR"/>
        </w:rPr>
        <w:t>gastrointestinal</w:t>
      </w:r>
      <w:proofErr w:type="spellEnd"/>
      <w:r w:rsidR="00E62F12">
        <w:rPr>
          <w:rFonts w:asciiTheme="minorHAnsi" w:hAnsiTheme="minorHAnsi"/>
          <w:b/>
          <w:sz w:val="28"/>
          <w:szCs w:val="28"/>
          <w:lang w:val="fr-FR"/>
        </w:rPr>
        <w:t xml:space="preserve">. </w:t>
      </w:r>
    </w:p>
    <w:p w14:paraId="39798FEF" w14:textId="77777777" w:rsidR="00EE065C" w:rsidRPr="00E21AE0" w:rsidRDefault="00EE065C" w:rsidP="0043334F">
      <w:pPr>
        <w:spacing w:before="100" w:beforeAutospacing="1" w:after="100" w:afterAutospacing="1"/>
        <w:contextualSpacing/>
        <w:jc w:val="both"/>
        <w:rPr>
          <w:rFonts w:asciiTheme="minorHAnsi" w:hAnsiTheme="minorHAnsi"/>
          <w:b/>
          <w:sz w:val="22"/>
          <w:szCs w:val="22"/>
          <w:lang w:val="fr-FR"/>
        </w:rPr>
      </w:pPr>
    </w:p>
    <w:p w14:paraId="41A79BE0" w14:textId="77777777" w:rsidR="005D469F" w:rsidRPr="00E21AE0" w:rsidRDefault="005D469F" w:rsidP="0043334F">
      <w:pPr>
        <w:spacing w:before="100" w:beforeAutospacing="1" w:after="100" w:afterAutospacing="1"/>
        <w:contextualSpacing/>
        <w:jc w:val="both"/>
        <w:rPr>
          <w:rFonts w:asciiTheme="minorHAnsi" w:hAnsiTheme="minorHAnsi"/>
          <w:b/>
          <w:sz w:val="22"/>
          <w:szCs w:val="22"/>
          <w:lang w:val="fr-FR"/>
        </w:rPr>
      </w:pPr>
    </w:p>
    <w:p w14:paraId="5613B0B2" w14:textId="591F91BA" w:rsidR="007A7469" w:rsidRPr="00E21AE0" w:rsidRDefault="007A7469" w:rsidP="0043334F">
      <w:pPr>
        <w:spacing w:before="100" w:beforeAutospacing="1" w:after="100" w:afterAutospacing="1"/>
        <w:contextualSpacing/>
        <w:jc w:val="both"/>
        <w:rPr>
          <w:rFonts w:asciiTheme="minorHAnsi" w:hAnsiTheme="minorHAnsi"/>
          <w:b/>
          <w:sz w:val="22"/>
          <w:szCs w:val="22"/>
          <w:lang w:val="fr-FR"/>
        </w:rPr>
      </w:pPr>
      <w:r w:rsidRPr="00E21AE0">
        <w:rPr>
          <w:rFonts w:asciiTheme="minorHAnsi" w:hAnsiTheme="minorHAnsi"/>
          <w:b/>
          <w:sz w:val="22"/>
          <w:szCs w:val="22"/>
          <w:lang w:val="fr-FR"/>
        </w:rPr>
        <w:t xml:space="preserve">C1. </w:t>
      </w:r>
      <w:r w:rsidR="00E62F12" w:rsidRPr="00E62F12">
        <w:rPr>
          <w:rFonts w:asciiTheme="minorHAnsi" w:hAnsiTheme="minorHAnsi"/>
          <w:b/>
          <w:sz w:val="22"/>
          <w:szCs w:val="22"/>
          <w:lang w:val="fr-FR"/>
        </w:rPr>
        <w:t>L'utilisation concomitante d'AINS et</w:t>
      </w:r>
      <w:r w:rsidR="00C645B6">
        <w:rPr>
          <w:rFonts w:asciiTheme="minorHAnsi" w:hAnsiTheme="minorHAnsi"/>
          <w:b/>
          <w:sz w:val="22"/>
          <w:szCs w:val="22"/>
          <w:lang w:val="fr-FR"/>
        </w:rPr>
        <w:t xml:space="preserve"> d'OAC</w:t>
      </w:r>
      <w:r w:rsidR="00E62F12" w:rsidRPr="00E62F12">
        <w:rPr>
          <w:rFonts w:asciiTheme="minorHAnsi" w:hAnsiTheme="minorHAnsi"/>
          <w:b/>
          <w:sz w:val="22"/>
          <w:szCs w:val="22"/>
          <w:lang w:val="fr-FR"/>
        </w:rPr>
        <w:t xml:space="preserve"> (antagonistes de la vitamine K, inhibiteurs directs de la thrombine, inhibiteurs du facteur </w:t>
      </w:r>
      <w:proofErr w:type="spellStart"/>
      <w:r w:rsidR="00E62F12" w:rsidRPr="00E62F12">
        <w:rPr>
          <w:rFonts w:asciiTheme="minorHAnsi" w:hAnsiTheme="minorHAnsi"/>
          <w:b/>
          <w:sz w:val="22"/>
          <w:szCs w:val="22"/>
          <w:lang w:val="fr-FR"/>
        </w:rPr>
        <w:t>Xa</w:t>
      </w:r>
      <w:proofErr w:type="spellEnd"/>
      <w:r w:rsidR="00E62F12" w:rsidRPr="00E62F12">
        <w:rPr>
          <w:rFonts w:asciiTheme="minorHAnsi" w:hAnsiTheme="minorHAnsi"/>
          <w:b/>
          <w:sz w:val="22"/>
          <w:szCs w:val="22"/>
          <w:lang w:val="fr-FR"/>
        </w:rPr>
        <w:t>) n'est pas appropriée (risque d'hémorragie gastro-intestinale)</w:t>
      </w:r>
      <w:r w:rsidR="00E62F12">
        <w:rPr>
          <w:rFonts w:asciiTheme="minorHAnsi" w:hAnsiTheme="minorHAnsi"/>
          <w:b/>
          <w:sz w:val="22"/>
          <w:szCs w:val="22"/>
          <w:lang w:val="fr-FR"/>
        </w:rPr>
        <w:t xml:space="preserve"> </w:t>
      </w:r>
    </w:p>
    <w:p w14:paraId="53ABB89D" w14:textId="77777777" w:rsidR="00C846A1" w:rsidRPr="00E21AE0" w:rsidRDefault="00C846A1" w:rsidP="0043334F">
      <w:pPr>
        <w:tabs>
          <w:tab w:val="left" w:pos="708"/>
        </w:tabs>
        <w:contextualSpacing/>
        <w:jc w:val="both"/>
        <w:rPr>
          <w:rFonts w:asciiTheme="minorHAnsi" w:hAnsiTheme="minorHAnsi" w:cstheme="minorHAnsi"/>
          <w:sz w:val="22"/>
          <w:szCs w:val="22"/>
          <w:lang w:val="fr-FR"/>
        </w:rPr>
      </w:pPr>
    </w:p>
    <w:p w14:paraId="0C06BB04" w14:textId="55ABBD00" w:rsidR="00C645B6" w:rsidRDefault="007A7469" w:rsidP="0043334F">
      <w:pPr>
        <w:tabs>
          <w:tab w:val="left" w:pos="708"/>
        </w:tabs>
        <w:contextualSpacing/>
        <w:jc w:val="both"/>
        <w:rPr>
          <w:rFonts w:asciiTheme="minorHAnsi" w:hAnsiTheme="minorHAnsi"/>
          <w:b/>
          <w:sz w:val="22"/>
          <w:szCs w:val="22"/>
          <w:lang w:val="fr-FR"/>
        </w:rPr>
      </w:pPr>
      <w:r w:rsidRPr="00E21AE0">
        <w:rPr>
          <w:rFonts w:asciiTheme="minorHAnsi" w:hAnsiTheme="minorHAnsi"/>
          <w:b/>
          <w:sz w:val="22"/>
          <w:szCs w:val="22"/>
          <w:lang w:val="fr-FR"/>
        </w:rPr>
        <w:t xml:space="preserve">C2. </w:t>
      </w:r>
      <w:r w:rsidR="00C645B6">
        <w:rPr>
          <w:rFonts w:asciiTheme="minorHAnsi" w:hAnsiTheme="minorHAnsi"/>
          <w:b/>
          <w:sz w:val="22"/>
          <w:szCs w:val="22"/>
          <w:lang w:val="fr-FR"/>
        </w:rPr>
        <w:t>L’utilisation d’a</w:t>
      </w:r>
      <w:r w:rsidR="00C645B6" w:rsidRPr="00C645B6">
        <w:rPr>
          <w:rFonts w:asciiTheme="minorHAnsi" w:hAnsiTheme="minorHAnsi"/>
          <w:b/>
          <w:sz w:val="22"/>
          <w:szCs w:val="22"/>
          <w:lang w:val="fr-FR"/>
        </w:rPr>
        <w:t xml:space="preserve">spirine, </w:t>
      </w:r>
      <w:r w:rsidR="00C645B6">
        <w:rPr>
          <w:rFonts w:asciiTheme="minorHAnsi" w:hAnsiTheme="minorHAnsi"/>
          <w:b/>
          <w:sz w:val="22"/>
          <w:szCs w:val="22"/>
          <w:lang w:val="fr-FR"/>
        </w:rPr>
        <w:t xml:space="preserve">de </w:t>
      </w:r>
      <w:proofErr w:type="spellStart"/>
      <w:r w:rsidR="00C645B6" w:rsidRPr="00C645B6">
        <w:rPr>
          <w:rFonts w:asciiTheme="minorHAnsi" w:hAnsiTheme="minorHAnsi"/>
          <w:b/>
          <w:sz w:val="22"/>
          <w:szCs w:val="22"/>
          <w:lang w:val="fr-FR"/>
        </w:rPr>
        <w:t>clopidogrel</w:t>
      </w:r>
      <w:proofErr w:type="spellEnd"/>
      <w:r w:rsidR="00C645B6" w:rsidRPr="00C645B6">
        <w:rPr>
          <w:rFonts w:asciiTheme="minorHAnsi" w:hAnsiTheme="minorHAnsi"/>
          <w:b/>
          <w:sz w:val="22"/>
          <w:szCs w:val="22"/>
          <w:lang w:val="fr-FR"/>
        </w:rPr>
        <w:t xml:space="preserve">, </w:t>
      </w:r>
      <w:r w:rsidR="00C645B6">
        <w:rPr>
          <w:rFonts w:asciiTheme="minorHAnsi" w:hAnsiTheme="minorHAnsi"/>
          <w:b/>
          <w:sz w:val="22"/>
          <w:szCs w:val="22"/>
          <w:lang w:val="fr-FR"/>
        </w:rPr>
        <w:t>d’</w:t>
      </w:r>
      <w:r w:rsidR="00C645B6" w:rsidRPr="00C645B6">
        <w:rPr>
          <w:rFonts w:asciiTheme="minorHAnsi" w:hAnsiTheme="minorHAnsi"/>
          <w:b/>
          <w:sz w:val="22"/>
          <w:szCs w:val="22"/>
          <w:lang w:val="fr-FR"/>
        </w:rPr>
        <w:t xml:space="preserve">AINS ou </w:t>
      </w:r>
      <w:r w:rsidR="00C645B6">
        <w:rPr>
          <w:rFonts w:asciiTheme="minorHAnsi" w:hAnsiTheme="minorHAnsi"/>
          <w:b/>
          <w:sz w:val="22"/>
          <w:szCs w:val="22"/>
          <w:lang w:val="fr-FR"/>
        </w:rPr>
        <w:t xml:space="preserve">de </w:t>
      </w:r>
      <w:r w:rsidR="00C645B6" w:rsidRPr="00C645B6">
        <w:rPr>
          <w:rFonts w:asciiTheme="minorHAnsi" w:hAnsiTheme="minorHAnsi"/>
          <w:b/>
          <w:sz w:val="22"/>
          <w:szCs w:val="22"/>
          <w:lang w:val="fr-FR"/>
        </w:rPr>
        <w:t xml:space="preserve">stéroïdes ; </w:t>
      </w:r>
      <w:r w:rsidR="00C645B6">
        <w:rPr>
          <w:rFonts w:asciiTheme="minorHAnsi" w:hAnsiTheme="minorHAnsi"/>
          <w:b/>
          <w:sz w:val="22"/>
          <w:szCs w:val="22"/>
          <w:lang w:val="fr-FR"/>
        </w:rPr>
        <w:t>n’est pas appropriée sans</w:t>
      </w:r>
      <w:r w:rsidR="00C645B6" w:rsidRPr="00C645B6">
        <w:rPr>
          <w:rFonts w:asciiTheme="minorHAnsi" w:hAnsiTheme="minorHAnsi"/>
          <w:b/>
          <w:sz w:val="22"/>
          <w:szCs w:val="22"/>
          <w:lang w:val="fr-FR"/>
        </w:rPr>
        <w:t xml:space="preserve"> IPP chez les patients ayant des antécédents d'ulcère, chez les patients recevant un traitement antiplaquettaire supplémentaire, chez les patients recevant des anticoagulants concomitants, chez les patients utilisant des stéroïdes et chez les patients présentant des symptômes de dyspepsie-RGO.</w:t>
      </w:r>
    </w:p>
    <w:p w14:paraId="575A02FC" w14:textId="77777777" w:rsidR="00C645B6" w:rsidRDefault="00C645B6" w:rsidP="0043334F">
      <w:pPr>
        <w:tabs>
          <w:tab w:val="left" w:pos="708"/>
        </w:tabs>
        <w:contextualSpacing/>
        <w:jc w:val="both"/>
        <w:rPr>
          <w:rFonts w:asciiTheme="minorHAnsi" w:hAnsiTheme="minorHAnsi"/>
          <w:b/>
          <w:sz w:val="22"/>
          <w:szCs w:val="22"/>
          <w:lang w:val="fr-FR"/>
        </w:rPr>
      </w:pPr>
    </w:p>
    <w:p w14:paraId="4249BFB0" w14:textId="77777777" w:rsidR="00C645B6" w:rsidRDefault="00C645B6" w:rsidP="0043334F">
      <w:pPr>
        <w:contextualSpacing/>
        <w:jc w:val="both"/>
        <w:rPr>
          <w:rFonts w:asciiTheme="minorHAnsi" w:hAnsiTheme="minorHAnsi"/>
          <w:i/>
          <w:sz w:val="22"/>
          <w:szCs w:val="22"/>
          <w:lang w:val="fr-FR"/>
        </w:rPr>
      </w:pPr>
      <w:r w:rsidRPr="00C645B6">
        <w:rPr>
          <w:rFonts w:asciiTheme="minorHAnsi" w:hAnsiTheme="minorHAnsi"/>
          <w:i/>
          <w:sz w:val="22"/>
          <w:szCs w:val="22"/>
          <w:lang w:val="fr-FR"/>
        </w:rPr>
        <w:t xml:space="preserve">*La dose recommandée d'IPP dans l'utilisation d'IPP pour la prophylaxie est la dose élevée d'IPP préférée une fois par jour sur le marché. </w:t>
      </w:r>
    </w:p>
    <w:p w14:paraId="46FF16E9" w14:textId="77777777" w:rsidR="00C645B6" w:rsidRDefault="00C645B6" w:rsidP="0043334F">
      <w:pPr>
        <w:contextualSpacing/>
        <w:jc w:val="both"/>
        <w:rPr>
          <w:rFonts w:asciiTheme="minorHAnsi" w:hAnsiTheme="minorHAnsi"/>
          <w:i/>
          <w:sz w:val="22"/>
          <w:szCs w:val="22"/>
          <w:lang w:val="fr-FR"/>
        </w:rPr>
      </w:pPr>
      <w:r w:rsidRPr="00C645B6">
        <w:rPr>
          <w:rFonts w:asciiTheme="minorHAnsi" w:hAnsiTheme="minorHAnsi"/>
          <w:i/>
          <w:sz w:val="22"/>
          <w:szCs w:val="22"/>
          <w:lang w:val="fr-FR"/>
        </w:rPr>
        <w:t xml:space="preserve">*En cas de comorbidité autre que la dyspepsie, il est approprié de continuer avec une dose élevée d'IPP. *En raison de la présence de dyspepsie accompagnant l'utilisation des médicaments ci-dessus, dans les cas d'indication d'IPP, il peut être approprié d'utiliser une dose élevée d'IPP pendant un certain temps et de diminuer </w:t>
      </w:r>
      <w:r>
        <w:rPr>
          <w:rFonts w:asciiTheme="minorHAnsi" w:hAnsiTheme="minorHAnsi"/>
          <w:i/>
          <w:sz w:val="22"/>
          <w:szCs w:val="22"/>
          <w:lang w:val="fr-FR"/>
        </w:rPr>
        <w:t xml:space="preserve">ensuite </w:t>
      </w:r>
      <w:r w:rsidRPr="00C645B6">
        <w:rPr>
          <w:rFonts w:asciiTheme="minorHAnsi" w:hAnsiTheme="minorHAnsi"/>
          <w:i/>
          <w:sz w:val="22"/>
          <w:szCs w:val="22"/>
          <w:lang w:val="fr-FR"/>
        </w:rPr>
        <w:t xml:space="preserve">à la dose d'IPP la plus faible </w:t>
      </w:r>
      <w:r>
        <w:rPr>
          <w:rFonts w:asciiTheme="minorHAnsi" w:hAnsiTheme="minorHAnsi"/>
          <w:i/>
          <w:sz w:val="22"/>
          <w:szCs w:val="22"/>
          <w:lang w:val="fr-FR"/>
        </w:rPr>
        <w:t>où</w:t>
      </w:r>
      <w:r w:rsidRPr="00C645B6">
        <w:rPr>
          <w:rFonts w:asciiTheme="minorHAnsi" w:hAnsiTheme="minorHAnsi"/>
          <w:i/>
          <w:sz w:val="22"/>
          <w:szCs w:val="22"/>
          <w:lang w:val="fr-FR"/>
        </w:rPr>
        <w:t xml:space="preserve"> les symptômes du patien</w:t>
      </w:r>
      <w:r>
        <w:rPr>
          <w:rFonts w:asciiTheme="minorHAnsi" w:hAnsiTheme="minorHAnsi"/>
          <w:i/>
          <w:sz w:val="22"/>
          <w:szCs w:val="22"/>
          <w:lang w:val="fr-FR"/>
        </w:rPr>
        <w:t xml:space="preserve">t ne se reproduisent pas. </w:t>
      </w:r>
    </w:p>
    <w:p w14:paraId="0FF22B62" w14:textId="77777777" w:rsidR="00C645B6" w:rsidRDefault="00C645B6" w:rsidP="0043334F">
      <w:pPr>
        <w:contextualSpacing/>
        <w:jc w:val="both"/>
        <w:rPr>
          <w:rFonts w:asciiTheme="minorHAnsi" w:hAnsiTheme="minorHAnsi"/>
          <w:i/>
          <w:sz w:val="22"/>
          <w:szCs w:val="22"/>
          <w:lang w:val="fr-FR"/>
        </w:rPr>
      </w:pPr>
      <w:r w:rsidRPr="00C645B6">
        <w:rPr>
          <w:rFonts w:asciiTheme="minorHAnsi" w:hAnsiTheme="minorHAnsi"/>
          <w:i/>
          <w:sz w:val="22"/>
          <w:szCs w:val="22"/>
          <w:lang w:val="fr-FR"/>
        </w:rPr>
        <w:t>* L'utilisation d'IPP est requise chez les personnes âgées qui utilisent des AINS chroniques. En cas d'utilisation chronique d'AINS chez les personnes âgées, un IPP/</w:t>
      </w:r>
      <w:proofErr w:type="spellStart"/>
      <w:r w:rsidRPr="00C645B6">
        <w:rPr>
          <w:rFonts w:asciiTheme="minorHAnsi" w:hAnsiTheme="minorHAnsi"/>
          <w:i/>
          <w:sz w:val="22"/>
          <w:szCs w:val="22"/>
          <w:lang w:val="fr-FR"/>
        </w:rPr>
        <w:t>misoprostol</w:t>
      </w:r>
      <w:proofErr w:type="spellEnd"/>
      <w:r w:rsidRPr="00C645B6">
        <w:rPr>
          <w:rFonts w:asciiTheme="minorHAnsi" w:hAnsiTheme="minorHAnsi"/>
          <w:i/>
          <w:sz w:val="22"/>
          <w:szCs w:val="22"/>
          <w:lang w:val="fr-FR"/>
        </w:rPr>
        <w:t xml:space="preserve"> doit être administré, même en l'absence des facteurs de risque mentionnés ci-dessus. </w:t>
      </w:r>
    </w:p>
    <w:p w14:paraId="6A1B997A" w14:textId="77777777" w:rsidR="00C645B6" w:rsidRDefault="00C645B6" w:rsidP="0043334F">
      <w:pPr>
        <w:contextualSpacing/>
        <w:jc w:val="both"/>
        <w:rPr>
          <w:rFonts w:asciiTheme="minorHAnsi" w:hAnsiTheme="minorHAnsi"/>
          <w:i/>
          <w:sz w:val="22"/>
          <w:szCs w:val="22"/>
          <w:lang w:val="fr-FR"/>
        </w:rPr>
      </w:pPr>
      <w:r w:rsidRPr="00C645B6">
        <w:rPr>
          <w:rFonts w:asciiTheme="minorHAnsi" w:hAnsiTheme="minorHAnsi"/>
          <w:i/>
          <w:sz w:val="22"/>
          <w:szCs w:val="22"/>
          <w:lang w:val="fr-FR"/>
        </w:rPr>
        <w:t xml:space="preserve">*Chez les personnes âgées utilisant des AINS à court terme, il peut être approprié de donner des IPP concomitants même si les facteurs de risque ci-dessus ne sont pas présents. </w:t>
      </w:r>
    </w:p>
    <w:p w14:paraId="6DDA315D" w14:textId="77777777" w:rsidR="00C645B6" w:rsidRDefault="00C645B6" w:rsidP="0043334F">
      <w:pPr>
        <w:contextualSpacing/>
        <w:jc w:val="both"/>
        <w:rPr>
          <w:rFonts w:asciiTheme="minorHAnsi" w:hAnsiTheme="minorHAnsi"/>
          <w:i/>
          <w:sz w:val="22"/>
          <w:szCs w:val="22"/>
          <w:lang w:val="fr-FR"/>
        </w:rPr>
      </w:pPr>
      <w:r w:rsidRPr="00C645B6">
        <w:rPr>
          <w:rFonts w:asciiTheme="minorHAnsi" w:hAnsiTheme="minorHAnsi"/>
          <w:i/>
          <w:sz w:val="22"/>
          <w:szCs w:val="22"/>
          <w:lang w:val="fr-FR"/>
        </w:rPr>
        <w:t xml:space="preserve">*Chez les personnes âgées utilisant des doses </w:t>
      </w:r>
      <w:proofErr w:type="spellStart"/>
      <w:r w:rsidRPr="00C645B6">
        <w:rPr>
          <w:rFonts w:asciiTheme="minorHAnsi" w:hAnsiTheme="minorHAnsi"/>
          <w:i/>
          <w:sz w:val="22"/>
          <w:szCs w:val="22"/>
          <w:lang w:val="fr-FR"/>
        </w:rPr>
        <w:t>antiagrégantes</w:t>
      </w:r>
      <w:proofErr w:type="spellEnd"/>
      <w:r w:rsidRPr="00C645B6">
        <w:rPr>
          <w:rFonts w:asciiTheme="minorHAnsi" w:hAnsiTheme="minorHAnsi"/>
          <w:i/>
          <w:sz w:val="22"/>
          <w:szCs w:val="22"/>
          <w:lang w:val="fr-FR"/>
        </w:rPr>
        <w:t xml:space="preserve"> d'aspirine ou de </w:t>
      </w:r>
      <w:proofErr w:type="spellStart"/>
      <w:r w:rsidRPr="00C645B6">
        <w:rPr>
          <w:rFonts w:asciiTheme="minorHAnsi" w:hAnsiTheme="minorHAnsi"/>
          <w:i/>
          <w:sz w:val="22"/>
          <w:szCs w:val="22"/>
          <w:lang w:val="fr-FR"/>
        </w:rPr>
        <w:t>clopidogrel</w:t>
      </w:r>
      <w:proofErr w:type="spellEnd"/>
      <w:r w:rsidRPr="00C645B6">
        <w:rPr>
          <w:rFonts w:asciiTheme="minorHAnsi" w:hAnsiTheme="minorHAnsi"/>
          <w:i/>
          <w:sz w:val="22"/>
          <w:szCs w:val="22"/>
          <w:lang w:val="fr-FR"/>
        </w:rPr>
        <w:t xml:space="preserve"> seuls, l'utilisation d'IPP n'est probablement pas nécessaire si aucun des facteurs de risque ci-dessus n'est présent. </w:t>
      </w:r>
    </w:p>
    <w:p w14:paraId="5494DA0A" w14:textId="77777777" w:rsidR="00C645B6" w:rsidRDefault="00C645B6" w:rsidP="0043334F">
      <w:pPr>
        <w:contextualSpacing/>
        <w:jc w:val="both"/>
        <w:rPr>
          <w:rFonts w:asciiTheme="minorHAnsi" w:hAnsiTheme="minorHAnsi"/>
          <w:i/>
          <w:sz w:val="22"/>
          <w:szCs w:val="22"/>
          <w:lang w:val="fr-FR"/>
        </w:rPr>
      </w:pPr>
      <w:r w:rsidRPr="00C645B6">
        <w:rPr>
          <w:rFonts w:asciiTheme="minorHAnsi" w:hAnsiTheme="minorHAnsi"/>
          <w:i/>
          <w:sz w:val="22"/>
          <w:szCs w:val="22"/>
          <w:lang w:val="fr-FR"/>
        </w:rPr>
        <w:t xml:space="preserve">*Des études montrent que l'efficacité des IPP est réduite lorsqu'ils sont utilisés avec le </w:t>
      </w:r>
      <w:proofErr w:type="spellStart"/>
      <w:r w:rsidRPr="00C645B6">
        <w:rPr>
          <w:rFonts w:asciiTheme="minorHAnsi" w:hAnsiTheme="minorHAnsi"/>
          <w:i/>
          <w:sz w:val="22"/>
          <w:szCs w:val="22"/>
          <w:lang w:val="fr-FR"/>
        </w:rPr>
        <w:t>clopidogrel</w:t>
      </w:r>
      <w:proofErr w:type="spellEnd"/>
      <w:r w:rsidRPr="00C645B6">
        <w:rPr>
          <w:rFonts w:asciiTheme="minorHAnsi" w:hAnsiTheme="minorHAnsi"/>
          <w:i/>
          <w:sz w:val="22"/>
          <w:szCs w:val="22"/>
          <w:lang w:val="fr-FR"/>
        </w:rPr>
        <w:t xml:space="preserve">. Cependant, aucune recommandation claire ne peut être faite à cet égard. </w:t>
      </w:r>
    </w:p>
    <w:p w14:paraId="05288973" w14:textId="77777777" w:rsidR="00C645B6" w:rsidRDefault="00C645B6" w:rsidP="0043334F">
      <w:pPr>
        <w:contextualSpacing/>
        <w:jc w:val="both"/>
        <w:rPr>
          <w:rFonts w:asciiTheme="minorHAnsi" w:hAnsiTheme="minorHAnsi"/>
          <w:i/>
          <w:sz w:val="22"/>
          <w:szCs w:val="22"/>
          <w:lang w:val="fr-FR"/>
        </w:rPr>
      </w:pPr>
      <w:r w:rsidRPr="00C645B6">
        <w:rPr>
          <w:rFonts w:asciiTheme="minorHAnsi" w:hAnsiTheme="minorHAnsi"/>
          <w:i/>
          <w:sz w:val="22"/>
          <w:szCs w:val="22"/>
          <w:lang w:val="fr-FR"/>
        </w:rPr>
        <w:t xml:space="preserve">*S'il existe une indication pour l'utilisation d'IPP chez les patients utilisant la </w:t>
      </w:r>
      <w:proofErr w:type="spellStart"/>
      <w:r w:rsidRPr="00C645B6">
        <w:rPr>
          <w:rFonts w:asciiTheme="minorHAnsi" w:hAnsiTheme="minorHAnsi"/>
          <w:i/>
          <w:sz w:val="22"/>
          <w:szCs w:val="22"/>
          <w:lang w:val="fr-FR"/>
        </w:rPr>
        <w:t>warfarine</w:t>
      </w:r>
      <w:proofErr w:type="spellEnd"/>
      <w:r w:rsidRPr="00C645B6">
        <w:rPr>
          <w:rFonts w:asciiTheme="minorHAnsi" w:hAnsiTheme="minorHAnsi"/>
          <w:i/>
          <w:sz w:val="22"/>
          <w:szCs w:val="22"/>
          <w:lang w:val="fr-FR"/>
        </w:rPr>
        <w:t>, un IPP autre que l'</w:t>
      </w:r>
      <w:proofErr w:type="spellStart"/>
      <w:r w:rsidRPr="00C645B6">
        <w:rPr>
          <w:rFonts w:asciiTheme="minorHAnsi" w:hAnsiTheme="minorHAnsi"/>
          <w:i/>
          <w:sz w:val="22"/>
          <w:szCs w:val="22"/>
          <w:lang w:val="fr-FR"/>
        </w:rPr>
        <w:t>oméprazole</w:t>
      </w:r>
      <w:proofErr w:type="spellEnd"/>
      <w:r w:rsidRPr="00C645B6">
        <w:rPr>
          <w:rFonts w:asciiTheme="minorHAnsi" w:hAnsiTheme="minorHAnsi"/>
          <w:i/>
          <w:sz w:val="22"/>
          <w:szCs w:val="22"/>
          <w:lang w:val="fr-FR"/>
        </w:rPr>
        <w:t xml:space="preserve"> doit être préféré (l'</w:t>
      </w:r>
      <w:proofErr w:type="spellStart"/>
      <w:r w:rsidRPr="00C645B6">
        <w:rPr>
          <w:rFonts w:asciiTheme="minorHAnsi" w:hAnsiTheme="minorHAnsi"/>
          <w:i/>
          <w:sz w:val="22"/>
          <w:szCs w:val="22"/>
          <w:lang w:val="fr-FR"/>
        </w:rPr>
        <w:t>oméprazole</w:t>
      </w:r>
      <w:proofErr w:type="spellEnd"/>
      <w:r w:rsidRPr="00C645B6">
        <w:rPr>
          <w:rFonts w:asciiTheme="minorHAnsi" w:hAnsiTheme="minorHAnsi"/>
          <w:i/>
          <w:sz w:val="22"/>
          <w:szCs w:val="22"/>
          <w:lang w:val="fr-FR"/>
        </w:rPr>
        <w:t xml:space="preserve"> augmente le taux de </w:t>
      </w:r>
      <w:proofErr w:type="spellStart"/>
      <w:r w:rsidRPr="00C645B6">
        <w:rPr>
          <w:rFonts w:asciiTheme="minorHAnsi" w:hAnsiTheme="minorHAnsi"/>
          <w:i/>
          <w:sz w:val="22"/>
          <w:szCs w:val="22"/>
          <w:lang w:val="fr-FR"/>
        </w:rPr>
        <w:t>warfarine</w:t>
      </w:r>
      <w:proofErr w:type="spellEnd"/>
      <w:r w:rsidRPr="00C645B6">
        <w:rPr>
          <w:rFonts w:asciiTheme="minorHAnsi" w:hAnsiTheme="minorHAnsi"/>
          <w:i/>
          <w:sz w:val="22"/>
          <w:szCs w:val="22"/>
          <w:lang w:val="fr-FR"/>
        </w:rPr>
        <w:t xml:space="preserve">). </w:t>
      </w:r>
    </w:p>
    <w:p w14:paraId="0301F72E" w14:textId="6D7D90CA" w:rsidR="00C645B6" w:rsidRDefault="00C645B6" w:rsidP="0043334F">
      <w:pPr>
        <w:contextualSpacing/>
        <w:jc w:val="both"/>
        <w:rPr>
          <w:rFonts w:asciiTheme="minorHAnsi" w:hAnsiTheme="minorHAnsi"/>
          <w:i/>
          <w:sz w:val="22"/>
          <w:szCs w:val="22"/>
          <w:lang w:val="fr-FR"/>
        </w:rPr>
      </w:pPr>
      <w:r w:rsidRPr="00C645B6">
        <w:rPr>
          <w:rFonts w:asciiTheme="minorHAnsi" w:hAnsiTheme="minorHAnsi"/>
          <w:i/>
          <w:sz w:val="22"/>
          <w:szCs w:val="22"/>
          <w:lang w:val="fr-FR"/>
        </w:rPr>
        <w:lastRenderedPageBreak/>
        <w:t xml:space="preserve">* Le </w:t>
      </w:r>
      <w:proofErr w:type="spellStart"/>
      <w:r w:rsidRPr="00C645B6">
        <w:rPr>
          <w:rFonts w:asciiTheme="minorHAnsi" w:hAnsiTheme="minorHAnsi"/>
          <w:i/>
          <w:sz w:val="22"/>
          <w:szCs w:val="22"/>
          <w:lang w:val="fr-FR"/>
        </w:rPr>
        <w:t>misoprostol</w:t>
      </w:r>
      <w:proofErr w:type="spellEnd"/>
      <w:r w:rsidRPr="00C645B6">
        <w:rPr>
          <w:rFonts w:asciiTheme="minorHAnsi" w:hAnsiTheme="minorHAnsi"/>
          <w:i/>
          <w:sz w:val="22"/>
          <w:szCs w:val="22"/>
          <w:lang w:val="fr-FR"/>
        </w:rPr>
        <w:t xml:space="preserve"> ou les inhibiteurs des récepteurs H2 à forte dose peuvent également être préférés au traitement par IPP.</w:t>
      </w:r>
    </w:p>
    <w:p w14:paraId="69BFD4DC" w14:textId="77777777" w:rsidR="00C846A1" w:rsidRPr="00E21AE0" w:rsidRDefault="00C846A1" w:rsidP="0043334F">
      <w:pPr>
        <w:contextualSpacing/>
        <w:rPr>
          <w:rFonts w:asciiTheme="minorHAnsi" w:hAnsiTheme="minorHAnsi" w:cstheme="minorHAnsi"/>
          <w:sz w:val="22"/>
          <w:szCs w:val="22"/>
          <w:lang w:val="fr-FR" w:eastAsia="en-GB"/>
        </w:rPr>
      </w:pPr>
    </w:p>
    <w:p w14:paraId="510A3ACF" w14:textId="2E55F7E6" w:rsidR="00DA0EEB" w:rsidRDefault="00E66E29" w:rsidP="0043334F">
      <w:pPr>
        <w:spacing w:before="100" w:beforeAutospacing="1"/>
        <w:contextualSpacing/>
        <w:jc w:val="both"/>
        <w:rPr>
          <w:rFonts w:asciiTheme="minorHAnsi" w:hAnsiTheme="minorHAnsi"/>
          <w:b/>
          <w:sz w:val="22"/>
          <w:szCs w:val="22"/>
          <w:lang w:val="fr-FR"/>
        </w:rPr>
      </w:pPr>
      <w:r w:rsidRPr="00E21AE0">
        <w:rPr>
          <w:rFonts w:ascii="Calibri" w:hAnsi="Calibri" w:cs="Calibri"/>
          <w:b/>
          <w:sz w:val="22"/>
          <w:szCs w:val="22"/>
          <w:lang w:val="fr-FR"/>
        </w:rPr>
        <w:t>#</w:t>
      </w:r>
      <w:r w:rsidR="007A7469" w:rsidRPr="00E21AE0">
        <w:rPr>
          <w:rFonts w:asciiTheme="minorHAnsi" w:hAnsiTheme="minorHAnsi"/>
          <w:b/>
          <w:sz w:val="22"/>
          <w:szCs w:val="22"/>
          <w:lang w:val="fr-FR"/>
        </w:rPr>
        <w:t xml:space="preserve">C3. </w:t>
      </w:r>
      <w:r w:rsidR="00DA0EEB" w:rsidRPr="00DA0EEB">
        <w:rPr>
          <w:rFonts w:asciiTheme="minorHAnsi" w:hAnsiTheme="minorHAnsi"/>
          <w:b/>
          <w:sz w:val="22"/>
          <w:szCs w:val="22"/>
          <w:lang w:val="fr-FR"/>
        </w:rPr>
        <w:t xml:space="preserve">Aspirine ou AINS ; Les patients ayant des antécédents d'ulcère </w:t>
      </w:r>
      <w:r w:rsidR="00DA0EEB">
        <w:rPr>
          <w:rFonts w:asciiTheme="minorHAnsi" w:hAnsiTheme="minorHAnsi"/>
          <w:b/>
          <w:sz w:val="22"/>
          <w:szCs w:val="22"/>
          <w:lang w:val="fr-FR"/>
        </w:rPr>
        <w:t>peptique</w:t>
      </w:r>
      <w:r w:rsidR="00DA0EEB" w:rsidRPr="00DA0EEB">
        <w:rPr>
          <w:rFonts w:asciiTheme="minorHAnsi" w:hAnsiTheme="minorHAnsi"/>
          <w:b/>
          <w:sz w:val="22"/>
          <w:szCs w:val="22"/>
          <w:lang w:val="fr-FR"/>
        </w:rPr>
        <w:t xml:space="preserve"> (compliqué ou non, gastrique ou duodénal) ne conviennent pas à une utilisation chronique sans dépistage d'Helicobacter </w:t>
      </w:r>
      <w:proofErr w:type="spellStart"/>
      <w:r w:rsidR="00DA0EEB" w:rsidRPr="00DA0EEB">
        <w:rPr>
          <w:rFonts w:asciiTheme="minorHAnsi" w:hAnsiTheme="minorHAnsi"/>
          <w:b/>
          <w:sz w:val="22"/>
          <w:szCs w:val="22"/>
          <w:lang w:val="fr-FR"/>
        </w:rPr>
        <w:t>pylori</w:t>
      </w:r>
      <w:proofErr w:type="spellEnd"/>
      <w:r w:rsidR="00DA0EEB" w:rsidRPr="00DA0EEB">
        <w:rPr>
          <w:rFonts w:asciiTheme="minorHAnsi" w:hAnsiTheme="minorHAnsi"/>
          <w:b/>
          <w:sz w:val="22"/>
          <w:szCs w:val="22"/>
          <w:lang w:val="fr-FR"/>
        </w:rPr>
        <w:t>.</w:t>
      </w:r>
    </w:p>
    <w:p w14:paraId="68F8E84C" w14:textId="6B204DB1" w:rsidR="00DA0EEB" w:rsidRDefault="00DA0EEB" w:rsidP="0043334F">
      <w:pPr>
        <w:contextualSpacing/>
        <w:jc w:val="both"/>
        <w:rPr>
          <w:rFonts w:asciiTheme="minorHAnsi" w:hAnsiTheme="minorHAnsi"/>
          <w:i/>
          <w:sz w:val="22"/>
          <w:szCs w:val="22"/>
          <w:lang w:val="fr-FR"/>
        </w:rPr>
      </w:pPr>
      <w:r w:rsidRPr="00DA0EEB">
        <w:rPr>
          <w:rFonts w:asciiTheme="minorHAnsi" w:hAnsiTheme="minorHAnsi"/>
          <w:i/>
          <w:sz w:val="22"/>
          <w:szCs w:val="22"/>
          <w:lang w:val="fr-FR"/>
        </w:rPr>
        <w:t>*</w:t>
      </w:r>
      <w:r>
        <w:rPr>
          <w:rFonts w:asciiTheme="minorHAnsi" w:hAnsiTheme="minorHAnsi"/>
          <w:i/>
          <w:sz w:val="22"/>
          <w:szCs w:val="22"/>
          <w:lang w:val="fr-FR"/>
        </w:rPr>
        <w:t xml:space="preserve">Si le </w:t>
      </w:r>
      <w:r w:rsidRPr="00DA0EEB">
        <w:rPr>
          <w:rFonts w:asciiTheme="minorHAnsi" w:hAnsiTheme="minorHAnsi"/>
          <w:i/>
          <w:sz w:val="22"/>
          <w:szCs w:val="22"/>
          <w:lang w:val="fr-FR"/>
        </w:rPr>
        <w:t xml:space="preserve">H. </w:t>
      </w:r>
      <w:proofErr w:type="spellStart"/>
      <w:r w:rsidRPr="00DA0EEB">
        <w:rPr>
          <w:rFonts w:asciiTheme="minorHAnsi" w:hAnsiTheme="minorHAnsi"/>
          <w:i/>
          <w:sz w:val="22"/>
          <w:szCs w:val="22"/>
          <w:lang w:val="fr-FR"/>
        </w:rPr>
        <w:t>pylori</w:t>
      </w:r>
      <w:proofErr w:type="spellEnd"/>
      <w:r w:rsidRPr="00DA0EEB">
        <w:rPr>
          <w:rFonts w:asciiTheme="minorHAnsi" w:hAnsiTheme="minorHAnsi"/>
          <w:i/>
          <w:sz w:val="22"/>
          <w:szCs w:val="22"/>
          <w:lang w:val="fr-FR"/>
        </w:rPr>
        <w:t xml:space="preserve"> (+) est détecté, un traitement d'éradication doit être administré. </w:t>
      </w:r>
    </w:p>
    <w:p w14:paraId="560BD7C8" w14:textId="77777777" w:rsidR="00DA0EEB" w:rsidRDefault="00DA0EEB" w:rsidP="0043334F">
      <w:pPr>
        <w:contextualSpacing/>
        <w:jc w:val="both"/>
        <w:rPr>
          <w:rFonts w:asciiTheme="minorHAnsi" w:hAnsiTheme="minorHAnsi"/>
          <w:i/>
          <w:sz w:val="22"/>
          <w:szCs w:val="22"/>
          <w:lang w:val="fr-FR"/>
        </w:rPr>
      </w:pPr>
      <w:r w:rsidRPr="00DA0EEB">
        <w:rPr>
          <w:rFonts w:asciiTheme="minorHAnsi" w:hAnsiTheme="minorHAnsi"/>
          <w:i/>
          <w:sz w:val="22"/>
          <w:szCs w:val="22"/>
          <w:lang w:val="fr-FR"/>
        </w:rPr>
        <w:t xml:space="preserve">*Si le patient prend de l'aspirine/des AINS depuis un certain temps, le bénéfice attendu du traitement d'éradication de H. </w:t>
      </w:r>
      <w:proofErr w:type="spellStart"/>
      <w:r w:rsidRPr="00DA0EEB">
        <w:rPr>
          <w:rFonts w:asciiTheme="minorHAnsi" w:hAnsiTheme="minorHAnsi"/>
          <w:i/>
          <w:sz w:val="22"/>
          <w:szCs w:val="22"/>
          <w:lang w:val="fr-FR"/>
        </w:rPr>
        <w:t>pylori</w:t>
      </w:r>
      <w:proofErr w:type="spellEnd"/>
      <w:r w:rsidRPr="00DA0EEB">
        <w:rPr>
          <w:rFonts w:asciiTheme="minorHAnsi" w:hAnsiTheme="minorHAnsi"/>
          <w:i/>
          <w:sz w:val="22"/>
          <w:szCs w:val="22"/>
          <w:lang w:val="fr-FR"/>
        </w:rPr>
        <w:t xml:space="preserve"> est faible, mais l'éradication est généralement préférée si elle est dépistée et jugée positive en pratique. </w:t>
      </w:r>
    </w:p>
    <w:p w14:paraId="3A34F584" w14:textId="3757647C" w:rsidR="00DA0EEB" w:rsidRDefault="00DA0EEB" w:rsidP="0043334F">
      <w:pPr>
        <w:contextualSpacing/>
        <w:jc w:val="both"/>
        <w:rPr>
          <w:rFonts w:asciiTheme="minorHAnsi" w:hAnsiTheme="minorHAnsi"/>
          <w:i/>
          <w:sz w:val="22"/>
          <w:szCs w:val="22"/>
          <w:lang w:val="fr-FR"/>
        </w:rPr>
      </w:pPr>
      <w:r w:rsidRPr="00DA0EEB">
        <w:rPr>
          <w:rFonts w:asciiTheme="minorHAnsi" w:hAnsiTheme="minorHAnsi"/>
          <w:i/>
          <w:sz w:val="22"/>
          <w:szCs w:val="22"/>
          <w:lang w:val="fr-FR"/>
        </w:rPr>
        <w:t xml:space="preserve">*Dans les populations à forte prévalence de </w:t>
      </w:r>
      <w:r>
        <w:rPr>
          <w:rFonts w:asciiTheme="minorHAnsi" w:hAnsiTheme="minorHAnsi"/>
          <w:i/>
          <w:sz w:val="22"/>
          <w:szCs w:val="22"/>
          <w:lang w:val="fr-FR"/>
        </w:rPr>
        <w:t xml:space="preserve">H. </w:t>
      </w:r>
      <w:proofErr w:type="spellStart"/>
      <w:r w:rsidRPr="00DA0EEB">
        <w:rPr>
          <w:rFonts w:asciiTheme="minorHAnsi" w:hAnsiTheme="minorHAnsi"/>
          <w:i/>
          <w:sz w:val="22"/>
          <w:szCs w:val="22"/>
          <w:lang w:val="fr-FR"/>
        </w:rPr>
        <w:t>pylori</w:t>
      </w:r>
      <w:proofErr w:type="spellEnd"/>
      <w:r w:rsidRPr="00DA0EEB">
        <w:rPr>
          <w:rFonts w:asciiTheme="minorHAnsi" w:hAnsiTheme="minorHAnsi"/>
          <w:i/>
          <w:sz w:val="22"/>
          <w:szCs w:val="22"/>
          <w:lang w:val="fr-FR"/>
        </w:rPr>
        <w:t xml:space="preserve">, une approche de « test-traitement » peut être appropriée pour </w:t>
      </w:r>
      <w:r>
        <w:rPr>
          <w:rFonts w:asciiTheme="minorHAnsi" w:hAnsiTheme="minorHAnsi"/>
          <w:i/>
          <w:sz w:val="22"/>
          <w:szCs w:val="22"/>
          <w:lang w:val="fr-FR"/>
        </w:rPr>
        <w:t xml:space="preserve">le </w:t>
      </w:r>
      <w:r w:rsidRPr="00DA0EEB">
        <w:rPr>
          <w:rFonts w:asciiTheme="minorHAnsi" w:hAnsiTheme="minorHAnsi"/>
          <w:i/>
          <w:sz w:val="22"/>
          <w:szCs w:val="22"/>
          <w:lang w:val="fr-FR"/>
        </w:rPr>
        <w:t xml:space="preserve">H. </w:t>
      </w:r>
      <w:proofErr w:type="spellStart"/>
      <w:r w:rsidRPr="00DA0EEB">
        <w:rPr>
          <w:rFonts w:asciiTheme="minorHAnsi" w:hAnsiTheme="minorHAnsi"/>
          <w:i/>
          <w:sz w:val="22"/>
          <w:szCs w:val="22"/>
          <w:lang w:val="fr-FR"/>
        </w:rPr>
        <w:t>pylori</w:t>
      </w:r>
      <w:proofErr w:type="spellEnd"/>
      <w:r w:rsidRPr="00DA0EEB">
        <w:rPr>
          <w:rFonts w:asciiTheme="minorHAnsi" w:hAnsiTheme="minorHAnsi"/>
          <w:i/>
          <w:sz w:val="22"/>
          <w:szCs w:val="22"/>
          <w:lang w:val="fr-FR"/>
        </w:rPr>
        <w:t xml:space="preserve"> avant de commencer l'utilisation chronique d'aspirine/AINS, même dans les cas sans antécédents d'ulcère gastroduodénal dans l'anamnèse. </w:t>
      </w:r>
    </w:p>
    <w:p w14:paraId="0165B9D6" w14:textId="5E212FD5" w:rsidR="00DA0EEB" w:rsidRDefault="00DA0EEB" w:rsidP="0043334F">
      <w:pPr>
        <w:contextualSpacing/>
        <w:jc w:val="both"/>
        <w:rPr>
          <w:rFonts w:asciiTheme="minorHAnsi" w:hAnsiTheme="minorHAnsi"/>
          <w:i/>
          <w:sz w:val="22"/>
          <w:szCs w:val="22"/>
          <w:lang w:val="fr-FR"/>
        </w:rPr>
      </w:pPr>
      <w:r w:rsidRPr="00DA0EEB">
        <w:rPr>
          <w:rFonts w:asciiTheme="minorHAnsi" w:hAnsiTheme="minorHAnsi"/>
          <w:i/>
          <w:sz w:val="22"/>
          <w:szCs w:val="22"/>
          <w:lang w:val="fr-FR"/>
        </w:rPr>
        <w:t xml:space="preserve">*Chez les patients qui commenceront l'utilisation chronique de </w:t>
      </w:r>
      <w:proofErr w:type="spellStart"/>
      <w:r w:rsidRPr="00DA0EEB">
        <w:rPr>
          <w:rFonts w:asciiTheme="minorHAnsi" w:hAnsiTheme="minorHAnsi"/>
          <w:i/>
          <w:sz w:val="22"/>
          <w:szCs w:val="22"/>
          <w:lang w:val="fr-FR"/>
        </w:rPr>
        <w:t>clopidogrel</w:t>
      </w:r>
      <w:proofErr w:type="spellEnd"/>
      <w:r w:rsidRPr="00DA0EEB">
        <w:rPr>
          <w:rFonts w:asciiTheme="minorHAnsi" w:hAnsiTheme="minorHAnsi"/>
          <w:i/>
          <w:sz w:val="22"/>
          <w:szCs w:val="22"/>
          <w:lang w:val="fr-FR"/>
        </w:rPr>
        <w:t xml:space="preserve"> ; Même s'il existe un antécédent d'ulcère gastroduodénal (compliqué ou non, gastrique ou duodénal) dans l'anamnèse, le dépistage de H. </w:t>
      </w:r>
      <w:proofErr w:type="spellStart"/>
      <w:r w:rsidRPr="00DA0EEB">
        <w:rPr>
          <w:rFonts w:asciiTheme="minorHAnsi" w:hAnsiTheme="minorHAnsi"/>
          <w:i/>
          <w:sz w:val="22"/>
          <w:szCs w:val="22"/>
          <w:lang w:val="fr-FR"/>
        </w:rPr>
        <w:t>pylori</w:t>
      </w:r>
      <w:proofErr w:type="spellEnd"/>
      <w:r w:rsidRPr="00DA0EEB">
        <w:rPr>
          <w:rFonts w:asciiTheme="minorHAnsi" w:hAnsiTheme="minorHAnsi"/>
          <w:i/>
          <w:sz w:val="22"/>
          <w:szCs w:val="22"/>
          <w:lang w:val="fr-FR"/>
        </w:rPr>
        <w:t xml:space="preserve"> et/ou le traitement d'éradication de H. </w:t>
      </w:r>
      <w:proofErr w:type="spellStart"/>
      <w:r w:rsidRPr="00DA0EEB">
        <w:rPr>
          <w:rFonts w:asciiTheme="minorHAnsi" w:hAnsiTheme="minorHAnsi"/>
          <w:i/>
          <w:sz w:val="22"/>
          <w:szCs w:val="22"/>
          <w:lang w:val="fr-FR"/>
        </w:rPr>
        <w:t>pylori</w:t>
      </w:r>
      <w:proofErr w:type="spellEnd"/>
      <w:r w:rsidRPr="00DA0EEB">
        <w:rPr>
          <w:rFonts w:asciiTheme="minorHAnsi" w:hAnsiTheme="minorHAnsi"/>
          <w:i/>
          <w:sz w:val="22"/>
          <w:szCs w:val="22"/>
          <w:lang w:val="fr-FR"/>
        </w:rPr>
        <w:t xml:space="preserve"> ne sont pas recommandés (application théorique ou pratique).</w:t>
      </w:r>
    </w:p>
    <w:p w14:paraId="5B826B90" w14:textId="77777777" w:rsidR="00DA0EEB" w:rsidRDefault="00DA0EEB" w:rsidP="0043334F">
      <w:pPr>
        <w:contextualSpacing/>
        <w:jc w:val="both"/>
        <w:rPr>
          <w:rFonts w:asciiTheme="minorHAnsi" w:hAnsiTheme="minorHAnsi"/>
          <w:i/>
          <w:sz w:val="22"/>
          <w:szCs w:val="22"/>
          <w:lang w:val="fr-FR"/>
        </w:rPr>
      </w:pPr>
    </w:p>
    <w:p w14:paraId="6075E3F5" w14:textId="77777777" w:rsidR="0043334F" w:rsidRPr="00E21AE0" w:rsidRDefault="0043334F" w:rsidP="0043334F">
      <w:pPr>
        <w:contextualSpacing/>
        <w:jc w:val="both"/>
        <w:rPr>
          <w:rFonts w:asciiTheme="minorHAnsi" w:hAnsiTheme="minorHAnsi" w:cstheme="minorHAnsi"/>
          <w:color w:val="000000"/>
          <w:sz w:val="22"/>
          <w:szCs w:val="22"/>
          <w:lang w:val="fr-FR"/>
        </w:rPr>
      </w:pPr>
    </w:p>
    <w:p w14:paraId="003B1FCA" w14:textId="77777777" w:rsidR="00D51624" w:rsidRDefault="007A7469" w:rsidP="0043334F">
      <w:pPr>
        <w:contextualSpacing/>
        <w:jc w:val="both"/>
        <w:rPr>
          <w:rFonts w:asciiTheme="minorHAnsi" w:hAnsiTheme="minorHAnsi"/>
          <w:b/>
          <w:sz w:val="22"/>
          <w:szCs w:val="22"/>
          <w:lang w:val="fr-FR"/>
        </w:rPr>
      </w:pPr>
      <w:r w:rsidRPr="00E21AE0">
        <w:rPr>
          <w:rFonts w:asciiTheme="minorHAnsi" w:hAnsiTheme="minorHAnsi"/>
          <w:b/>
          <w:sz w:val="22"/>
          <w:szCs w:val="22"/>
          <w:lang w:val="fr-FR"/>
        </w:rPr>
        <w:t xml:space="preserve">C4. </w:t>
      </w:r>
      <w:r w:rsidR="00D51624" w:rsidRPr="00D51624">
        <w:rPr>
          <w:rFonts w:asciiTheme="minorHAnsi" w:hAnsiTheme="minorHAnsi"/>
          <w:b/>
          <w:sz w:val="22"/>
          <w:szCs w:val="22"/>
          <w:lang w:val="fr-FR"/>
        </w:rPr>
        <w:t>L'utilisation d'IPP à la dose thérapeutique complète pendant plus de 8 à 12 semaines n'est pas appropriée dans le traitement de l'ulcère gastroduodénal non compliqué ou de l'œsophagite peptique érosive (une réduction de la dose ou une interruption plus courte est indiquée).</w:t>
      </w:r>
      <w:r w:rsidR="00D51624">
        <w:rPr>
          <w:rFonts w:asciiTheme="minorHAnsi" w:hAnsiTheme="minorHAnsi"/>
          <w:b/>
          <w:sz w:val="22"/>
          <w:szCs w:val="22"/>
          <w:lang w:val="fr-FR"/>
        </w:rPr>
        <w:t xml:space="preserve"> </w:t>
      </w:r>
    </w:p>
    <w:p w14:paraId="0AC2B285" w14:textId="77777777" w:rsidR="009965F7" w:rsidRDefault="004D1BBD" w:rsidP="0043334F">
      <w:pPr>
        <w:pStyle w:val="NormalWeb"/>
        <w:spacing w:before="0" w:beforeAutospacing="0" w:after="0" w:afterAutospacing="0"/>
        <w:contextualSpacing/>
        <w:jc w:val="both"/>
        <w:rPr>
          <w:rFonts w:asciiTheme="minorHAnsi" w:hAnsiTheme="minorHAnsi"/>
          <w:i/>
          <w:color w:val="000000"/>
          <w:sz w:val="22"/>
          <w:szCs w:val="22"/>
          <w:lang w:val="fr-FR"/>
        </w:rPr>
      </w:pPr>
      <w:r w:rsidRPr="004D1BBD">
        <w:rPr>
          <w:rFonts w:asciiTheme="minorHAnsi" w:hAnsiTheme="minorHAnsi"/>
          <w:i/>
          <w:color w:val="000000"/>
          <w:sz w:val="22"/>
          <w:szCs w:val="22"/>
          <w:lang w:val="fr-FR"/>
        </w:rPr>
        <w:t xml:space="preserve">*La période de dosage thérapeutique de 8 à 12 semaines n'inclut pas la durée du traitement par IPP pour l'éradication de H. </w:t>
      </w:r>
      <w:proofErr w:type="spellStart"/>
      <w:r w:rsidRPr="004D1BBD">
        <w:rPr>
          <w:rFonts w:asciiTheme="minorHAnsi" w:hAnsiTheme="minorHAnsi"/>
          <w:i/>
          <w:color w:val="000000"/>
          <w:sz w:val="22"/>
          <w:szCs w:val="22"/>
          <w:lang w:val="fr-FR"/>
        </w:rPr>
        <w:t>pylori</w:t>
      </w:r>
      <w:proofErr w:type="spellEnd"/>
      <w:r w:rsidRPr="004D1BBD">
        <w:rPr>
          <w:rFonts w:asciiTheme="minorHAnsi" w:hAnsiTheme="minorHAnsi"/>
          <w:i/>
          <w:color w:val="000000"/>
          <w:sz w:val="22"/>
          <w:szCs w:val="22"/>
          <w:lang w:val="fr-FR"/>
        </w:rPr>
        <w:t xml:space="preserve">. </w:t>
      </w:r>
    </w:p>
    <w:p w14:paraId="773E9A8B" w14:textId="00907A9F" w:rsidR="004D1BBD" w:rsidRDefault="004D1BBD" w:rsidP="0043334F">
      <w:pPr>
        <w:pStyle w:val="NormalWeb"/>
        <w:spacing w:before="0" w:beforeAutospacing="0" w:after="0" w:afterAutospacing="0"/>
        <w:contextualSpacing/>
        <w:jc w:val="both"/>
        <w:rPr>
          <w:rFonts w:asciiTheme="minorHAnsi" w:hAnsiTheme="minorHAnsi"/>
          <w:i/>
          <w:color w:val="000000"/>
          <w:sz w:val="22"/>
          <w:szCs w:val="22"/>
          <w:lang w:val="fr-FR"/>
        </w:rPr>
      </w:pPr>
      <w:r w:rsidRPr="004D1BBD">
        <w:rPr>
          <w:rFonts w:asciiTheme="minorHAnsi" w:hAnsiTheme="minorHAnsi"/>
          <w:i/>
          <w:color w:val="000000"/>
          <w:sz w:val="22"/>
          <w:szCs w:val="22"/>
          <w:lang w:val="fr-FR"/>
        </w:rPr>
        <w:t xml:space="preserve">*Afin d'éviter l'effet rebond pendant la </w:t>
      </w:r>
      <w:r w:rsidR="00864885">
        <w:rPr>
          <w:rFonts w:asciiTheme="minorHAnsi" w:hAnsiTheme="minorHAnsi"/>
          <w:i/>
          <w:color w:val="000000"/>
          <w:sz w:val="22"/>
          <w:szCs w:val="22"/>
          <w:lang w:val="fr-FR"/>
        </w:rPr>
        <w:t xml:space="preserve">période d'arrêt, il convient d’interrompre </w:t>
      </w:r>
      <w:r w:rsidRPr="004D1BBD">
        <w:rPr>
          <w:rFonts w:asciiTheme="minorHAnsi" w:hAnsiTheme="minorHAnsi"/>
          <w:i/>
          <w:color w:val="000000"/>
          <w:sz w:val="22"/>
          <w:szCs w:val="22"/>
          <w:lang w:val="fr-FR"/>
        </w:rPr>
        <w:t>les IPP en les diminuant. (</w:t>
      </w:r>
      <w:proofErr w:type="gramStart"/>
      <w:r w:rsidRPr="004D1BBD">
        <w:rPr>
          <w:rFonts w:asciiTheme="minorHAnsi" w:hAnsiTheme="minorHAnsi"/>
          <w:i/>
          <w:color w:val="000000"/>
          <w:sz w:val="22"/>
          <w:szCs w:val="22"/>
          <w:lang w:val="fr-FR"/>
        </w:rPr>
        <w:t>par</w:t>
      </w:r>
      <w:proofErr w:type="gramEnd"/>
      <w:r w:rsidRPr="004D1BBD">
        <w:rPr>
          <w:rFonts w:asciiTheme="minorHAnsi" w:hAnsiTheme="minorHAnsi"/>
          <w:i/>
          <w:color w:val="000000"/>
          <w:sz w:val="22"/>
          <w:szCs w:val="22"/>
          <w:lang w:val="fr-FR"/>
        </w:rPr>
        <w:t xml:space="preserve"> exemple, demi-dose pendant 1 semaine, un jour sur deux pendant 1 semaine, puis arrêt)</w:t>
      </w:r>
    </w:p>
    <w:p w14:paraId="1E6FE7E5" w14:textId="77777777" w:rsidR="0043334F" w:rsidRPr="00E21AE0" w:rsidRDefault="0043334F" w:rsidP="0043334F">
      <w:pPr>
        <w:pStyle w:val="HTMLncedenBiimlendirilmi"/>
        <w:contextualSpacing/>
        <w:jc w:val="both"/>
        <w:rPr>
          <w:rFonts w:asciiTheme="minorHAnsi" w:hAnsiTheme="minorHAnsi" w:cs="Times New Roman"/>
          <w:b/>
          <w:color w:val="000000"/>
          <w:sz w:val="22"/>
          <w:szCs w:val="22"/>
          <w:lang w:val="fr-FR"/>
        </w:rPr>
      </w:pPr>
    </w:p>
    <w:p w14:paraId="30A7D4A3" w14:textId="77777777" w:rsidR="00135B8C" w:rsidRDefault="007A7469" w:rsidP="0043334F">
      <w:pPr>
        <w:pStyle w:val="HTMLncedenBiimlendirilmi"/>
        <w:contextualSpacing/>
        <w:jc w:val="both"/>
        <w:rPr>
          <w:rFonts w:asciiTheme="minorHAnsi" w:hAnsiTheme="minorHAnsi" w:cs="Times New Roman"/>
          <w:b/>
          <w:color w:val="000000"/>
          <w:sz w:val="22"/>
          <w:szCs w:val="22"/>
          <w:lang w:val="fr-FR"/>
        </w:rPr>
      </w:pPr>
      <w:r w:rsidRPr="00E21AE0">
        <w:rPr>
          <w:rFonts w:asciiTheme="minorHAnsi" w:hAnsiTheme="minorHAnsi" w:cs="Times New Roman"/>
          <w:b/>
          <w:color w:val="000000"/>
          <w:sz w:val="22"/>
          <w:szCs w:val="22"/>
          <w:lang w:val="fr-FR"/>
        </w:rPr>
        <w:t xml:space="preserve">C5. </w:t>
      </w:r>
      <w:r w:rsidR="00135B8C" w:rsidRPr="00135B8C">
        <w:rPr>
          <w:rFonts w:asciiTheme="minorHAnsi" w:hAnsiTheme="minorHAnsi" w:cs="Times New Roman"/>
          <w:b/>
          <w:color w:val="000000"/>
          <w:sz w:val="22"/>
          <w:szCs w:val="22"/>
          <w:lang w:val="fr-FR"/>
        </w:rPr>
        <w:t>L'utilisation d'IPP n'est pas appropriée en raison de l'utilisation de plusieurs médicaments (aucun avantage, danger potentiel)</w:t>
      </w:r>
    </w:p>
    <w:p w14:paraId="5416F690" w14:textId="59AC906F" w:rsidR="00EE2736" w:rsidRPr="007E6816" w:rsidRDefault="00EE2736" w:rsidP="0043334F">
      <w:pPr>
        <w:pStyle w:val="HTMLncedenBiimlendirilmi"/>
        <w:contextualSpacing/>
        <w:jc w:val="both"/>
        <w:rPr>
          <w:rFonts w:asciiTheme="minorHAnsi" w:hAnsiTheme="minorHAnsi" w:cs="Times New Roman"/>
          <w:i/>
          <w:color w:val="000000"/>
          <w:sz w:val="22"/>
          <w:szCs w:val="22"/>
          <w:lang w:val="fr-FR"/>
        </w:rPr>
      </w:pPr>
      <w:r w:rsidRPr="007E6816">
        <w:rPr>
          <w:rFonts w:asciiTheme="minorHAnsi" w:hAnsiTheme="minorHAnsi" w:cs="Times New Roman"/>
          <w:i/>
          <w:color w:val="000000"/>
          <w:sz w:val="22"/>
          <w:szCs w:val="22"/>
          <w:lang w:val="fr-FR"/>
        </w:rPr>
        <w:t>*Il n'y a pas d'indication de « plusieurs médicaments » parmi les indications d'utilisation des IPP. D'autre part, l'utilisation chronique d'IPP est un facteur de risque d'insuffisance rénale chronique, de fractures, d'augmentation du risque de démence, d'augmentation de la fréquence des infections à C. difficile, de carence en vitamine B12, d'</w:t>
      </w:r>
      <w:proofErr w:type="spellStart"/>
      <w:r w:rsidRPr="007E6816">
        <w:rPr>
          <w:rFonts w:asciiTheme="minorHAnsi" w:hAnsiTheme="minorHAnsi" w:cs="Times New Roman"/>
          <w:i/>
          <w:color w:val="000000"/>
          <w:sz w:val="22"/>
          <w:szCs w:val="22"/>
          <w:lang w:val="fr-FR"/>
        </w:rPr>
        <w:t>hypomagnésémie</w:t>
      </w:r>
      <w:proofErr w:type="spellEnd"/>
      <w:r w:rsidRPr="007E6816">
        <w:rPr>
          <w:rFonts w:asciiTheme="minorHAnsi" w:hAnsiTheme="minorHAnsi" w:cs="Times New Roman"/>
          <w:i/>
          <w:color w:val="000000"/>
          <w:sz w:val="22"/>
          <w:szCs w:val="22"/>
          <w:lang w:val="fr-FR"/>
        </w:rPr>
        <w:t>, d'infections entériques et de prolifération bactérienne.</w:t>
      </w:r>
    </w:p>
    <w:p w14:paraId="0A397E30" w14:textId="3C6A5605" w:rsidR="004973C1" w:rsidRDefault="007A7469" w:rsidP="0043334F">
      <w:pPr>
        <w:spacing w:before="100" w:beforeAutospacing="1" w:after="100" w:afterAutospacing="1"/>
        <w:contextualSpacing/>
        <w:jc w:val="both"/>
        <w:rPr>
          <w:rFonts w:asciiTheme="minorHAnsi" w:hAnsiTheme="minorHAnsi"/>
          <w:b/>
          <w:sz w:val="22"/>
          <w:szCs w:val="22"/>
          <w:shd w:val="clear" w:color="auto" w:fill="FFFFFF"/>
          <w:lang w:val="fr-FR"/>
        </w:rPr>
      </w:pPr>
      <w:r w:rsidRPr="00E21AE0">
        <w:rPr>
          <w:rFonts w:asciiTheme="minorHAnsi" w:hAnsiTheme="minorHAnsi"/>
          <w:b/>
          <w:sz w:val="22"/>
          <w:szCs w:val="22"/>
          <w:shd w:val="clear" w:color="auto" w:fill="FFFFFF"/>
          <w:lang w:val="fr-FR"/>
        </w:rPr>
        <w:t xml:space="preserve">C6. </w:t>
      </w:r>
      <w:r w:rsidR="004973C1" w:rsidRPr="004973C1">
        <w:rPr>
          <w:rFonts w:asciiTheme="minorHAnsi" w:hAnsiTheme="minorHAnsi"/>
          <w:b/>
          <w:sz w:val="22"/>
          <w:szCs w:val="22"/>
          <w:shd w:val="clear" w:color="auto" w:fill="FFFFFF"/>
          <w:lang w:val="fr-FR"/>
        </w:rPr>
        <w:t>L'utilisation d'antispasmodiques gastro-intestinaux anticholinergiques (par exemple l'</w:t>
      </w:r>
      <w:proofErr w:type="spellStart"/>
      <w:r w:rsidR="004973C1" w:rsidRPr="004973C1">
        <w:rPr>
          <w:rFonts w:asciiTheme="minorHAnsi" w:hAnsiTheme="minorHAnsi"/>
          <w:b/>
          <w:sz w:val="22"/>
          <w:szCs w:val="22"/>
          <w:shd w:val="clear" w:color="auto" w:fill="FFFFFF"/>
          <w:lang w:val="fr-FR"/>
        </w:rPr>
        <w:t>hyo</w:t>
      </w:r>
      <w:r w:rsidR="003E5FE8">
        <w:rPr>
          <w:rFonts w:asciiTheme="minorHAnsi" w:hAnsiTheme="minorHAnsi"/>
          <w:b/>
          <w:sz w:val="22"/>
          <w:szCs w:val="22"/>
          <w:shd w:val="clear" w:color="auto" w:fill="FFFFFF"/>
          <w:lang w:val="fr-FR"/>
        </w:rPr>
        <w:t>scyamine</w:t>
      </w:r>
      <w:proofErr w:type="spellEnd"/>
      <w:r w:rsidR="003E5FE8">
        <w:rPr>
          <w:rFonts w:asciiTheme="minorHAnsi" w:hAnsiTheme="minorHAnsi"/>
          <w:b/>
          <w:sz w:val="22"/>
          <w:szCs w:val="22"/>
          <w:shd w:val="clear" w:color="auto" w:fill="FFFFFF"/>
          <w:lang w:val="fr-FR"/>
        </w:rPr>
        <w:t xml:space="preserve">) n'est pas appropriée </w:t>
      </w:r>
      <w:r w:rsidR="003E5FE8" w:rsidRPr="00E21AE0">
        <w:rPr>
          <w:rFonts w:asciiTheme="minorHAnsi" w:hAnsiTheme="minorHAnsi"/>
          <w:b/>
          <w:sz w:val="22"/>
          <w:szCs w:val="22"/>
          <w:lang w:val="fr-FR"/>
        </w:rPr>
        <w:sym w:font="Symbol" w:char="F05B"/>
      </w:r>
      <w:r w:rsidR="004973C1" w:rsidRPr="004973C1">
        <w:rPr>
          <w:rFonts w:asciiTheme="minorHAnsi" w:hAnsiTheme="minorHAnsi"/>
          <w:b/>
          <w:sz w:val="22"/>
          <w:szCs w:val="22"/>
          <w:shd w:val="clear" w:color="auto" w:fill="FFFFFF"/>
          <w:lang w:val="fr-FR"/>
        </w:rPr>
        <w:t xml:space="preserve">augmentation des effets secondaires anticholinergiques </w:t>
      </w:r>
      <w:r w:rsidR="00793FB7">
        <w:rPr>
          <w:rFonts w:asciiTheme="minorHAnsi" w:hAnsiTheme="minorHAnsi"/>
          <w:b/>
          <w:sz w:val="22"/>
          <w:szCs w:val="22"/>
          <w:shd w:val="clear" w:color="auto" w:fill="FFFFFF"/>
          <w:lang w:val="fr-FR"/>
        </w:rPr>
        <w:t>chez les personnes âgées</w:t>
      </w:r>
      <w:r w:rsidR="00793FB7" w:rsidRPr="004973C1">
        <w:rPr>
          <w:rFonts w:asciiTheme="minorHAnsi" w:hAnsiTheme="minorHAnsi"/>
          <w:b/>
          <w:sz w:val="22"/>
          <w:szCs w:val="22"/>
          <w:shd w:val="clear" w:color="auto" w:fill="FFFFFF"/>
          <w:lang w:val="fr-FR"/>
        </w:rPr>
        <w:t xml:space="preserve"> </w:t>
      </w:r>
      <w:r w:rsidR="004973C1" w:rsidRPr="004973C1">
        <w:rPr>
          <w:rFonts w:asciiTheme="minorHAnsi" w:hAnsiTheme="minorHAnsi"/>
          <w:b/>
          <w:sz w:val="22"/>
          <w:szCs w:val="22"/>
          <w:shd w:val="clear" w:color="auto" w:fill="FFFFFF"/>
          <w:lang w:val="fr-FR"/>
        </w:rPr>
        <w:t xml:space="preserve">(vertiges, diminution des capacités cognitives, vision floue, arythmie, ballonnements-constipation) et </w:t>
      </w:r>
      <w:r w:rsidR="00E6359A">
        <w:rPr>
          <w:rFonts w:asciiTheme="minorHAnsi" w:hAnsiTheme="minorHAnsi"/>
          <w:b/>
          <w:sz w:val="22"/>
          <w:szCs w:val="22"/>
          <w:shd w:val="clear" w:color="auto" w:fill="FFFFFF"/>
          <w:lang w:val="fr-FR"/>
        </w:rPr>
        <w:t>avantage</w:t>
      </w:r>
      <w:r w:rsidR="004973C1" w:rsidRPr="004973C1">
        <w:rPr>
          <w:rFonts w:asciiTheme="minorHAnsi" w:hAnsiTheme="minorHAnsi"/>
          <w:b/>
          <w:sz w:val="22"/>
          <w:szCs w:val="22"/>
          <w:shd w:val="clear" w:color="auto" w:fill="FFFFFF"/>
          <w:lang w:val="fr-FR"/>
        </w:rPr>
        <w:t xml:space="preserve"> l</w:t>
      </w:r>
      <w:r w:rsidR="003E5FE8">
        <w:rPr>
          <w:rFonts w:asciiTheme="minorHAnsi" w:hAnsiTheme="minorHAnsi"/>
          <w:b/>
          <w:sz w:val="22"/>
          <w:szCs w:val="22"/>
          <w:shd w:val="clear" w:color="auto" w:fill="FFFFFF"/>
          <w:lang w:val="fr-FR"/>
        </w:rPr>
        <w:t xml:space="preserve">imitée </w:t>
      </w:r>
      <w:r w:rsidR="003E5FE8" w:rsidRPr="00E21AE0">
        <w:rPr>
          <w:rFonts w:asciiTheme="minorHAnsi" w:hAnsiTheme="minorHAnsi"/>
          <w:b/>
          <w:sz w:val="22"/>
          <w:szCs w:val="22"/>
          <w:lang w:val="fr-FR"/>
        </w:rPr>
        <w:sym w:font="Symbol" w:char="F05D"/>
      </w:r>
      <w:r w:rsidR="003E5FE8">
        <w:rPr>
          <w:rFonts w:asciiTheme="minorHAnsi" w:hAnsiTheme="minorHAnsi"/>
          <w:b/>
          <w:sz w:val="22"/>
          <w:szCs w:val="22"/>
          <w:lang w:val="fr-FR"/>
        </w:rPr>
        <w:t xml:space="preserve"> </w:t>
      </w:r>
    </w:p>
    <w:p w14:paraId="60A52217" w14:textId="77777777" w:rsidR="004973C1" w:rsidRDefault="004973C1" w:rsidP="0043334F">
      <w:pPr>
        <w:spacing w:before="100" w:beforeAutospacing="1" w:after="100" w:afterAutospacing="1"/>
        <w:contextualSpacing/>
        <w:jc w:val="both"/>
        <w:rPr>
          <w:rFonts w:asciiTheme="minorHAnsi" w:hAnsiTheme="minorHAnsi"/>
          <w:b/>
          <w:sz w:val="22"/>
          <w:szCs w:val="22"/>
          <w:shd w:val="clear" w:color="auto" w:fill="FFFFFF"/>
          <w:lang w:val="fr-FR"/>
        </w:rPr>
      </w:pPr>
    </w:p>
    <w:p w14:paraId="17E256AA" w14:textId="77777777" w:rsidR="00A97094" w:rsidRPr="00E21AE0" w:rsidRDefault="00A97094" w:rsidP="0043334F">
      <w:pPr>
        <w:spacing w:before="100" w:beforeAutospacing="1" w:after="100" w:afterAutospacing="1"/>
        <w:contextualSpacing/>
        <w:rPr>
          <w:rFonts w:asciiTheme="minorHAnsi" w:hAnsiTheme="minorHAnsi"/>
          <w:b/>
          <w:sz w:val="22"/>
          <w:szCs w:val="22"/>
          <w:lang w:val="fr-FR"/>
        </w:rPr>
      </w:pPr>
    </w:p>
    <w:p w14:paraId="3B79DE9A" w14:textId="77777777" w:rsidR="00B97D3E" w:rsidRDefault="007A7469" w:rsidP="0043334F">
      <w:pPr>
        <w:spacing w:before="100" w:beforeAutospacing="1" w:after="100" w:afterAutospacing="1"/>
        <w:contextualSpacing/>
        <w:rPr>
          <w:rFonts w:asciiTheme="minorHAnsi" w:hAnsiTheme="minorHAnsi"/>
          <w:b/>
          <w:sz w:val="22"/>
          <w:szCs w:val="22"/>
          <w:lang w:val="fr-FR"/>
        </w:rPr>
      </w:pPr>
      <w:r w:rsidRPr="00E21AE0">
        <w:rPr>
          <w:rFonts w:asciiTheme="minorHAnsi" w:hAnsiTheme="minorHAnsi"/>
          <w:b/>
          <w:sz w:val="22"/>
          <w:szCs w:val="22"/>
          <w:lang w:val="fr-FR"/>
        </w:rPr>
        <w:t xml:space="preserve">C7. </w:t>
      </w:r>
      <w:r w:rsidR="00B97D3E" w:rsidRPr="00B97D3E">
        <w:rPr>
          <w:rFonts w:asciiTheme="minorHAnsi" w:hAnsiTheme="minorHAnsi"/>
          <w:b/>
          <w:sz w:val="22"/>
          <w:szCs w:val="22"/>
          <w:lang w:val="fr-FR"/>
        </w:rPr>
        <w:t xml:space="preserve">Chez les patients souffrant de constipation chronique, s'il existe des alternatives n'ayant pas cet effet secondaire, l'utilisation de médicaments susceptibles de provoquer une constipation (médicaments à effets anticholinergiques élevés, fer oral, opioïdes, </w:t>
      </w:r>
      <w:proofErr w:type="spellStart"/>
      <w:r w:rsidR="00B97D3E" w:rsidRPr="00B97D3E">
        <w:rPr>
          <w:rFonts w:asciiTheme="minorHAnsi" w:hAnsiTheme="minorHAnsi"/>
          <w:b/>
          <w:sz w:val="22"/>
          <w:szCs w:val="22"/>
          <w:lang w:val="fr-FR"/>
        </w:rPr>
        <w:t>vérapamil</w:t>
      </w:r>
      <w:proofErr w:type="spellEnd"/>
      <w:r w:rsidR="00B97D3E" w:rsidRPr="00B97D3E">
        <w:rPr>
          <w:rFonts w:asciiTheme="minorHAnsi" w:hAnsiTheme="minorHAnsi"/>
          <w:b/>
          <w:sz w:val="22"/>
          <w:szCs w:val="22"/>
          <w:lang w:val="fr-FR"/>
        </w:rPr>
        <w:t>, antiacides aluminiques) n'est pas appropriée (risque de constipation accrue).</w:t>
      </w:r>
    </w:p>
    <w:p w14:paraId="205062DD" w14:textId="77777777" w:rsidR="008B6A30" w:rsidRDefault="008B6A30" w:rsidP="0043334F">
      <w:pPr>
        <w:spacing w:after="100" w:afterAutospacing="1"/>
        <w:contextualSpacing/>
        <w:jc w:val="both"/>
        <w:rPr>
          <w:rFonts w:asciiTheme="minorHAnsi" w:hAnsiTheme="minorHAnsi"/>
          <w:i/>
          <w:sz w:val="22"/>
          <w:szCs w:val="22"/>
          <w:lang w:val="fr-FR"/>
        </w:rPr>
      </w:pPr>
      <w:r w:rsidRPr="008B6A30">
        <w:rPr>
          <w:rFonts w:asciiTheme="minorHAnsi" w:hAnsiTheme="minorHAnsi"/>
          <w:i/>
          <w:sz w:val="22"/>
          <w:szCs w:val="22"/>
          <w:lang w:val="fr-FR"/>
        </w:rPr>
        <w:t xml:space="preserve">*Les antihypertenseurs inhibiteurs calciques autres que le </w:t>
      </w:r>
      <w:proofErr w:type="spellStart"/>
      <w:r w:rsidRPr="008B6A30">
        <w:rPr>
          <w:rFonts w:asciiTheme="minorHAnsi" w:hAnsiTheme="minorHAnsi"/>
          <w:i/>
          <w:sz w:val="22"/>
          <w:szCs w:val="22"/>
          <w:lang w:val="fr-FR"/>
        </w:rPr>
        <w:t>vérapamil</w:t>
      </w:r>
      <w:proofErr w:type="spellEnd"/>
      <w:r w:rsidRPr="008B6A30">
        <w:rPr>
          <w:rFonts w:asciiTheme="minorHAnsi" w:hAnsiTheme="minorHAnsi"/>
          <w:i/>
          <w:sz w:val="22"/>
          <w:szCs w:val="22"/>
          <w:lang w:val="fr-FR"/>
        </w:rPr>
        <w:t xml:space="preserve"> peuvent également causer de la constipation. Cependant, cet effet est plus prononcé dans le </w:t>
      </w:r>
      <w:proofErr w:type="spellStart"/>
      <w:r w:rsidRPr="008B6A30">
        <w:rPr>
          <w:rFonts w:asciiTheme="minorHAnsi" w:hAnsiTheme="minorHAnsi"/>
          <w:i/>
          <w:sz w:val="22"/>
          <w:szCs w:val="22"/>
          <w:lang w:val="fr-FR"/>
        </w:rPr>
        <w:t>vérapamil</w:t>
      </w:r>
      <w:proofErr w:type="spellEnd"/>
      <w:r w:rsidRPr="008B6A30">
        <w:rPr>
          <w:rFonts w:asciiTheme="minorHAnsi" w:hAnsiTheme="minorHAnsi"/>
          <w:i/>
          <w:sz w:val="22"/>
          <w:szCs w:val="22"/>
          <w:lang w:val="fr-FR"/>
        </w:rPr>
        <w:t xml:space="preserve"> et la </w:t>
      </w:r>
      <w:proofErr w:type="spellStart"/>
      <w:r w:rsidRPr="008B6A30">
        <w:rPr>
          <w:rFonts w:asciiTheme="minorHAnsi" w:hAnsiTheme="minorHAnsi"/>
          <w:i/>
          <w:sz w:val="22"/>
          <w:szCs w:val="22"/>
          <w:lang w:val="fr-FR"/>
        </w:rPr>
        <w:t>nifédipine</w:t>
      </w:r>
      <w:proofErr w:type="spellEnd"/>
      <w:r w:rsidRPr="008B6A30">
        <w:rPr>
          <w:rFonts w:asciiTheme="minorHAnsi" w:hAnsiTheme="minorHAnsi"/>
          <w:i/>
          <w:sz w:val="22"/>
          <w:szCs w:val="22"/>
          <w:lang w:val="fr-FR"/>
        </w:rPr>
        <w:t>, respectivement.</w:t>
      </w:r>
    </w:p>
    <w:p w14:paraId="215F5A92" w14:textId="77777777" w:rsidR="008B6A30" w:rsidRDefault="008B6A30" w:rsidP="0043334F">
      <w:pPr>
        <w:spacing w:after="100" w:afterAutospacing="1"/>
        <w:contextualSpacing/>
        <w:jc w:val="both"/>
        <w:rPr>
          <w:rFonts w:asciiTheme="minorHAnsi" w:hAnsiTheme="minorHAnsi"/>
          <w:i/>
          <w:sz w:val="22"/>
          <w:szCs w:val="22"/>
          <w:lang w:val="fr-FR"/>
        </w:rPr>
      </w:pPr>
    </w:p>
    <w:p w14:paraId="352D7D81" w14:textId="77777777" w:rsidR="00364C7E" w:rsidRPr="00E21AE0" w:rsidRDefault="00364C7E" w:rsidP="0043334F">
      <w:pPr>
        <w:spacing w:before="100" w:beforeAutospacing="1" w:after="100" w:afterAutospacing="1"/>
        <w:contextualSpacing/>
        <w:jc w:val="both"/>
        <w:rPr>
          <w:rFonts w:asciiTheme="minorHAnsi" w:hAnsiTheme="minorHAnsi" w:cstheme="minorHAnsi"/>
          <w:color w:val="000000"/>
          <w:sz w:val="22"/>
          <w:szCs w:val="22"/>
          <w:lang w:val="fr-FR"/>
        </w:rPr>
      </w:pPr>
    </w:p>
    <w:p w14:paraId="5F496220" w14:textId="1EA46F0F" w:rsidR="00647BCB" w:rsidRDefault="007A7469" w:rsidP="0043334F">
      <w:pPr>
        <w:spacing w:before="100" w:beforeAutospacing="1" w:after="100" w:afterAutospacing="1"/>
        <w:contextualSpacing/>
        <w:jc w:val="both"/>
        <w:rPr>
          <w:rFonts w:asciiTheme="minorHAnsi" w:hAnsiTheme="minorHAnsi"/>
          <w:b/>
          <w:color w:val="000000"/>
          <w:sz w:val="22"/>
          <w:szCs w:val="22"/>
          <w:lang w:val="fr-FR"/>
        </w:rPr>
      </w:pPr>
      <w:r w:rsidRPr="00E21AE0">
        <w:rPr>
          <w:rFonts w:asciiTheme="minorHAnsi" w:hAnsiTheme="minorHAnsi"/>
          <w:b/>
          <w:color w:val="000000"/>
          <w:sz w:val="22"/>
          <w:szCs w:val="22"/>
          <w:lang w:val="fr-FR"/>
        </w:rPr>
        <w:t xml:space="preserve">C8. </w:t>
      </w:r>
      <w:r w:rsidR="00647BCB" w:rsidRPr="00647BCB">
        <w:rPr>
          <w:rFonts w:asciiTheme="minorHAnsi" w:hAnsiTheme="minorHAnsi"/>
          <w:b/>
          <w:color w:val="000000"/>
          <w:sz w:val="22"/>
          <w:szCs w:val="22"/>
          <w:lang w:val="fr-FR"/>
        </w:rPr>
        <w:t xml:space="preserve">L'utilisation du </w:t>
      </w:r>
      <w:proofErr w:type="spellStart"/>
      <w:r w:rsidR="00647BCB" w:rsidRPr="00647BCB">
        <w:rPr>
          <w:rFonts w:asciiTheme="minorHAnsi" w:hAnsiTheme="minorHAnsi"/>
          <w:b/>
          <w:color w:val="000000"/>
          <w:sz w:val="22"/>
          <w:szCs w:val="22"/>
          <w:lang w:val="fr-FR"/>
        </w:rPr>
        <w:t>métoclopramide</w:t>
      </w:r>
      <w:proofErr w:type="spellEnd"/>
      <w:r w:rsidR="00647BCB" w:rsidRPr="00647BCB">
        <w:rPr>
          <w:rFonts w:asciiTheme="minorHAnsi" w:hAnsiTheme="minorHAnsi"/>
          <w:b/>
          <w:color w:val="000000"/>
          <w:sz w:val="22"/>
          <w:szCs w:val="22"/>
          <w:lang w:val="fr-FR"/>
        </w:rPr>
        <w:t xml:space="preserve"> ou du </w:t>
      </w:r>
      <w:proofErr w:type="spellStart"/>
      <w:r w:rsidR="00647BCB" w:rsidRPr="00647BCB">
        <w:rPr>
          <w:rFonts w:asciiTheme="minorHAnsi" w:hAnsiTheme="minorHAnsi"/>
          <w:b/>
          <w:color w:val="000000"/>
          <w:sz w:val="22"/>
          <w:szCs w:val="22"/>
          <w:lang w:val="fr-FR"/>
        </w:rPr>
        <w:t>triméthobenzamide</w:t>
      </w:r>
      <w:proofErr w:type="spellEnd"/>
      <w:r w:rsidR="00647BCB" w:rsidRPr="00647BCB">
        <w:rPr>
          <w:rFonts w:asciiTheme="minorHAnsi" w:hAnsiTheme="minorHAnsi"/>
          <w:b/>
          <w:color w:val="000000"/>
          <w:sz w:val="22"/>
          <w:szCs w:val="22"/>
          <w:lang w:val="fr-FR"/>
        </w:rPr>
        <w:t xml:space="preserve"> en première ligne de traitement antiémétique chez </w:t>
      </w:r>
      <w:r w:rsidR="00647BCB">
        <w:rPr>
          <w:rFonts w:asciiTheme="minorHAnsi" w:hAnsiTheme="minorHAnsi"/>
          <w:b/>
          <w:color w:val="000000"/>
          <w:sz w:val="22"/>
          <w:szCs w:val="22"/>
          <w:lang w:val="fr-FR"/>
        </w:rPr>
        <w:t>les personnes âgées</w:t>
      </w:r>
      <w:r w:rsidR="00647BCB" w:rsidRPr="00647BCB">
        <w:rPr>
          <w:rFonts w:asciiTheme="minorHAnsi" w:hAnsiTheme="minorHAnsi"/>
          <w:b/>
          <w:color w:val="000000"/>
          <w:sz w:val="22"/>
          <w:szCs w:val="22"/>
          <w:lang w:val="fr-FR"/>
        </w:rPr>
        <w:t xml:space="preserve"> n'est pas appropriée (en raison d'effets secondaires extrapyramidaux, d'effets secondaires d'agitation)</w:t>
      </w:r>
    </w:p>
    <w:p w14:paraId="3904DFED" w14:textId="77777777" w:rsidR="00935762" w:rsidRDefault="00935762" w:rsidP="0043334F">
      <w:pPr>
        <w:shd w:val="clear" w:color="auto" w:fill="FFFFFF"/>
        <w:contextualSpacing/>
        <w:jc w:val="both"/>
        <w:textAlignment w:val="top"/>
        <w:rPr>
          <w:rFonts w:asciiTheme="minorHAnsi" w:hAnsiTheme="minorHAnsi"/>
          <w:i/>
          <w:sz w:val="22"/>
          <w:szCs w:val="22"/>
          <w:lang w:val="fr-FR"/>
        </w:rPr>
      </w:pPr>
      <w:r w:rsidRPr="00935762">
        <w:rPr>
          <w:rFonts w:asciiTheme="minorHAnsi" w:hAnsiTheme="minorHAnsi"/>
          <w:i/>
          <w:sz w:val="22"/>
          <w:szCs w:val="22"/>
          <w:lang w:val="fr-FR"/>
        </w:rPr>
        <w:lastRenderedPageBreak/>
        <w:t xml:space="preserve">*En tant qu'antiémétiques, les antagonistes des récepteurs de la sérotonine 5HT3 sont les agents les plus sûrs chez les personnes âgées. </w:t>
      </w:r>
    </w:p>
    <w:p w14:paraId="073E8D84" w14:textId="64EA6CAE" w:rsidR="00935762" w:rsidRDefault="00935762" w:rsidP="0043334F">
      <w:pPr>
        <w:shd w:val="clear" w:color="auto" w:fill="FFFFFF"/>
        <w:contextualSpacing/>
        <w:jc w:val="both"/>
        <w:textAlignment w:val="top"/>
        <w:rPr>
          <w:rFonts w:asciiTheme="minorHAnsi" w:hAnsiTheme="minorHAnsi"/>
          <w:i/>
          <w:sz w:val="22"/>
          <w:szCs w:val="22"/>
          <w:lang w:val="fr-FR"/>
        </w:rPr>
      </w:pPr>
      <w:r>
        <w:rPr>
          <w:rFonts w:asciiTheme="minorHAnsi" w:hAnsiTheme="minorHAnsi"/>
          <w:i/>
          <w:sz w:val="22"/>
          <w:szCs w:val="22"/>
          <w:lang w:val="fr-FR"/>
        </w:rPr>
        <w:t>*</w:t>
      </w:r>
      <w:r w:rsidRPr="00935762">
        <w:rPr>
          <w:rFonts w:asciiTheme="minorHAnsi" w:hAnsiTheme="minorHAnsi"/>
          <w:i/>
          <w:sz w:val="22"/>
          <w:szCs w:val="22"/>
          <w:lang w:val="fr-FR"/>
        </w:rPr>
        <w:t xml:space="preserve">Le </w:t>
      </w:r>
      <w:proofErr w:type="spellStart"/>
      <w:r w:rsidRPr="00935762">
        <w:rPr>
          <w:rFonts w:asciiTheme="minorHAnsi" w:hAnsiTheme="minorHAnsi"/>
          <w:i/>
          <w:sz w:val="22"/>
          <w:szCs w:val="22"/>
          <w:lang w:val="fr-FR"/>
        </w:rPr>
        <w:t>métoclopramide</w:t>
      </w:r>
      <w:proofErr w:type="spellEnd"/>
      <w:r w:rsidRPr="00935762">
        <w:rPr>
          <w:rFonts w:asciiTheme="minorHAnsi" w:hAnsiTheme="minorHAnsi"/>
          <w:i/>
          <w:sz w:val="22"/>
          <w:szCs w:val="22"/>
          <w:lang w:val="fr-FR"/>
        </w:rPr>
        <w:t xml:space="preserve"> et le </w:t>
      </w:r>
      <w:proofErr w:type="spellStart"/>
      <w:r w:rsidRPr="00935762">
        <w:rPr>
          <w:rFonts w:asciiTheme="minorHAnsi" w:hAnsiTheme="minorHAnsi"/>
          <w:i/>
          <w:sz w:val="22"/>
          <w:szCs w:val="22"/>
          <w:lang w:val="fr-FR"/>
        </w:rPr>
        <w:t>triméthobenzamide</w:t>
      </w:r>
      <w:proofErr w:type="spellEnd"/>
      <w:r w:rsidRPr="00935762">
        <w:rPr>
          <w:rFonts w:asciiTheme="minorHAnsi" w:hAnsiTheme="minorHAnsi"/>
          <w:i/>
          <w:sz w:val="22"/>
          <w:szCs w:val="22"/>
          <w:lang w:val="fr-FR"/>
        </w:rPr>
        <w:t xml:space="preserve"> sont contre-indiqués chez les patients atteints de parkinsonisme.</w:t>
      </w:r>
    </w:p>
    <w:p w14:paraId="19412B46" w14:textId="77777777" w:rsidR="00642443" w:rsidRPr="00E21AE0" w:rsidRDefault="00642443" w:rsidP="0043334F">
      <w:pPr>
        <w:spacing w:before="100" w:beforeAutospacing="1" w:after="100" w:afterAutospacing="1"/>
        <w:contextualSpacing/>
        <w:jc w:val="both"/>
        <w:rPr>
          <w:rFonts w:asciiTheme="minorHAnsi" w:hAnsiTheme="minorHAnsi"/>
          <w:b/>
          <w:color w:val="000000"/>
          <w:sz w:val="22"/>
          <w:szCs w:val="22"/>
          <w:lang w:val="fr-FR"/>
        </w:rPr>
      </w:pPr>
    </w:p>
    <w:p w14:paraId="41E6EF82" w14:textId="77777777" w:rsidR="0026436C" w:rsidRDefault="007A7469" w:rsidP="0043334F">
      <w:pPr>
        <w:spacing w:before="100" w:beforeAutospacing="1" w:after="100" w:afterAutospacing="1"/>
        <w:contextualSpacing/>
        <w:jc w:val="both"/>
        <w:rPr>
          <w:rFonts w:asciiTheme="minorHAnsi" w:hAnsiTheme="minorHAnsi"/>
          <w:b/>
          <w:color w:val="000000"/>
          <w:sz w:val="22"/>
          <w:szCs w:val="22"/>
          <w:lang w:val="fr-FR"/>
        </w:rPr>
      </w:pPr>
      <w:r w:rsidRPr="00E21AE0">
        <w:rPr>
          <w:rFonts w:asciiTheme="minorHAnsi" w:hAnsiTheme="minorHAnsi"/>
          <w:b/>
          <w:color w:val="000000"/>
          <w:sz w:val="22"/>
          <w:szCs w:val="22"/>
          <w:lang w:val="fr-FR"/>
        </w:rPr>
        <w:t xml:space="preserve">C9. </w:t>
      </w:r>
      <w:r w:rsidR="0026436C" w:rsidRPr="0026436C">
        <w:rPr>
          <w:rFonts w:asciiTheme="minorHAnsi" w:hAnsiTheme="minorHAnsi"/>
          <w:b/>
          <w:color w:val="000000"/>
          <w:sz w:val="22"/>
          <w:szCs w:val="22"/>
          <w:lang w:val="fr-FR"/>
        </w:rPr>
        <w:t>L'utilisation de préparations de magnésium comme laxatifs ou antiacides n'est pas appropriée chez les patients avec un DFG &lt; 30 ml/min/1,73 m2 (risque d'</w:t>
      </w:r>
      <w:proofErr w:type="spellStart"/>
      <w:r w:rsidR="0026436C" w:rsidRPr="0026436C">
        <w:rPr>
          <w:rFonts w:asciiTheme="minorHAnsi" w:hAnsiTheme="minorHAnsi"/>
          <w:b/>
          <w:color w:val="000000"/>
          <w:sz w:val="22"/>
          <w:szCs w:val="22"/>
          <w:lang w:val="fr-FR"/>
        </w:rPr>
        <w:t>hypermagnésémie</w:t>
      </w:r>
      <w:proofErr w:type="spellEnd"/>
      <w:r w:rsidR="0026436C" w:rsidRPr="0026436C">
        <w:rPr>
          <w:rFonts w:asciiTheme="minorHAnsi" w:hAnsiTheme="minorHAnsi"/>
          <w:b/>
          <w:color w:val="000000"/>
          <w:sz w:val="22"/>
          <w:szCs w:val="22"/>
          <w:lang w:val="fr-FR"/>
        </w:rPr>
        <w:t>)</w:t>
      </w:r>
    </w:p>
    <w:p w14:paraId="513F19B1" w14:textId="77777777" w:rsidR="0026436C" w:rsidRDefault="0026436C" w:rsidP="0043334F">
      <w:pPr>
        <w:spacing w:before="100" w:beforeAutospacing="1" w:after="100" w:afterAutospacing="1"/>
        <w:contextualSpacing/>
        <w:jc w:val="both"/>
        <w:rPr>
          <w:rFonts w:asciiTheme="minorHAnsi" w:hAnsiTheme="minorHAnsi"/>
          <w:b/>
          <w:color w:val="000000"/>
          <w:sz w:val="22"/>
          <w:szCs w:val="22"/>
          <w:lang w:val="fr-FR"/>
        </w:rPr>
      </w:pPr>
    </w:p>
    <w:p w14:paraId="31921F57" w14:textId="77777777" w:rsidR="00642443" w:rsidRPr="00E21AE0" w:rsidRDefault="00642443" w:rsidP="0043334F">
      <w:pPr>
        <w:spacing w:before="100" w:beforeAutospacing="1" w:after="100" w:afterAutospacing="1"/>
        <w:contextualSpacing/>
        <w:jc w:val="both"/>
        <w:rPr>
          <w:rFonts w:asciiTheme="minorHAnsi" w:eastAsiaTheme="majorEastAsia" w:hAnsiTheme="minorHAnsi" w:cstheme="minorHAnsi"/>
          <w:i/>
          <w:color w:val="000000"/>
          <w:sz w:val="22"/>
          <w:szCs w:val="22"/>
          <w:lang w:val="fr-FR"/>
        </w:rPr>
      </w:pPr>
    </w:p>
    <w:p w14:paraId="4DC92B0C" w14:textId="1BE8EB93" w:rsidR="004816D3" w:rsidRPr="00E21AE0" w:rsidRDefault="00642443" w:rsidP="0043334F">
      <w:pPr>
        <w:contextualSpacing/>
        <w:jc w:val="both"/>
        <w:rPr>
          <w:rFonts w:asciiTheme="minorHAnsi" w:hAnsiTheme="minorHAnsi"/>
          <w:b/>
          <w:sz w:val="28"/>
          <w:szCs w:val="28"/>
          <w:lang w:val="fr-FR"/>
        </w:rPr>
      </w:pPr>
      <w:proofErr w:type="gramStart"/>
      <w:r w:rsidRPr="00E21AE0">
        <w:rPr>
          <w:rFonts w:asciiTheme="minorHAnsi" w:hAnsiTheme="minorHAnsi"/>
          <w:b/>
          <w:sz w:val="28"/>
          <w:szCs w:val="28"/>
          <w:lang w:val="fr-FR"/>
        </w:rPr>
        <w:t>D:</w:t>
      </w:r>
      <w:proofErr w:type="gramEnd"/>
      <w:r w:rsidRPr="00E21AE0">
        <w:rPr>
          <w:rFonts w:asciiTheme="minorHAnsi" w:hAnsiTheme="minorHAnsi"/>
          <w:b/>
          <w:sz w:val="28"/>
          <w:szCs w:val="28"/>
          <w:lang w:val="fr-FR"/>
        </w:rPr>
        <w:t xml:space="preserve"> </w:t>
      </w:r>
      <w:r w:rsidR="00953717">
        <w:rPr>
          <w:rFonts w:asciiTheme="minorHAnsi" w:hAnsiTheme="minorHAnsi"/>
          <w:b/>
          <w:sz w:val="28"/>
          <w:szCs w:val="28"/>
          <w:lang w:val="fr-FR"/>
        </w:rPr>
        <w:t xml:space="preserve">Les critères du Système respiratoire. </w:t>
      </w:r>
    </w:p>
    <w:p w14:paraId="170BE77F" w14:textId="77777777" w:rsidR="00A97094" w:rsidRPr="00E21AE0" w:rsidRDefault="00A97094" w:rsidP="0043334F">
      <w:pPr>
        <w:spacing w:before="100" w:beforeAutospacing="1" w:after="100" w:afterAutospacing="1"/>
        <w:contextualSpacing/>
        <w:jc w:val="both"/>
        <w:rPr>
          <w:rFonts w:asciiTheme="minorHAnsi" w:hAnsiTheme="minorHAnsi"/>
          <w:b/>
          <w:sz w:val="22"/>
          <w:szCs w:val="22"/>
          <w:lang w:val="fr-FR"/>
        </w:rPr>
      </w:pPr>
    </w:p>
    <w:p w14:paraId="3EBCBB85" w14:textId="4D0735CC" w:rsidR="00112690" w:rsidRPr="00E21AE0" w:rsidRDefault="0096255B" w:rsidP="0043334F">
      <w:pPr>
        <w:spacing w:before="100" w:beforeAutospacing="1" w:after="100" w:afterAutospacing="1"/>
        <w:contextualSpacing/>
        <w:jc w:val="both"/>
        <w:rPr>
          <w:rFonts w:asciiTheme="minorHAnsi" w:hAnsiTheme="minorHAnsi"/>
          <w:b/>
          <w:sz w:val="22"/>
          <w:szCs w:val="22"/>
          <w:lang w:val="fr-FR"/>
        </w:rPr>
      </w:pPr>
      <w:r w:rsidRPr="00E21AE0">
        <w:rPr>
          <w:rFonts w:asciiTheme="minorHAnsi" w:hAnsiTheme="minorHAnsi"/>
          <w:b/>
          <w:sz w:val="22"/>
          <w:szCs w:val="22"/>
          <w:lang w:val="fr-FR"/>
        </w:rPr>
        <w:t>D1</w:t>
      </w:r>
      <w:r w:rsidR="004816D3" w:rsidRPr="00E21AE0">
        <w:rPr>
          <w:rFonts w:asciiTheme="minorHAnsi" w:hAnsiTheme="minorHAnsi"/>
          <w:b/>
          <w:sz w:val="22"/>
          <w:szCs w:val="22"/>
          <w:lang w:val="fr-FR"/>
        </w:rPr>
        <w:t xml:space="preserve">. </w:t>
      </w:r>
      <w:r w:rsidR="004170F9" w:rsidRPr="004170F9">
        <w:rPr>
          <w:rFonts w:asciiTheme="minorHAnsi" w:hAnsiTheme="minorHAnsi"/>
          <w:b/>
          <w:sz w:val="22"/>
          <w:szCs w:val="22"/>
          <w:lang w:val="fr-FR"/>
        </w:rPr>
        <w:t xml:space="preserve">L'utilisation de médicaments bronchodilatateurs </w:t>
      </w:r>
      <w:proofErr w:type="spellStart"/>
      <w:r w:rsidR="004170F9" w:rsidRPr="004170F9">
        <w:rPr>
          <w:rFonts w:asciiTheme="minorHAnsi" w:hAnsiTheme="minorHAnsi"/>
          <w:b/>
          <w:sz w:val="22"/>
          <w:szCs w:val="22"/>
          <w:lang w:val="fr-FR"/>
        </w:rPr>
        <w:t>antimuscariniques</w:t>
      </w:r>
      <w:proofErr w:type="spellEnd"/>
      <w:r w:rsidR="004170F9" w:rsidRPr="004170F9">
        <w:rPr>
          <w:rFonts w:asciiTheme="minorHAnsi" w:hAnsiTheme="minorHAnsi"/>
          <w:b/>
          <w:sz w:val="22"/>
          <w:szCs w:val="22"/>
          <w:lang w:val="fr-FR"/>
        </w:rPr>
        <w:t xml:space="preserve"> (</w:t>
      </w:r>
      <w:proofErr w:type="spellStart"/>
      <w:r w:rsidR="004170F9" w:rsidRPr="004170F9">
        <w:rPr>
          <w:rFonts w:asciiTheme="minorHAnsi" w:hAnsiTheme="minorHAnsi"/>
          <w:b/>
          <w:sz w:val="22"/>
          <w:szCs w:val="22"/>
          <w:lang w:val="fr-FR"/>
        </w:rPr>
        <w:t>ipratropium</w:t>
      </w:r>
      <w:proofErr w:type="spellEnd"/>
      <w:r w:rsidR="004170F9" w:rsidRPr="004170F9">
        <w:rPr>
          <w:rFonts w:asciiTheme="minorHAnsi" w:hAnsiTheme="minorHAnsi"/>
          <w:b/>
          <w:sz w:val="22"/>
          <w:szCs w:val="22"/>
          <w:lang w:val="fr-FR"/>
        </w:rPr>
        <w:t xml:space="preserve">, </w:t>
      </w:r>
      <w:proofErr w:type="spellStart"/>
      <w:r w:rsidR="004170F9" w:rsidRPr="004170F9">
        <w:rPr>
          <w:rFonts w:asciiTheme="minorHAnsi" w:hAnsiTheme="minorHAnsi"/>
          <w:b/>
          <w:sz w:val="22"/>
          <w:szCs w:val="22"/>
          <w:lang w:val="fr-FR"/>
        </w:rPr>
        <w:t>tiotropium</w:t>
      </w:r>
      <w:proofErr w:type="spellEnd"/>
      <w:r w:rsidR="004170F9" w:rsidRPr="004170F9">
        <w:rPr>
          <w:rFonts w:asciiTheme="minorHAnsi" w:hAnsiTheme="minorHAnsi"/>
          <w:b/>
          <w:sz w:val="22"/>
          <w:szCs w:val="22"/>
          <w:lang w:val="fr-FR"/>
        </w:rPr>
        <w:t>) n'est pas appropriée chez les patients présentant un glaucome à angle fermé ou une obstruction de l'écoulement urinaire (risque d'aggravation du glaucome et de rétention urinaire)</w:t>
      </w:r>
      <w:r w:rsidR="004170F9">
        <w:rPr>
          <w:rFonts w:asciiTheme="minorHAnsi" w:hAnsiTheme="minorHAnsi"/>
          <w:b/>
          <w:sz w:val="22"/>
          <w:szCs w:val="22"/>
          <w:lang w:val="fr-FR"/>
        </w:rPr>
        <w:t xml:space="preserve"> </w:t>
      </w:r>
    </w:p>
    <w:p w14:paraId="1CBC7A54" w14:textId="77777777" w:rsidR="00DE4949" w:rsidRDefault="00DE4949" w:rsidP="0043334F">
      <w:pPr>
        <w:spacing w:before="100" w:beforeAutospacing="1" w:after="100" w:afterAutospacing="1"/>
        <w:contextualSpacing/>
        <w:jc w:val="both"/>
        <w:rPr>
          <w:rFonts w:asciiTheme="minorHAnsi" w:hAnsiTheme="minorHAnsi"/>
          <w:bCs/>
          <w:i/>
          <w:color w:val="000000" w:themeColor="text1"/>
          <w:sz w:val="22"/>
          <w:szCs w:val="22"/>
          <w:lang w:val="fr-FR"/>
        </w:rPr>
      </w:pPr>
      <w:r w:rsidRPr="00DE4949">
        <w:rPr>
          <w:rFonts w:asciiTheme="minorHAnsi" w:hAnsiTheme="minorHAnsi"/>
          <w:bCs/>
          <w:i/>
          <w:color w:val="000000" w:themeColor="text1"/>
          <w:sz w:val="22"/>
          <w:szCs w:val="22"/>
          <w:lang w:val="fr-FR"/>
        </w:rPr>
        <w:t xml:space="preserve">*Les symptômes obstructifs des SBAU (symptômes des voies urinaires inférieures) accompagnant l'hyperplasie bénigne de la prostate sont fréquents chez les hommes plus âgés. En cas de symptômes obstructifs légers, le clinicien peut utiliser des bronchodilatateurs </w:t>
      </w:r>
      <w:proofErr w:type="spellStart"/>
      <w:r w:rsidRPr="00DE4949">
        <w:rPr>
          <w:rFonts w:asciiTheme="minorHAnsi" w:hAnsiTheme="minorHAnsi"/>
          <w:bCs/>
          <w:i/>
          <w:color w:val="000000" w:themeColor="text1"/>
          <w:sz w:val="22"/>
          <w:szCs w:val="22"/>
          <w:lang w:val="fr-FR"/>
        </w:rPr>
        <w:t>antimuscariniques</w:t>
      </w:r>
      <w:proofErr w:type="spellEnd"/>
      <w:r w:rsidRPr="00DE4949">
        <w:rPr>
          <w:rFonts w:asciiTheme="minorHAnsi" w:hAnsiTheme="minorHAnsi"/>
          <w:bCs/>
          <w:i/>
          <w:color w:val="000000" w:themeColor="text1"/>
          <w:sz w:val="22"/>
          <w:szCs w:val="22"/>
          <w:lang w:val="fr-FR"/>
        </w:rPr>
        <w:t xml:space="preserve"> avec un suivi clinique étroit. En termes d'effets secondaires de rétention urinaire, les cas avec PMR &gt; 150 ml sont particulièrement à risque. (Ne convient pas pour une utilisation dans des cas avec &gt; 150 ml)</w:t>
      </w:r>
    </w:p>
    <w:p w14:paraId="5AA263E7" w14:textId="77777777" w:rsidR="00A97094" w:rsidRPr="00E21AE0" w:rsidRDefault="00A97094" w:rsidP="0043334F">
      <w:pPr>
        <w:contextualSpacing/>
        <w:rPr>
          <w:rFonts w:asciiTheme="minorHAnsi" w:hAnsiTheme="minorHAnsi" w:cstheme="minorHAnsi"/>
          <w:sz w:val="22"/>
          <w:szCs w:val="22"/>
          <w:lang w:val="fr-FR"/>
        </w:rPr>
      </w:pPr>
    </w:p>
    <w:p w14:paraId="32F9FE71" w14:textId="5BD39A31" w:rsidR="00184479" w:rsidRDefault="00112690" w:rsidP="0043334F">
      <w:pPr>
        <w:contextualSpacing/>
        <w:rPr>
          <w:rFonts w:asciiTheme="minorHAnsi" w:hAnsiTheme="minorHAnsi"/>
          <w:b/>
          <w:color w:val="000000"/>
          <w:sz w:val="22"/>
          <w:szCs w:val="22"/>
          <w:lang w:val="fr-FR"/>
        </w:rPr>
      </w:pPr>
      <w:r w:rsidRPr="00E21AE0">
        <w:rPr>
          <w:rFonts w:asciiTheme="minorHAnsi" w:hAnsiTheme="minorHAnsi"/>
          <w:b/>
          <w:color w:val="000000"/>
          <w:sz w:val="22"/>
          <w:szCs w:val="22"/>
          <w:lang w:val="fr-FR"/>
        </w:rPr>
        <w:t xml:space="preserve">D2. </w:t>
      </w:r>
      <w:r w:rsidR="00184479" w:rsidRPr="00184479">
        <w:rPr>
          <w:rFonts w:asciiTheme="minorHAnsi" w:hAnsiTheme="minorHAnsi"/>
          <w:b/>
          <w:color w:val="000000"/>
          <w:sz w:val="22"/>
          <w:szCs w:val="22"/>
          <w:lang w:val="fr-FR"/>
        </w:rPr>
        <w:t xml:space="preserve">La théophylline ne convient pas au traitement d'entretien de la BPCO ou de l'asthme </w:t>
      </w:r>
      <w:proofErr w:type="spellStart"/>
      <w:r w:rsidR="00184479" w:rsidRPr="00184479">
        <w:rPr>
          <w:rFonts w:asciiTheme="minorHAnsi" w:hAnsiTheme="minorHAnsi"/>
          <w:b/>
          <w:color w:val="000000"/>
          <w:sz w:val="22"/>
          <w:szCs w:val="22"/>
          <w:lang w:val="fr-FR"/>
        </w:rPr>
        <w:t>bronchialène</w:t>
      </w:r>
      <w:proofErr w:type="spellEnd"/>
      <w:r w:rsidR="00184479" w:rsidRPr="00184479">
        <w:rPr>
          <w:rFonts w:asciiTheme="minorHAnsi" w:hAnsiTheme="minorHAnsi"/>
          <w:b/>
          <w:color w:val="000000"/>
          <w:sz w:val="22"/>
          <w:szCs w:val="22"/>
          <w:lang w:val="fr-FR"/>
        </w:rPr>
        <w:t xml:space="preserve"> (en raison de l'index thérapeutique étroit et du risque élevé d'insomnie, d'arythmie chez </w:t>
      </w:r>
      <w:r w:rsidR="00184479">
        <w:rPr>
          <w:rFonts w:asciiTheme="minorHAnsi" w:hAnsiTheme="minorHAnsi"/>
          <w:b/>
          <w:color w:val="000000"/>
          <w:sz w:val="22"/>
          <w:szCs w:val="22"/>
          <w:lang w:val="fr-FR"/>
        </w:rPr>
        <w:t>les personnes âgées</w:t>
      </w:r>
      <w:r w:rsidR="00184479" w:rsidRPr="00184479">
        <w:rPr>
          <w:rFonts w:asciiTheme="minorHAnsi" w:hAnsiTheme="minorHAnsi"/>
          <w:b/>
          <w:color w:val="000000"/>
          <w:sz w:val="22"/>
          <w:szCs w:val="22"/>
          <w:lang w:val="fr-FR"/>
        </w:rPr>
        <w:t>).</w:t>
      </w:r>
    </w:p>
    <w:p w14:paraId="45B05150" w14:textId="77777777" w:rsidR="00FA22B8" w:rsidRPr="00E21AE0" w:rsidRDefault="00FA22B8" w:rsidP="0043334F">
      <w:pPr>
        <w:pStyle w:val="HTMLncedenBiimlendirilmi"/>
        <w:contextualSpacing/>
        <w:jc w:val="both"/>
        <w:rPr>
          <w:rFonts w:asciiTheme="minorHAnsi" w:hAnsiTheme="minorHAnsi" w:cstheme="minorHAnsi"/>
          <w:color w:val="000000"/>
          <w:sz w:val="22"/>
          <w:szCs w:val="22"/>
          <w:lang w:val="fr-FR"/>
        </w:rPr>
      </w:pPr>
    </w:p>
    <w:p w14:paraId="182C41F5" w14:textId="77777777" w:rsidR="007B4B4E" w:rsidRPr="00E21AE0" w:rsidRDefault="007B4B4E" w:rsidP="0043334F">
      <w:pPr>
        <w:pStyle w:val="HTMLncedenBiimlendirilmi"/>
        <w:contextualSpacing/>
        <w:jc w:val="both"/>
        <w:rPr>
          <w:rFonts w:asciiTheme="minorHAnsi" w:hAnsiTheme="minorHAnsi" w:cstheme="minorHAnsi"/>
          <w:color w:val="000000"/>
          <w:sz w:val="22"/>
          <w:szCs w:val="22"/>
          <w:lang w:val="fr-FR"/>
        </w:rPr>
      </w:pPr>
    </w:p>
    <w:p w14:paraId="41F16140" w14:textId="77777777" w:rsidR="00B46B20" w:rsidRDefault="00112690" w:rsidP="0043334F">
      <w:pPr>
        <w:contextualSpacing/>
        <w:jc w:val="both"/>
        <w:rPr>
          <w:rFonts w:asciiTheme="minorHAnsi" w:hAnsiTheme="minorHAnsi"/>
          <w:b/>
          <w:sz w:val="22"/>
          <w:szCs w:val="22"/>
          <w:lang w:val="fr-FR"/>
        </w:rPr>
      </w:pPr>
      <w:r w:rsidRPr="00E21AE0">
        <w:rPr>
          <w:rFonts w:asciiTheme="minorHAnsi" w:hAnsiTheme="minorHAnsi"/>
          <w:b/>
          <w:sz w:val="22"/>
          <w:szCs w:val="22"/>
          <w:lang w:val="fr-FR"/>
        </w:rPr>
        <w:t xml:space="preserve">D3. </w:t>
      </w:r>
      <w:r w:rsidR="00B46B20" w:rsidRPr="00B46B20">
        <w:rPr>
          <w:rFonts w:asciiTheme="minorHAnsi" w:hAnsiTheme="minorHAnsi"/>
          <w:b/>
          <w:sz w:val="22"/>
          <w:szCs w:val="22"/>
          <w:lang w:val="fr-FR"/>
        </w:rPr>
        <w:t>Les corticostéroïdes systémiques plutôt que les corticostéroïdes inhalés ne conviennent pas pour le traitement d'entretien dans la BPCO modérée à sévère (exposition longue et inutile aux corticostéroïdes systémiques ; des thérapies inhalées efficaces sont disponibles)</w:t>
      </w:r>
    </w:p>
    <w:p w14:paraId="206A622D" w14:textId="77777777" w:rsidR="00B46B20" w:rsidRDefault="00B46B20" w:rsidP="0043334F">
      <w:pPr>
        <w:contextualSpacing/>
        <w:jc w:val="both"/>
        <w:rPr>
          <w:rFonts w:asciiTheme="minorHAnsi" w:hAnsiTheme="minorHAnsi"/>
          <w:b/>
          <w:sz w:val="22"/>
          <w:szCs w:val="22"/>
          <w:lang w:val="fr-FR"/>
        </w:rPr>
      </w:pPr>
    </w:p>
    <w:p w14:paraId="2A61E32C" w14:textId="1A5F4485" w:rsidR="004816D3" w:rsidRPr="00E21AE0" w:rsidRDefault="00642443" w:rsidP="0043334F">
      <w:pPr>
        <w:contextualSpacing/>
        <w:jc w:val="both"/>
        <w:rPr>
          <w:rFonts w:asciiTheme="minorHAnsi" w:hAnsiTheme="minorHAnsi"/>
          <w:b/>
          <w:sz w:val="28"/>
          <w:szCs w:val="28"/>
          <w:lang w:val="fr-FR"/>
        </w:rPr>
      </w:pPr>
      <w:proofErr w:type="gramStart"/>
      <w:r w:rsidRPr="00E21AE0">
        <w:rPr>
          <w:rFonts w:asciiTheme="minorHAnsi" w:hAnsiTheme="minorHAnsi"/>
          <w:b/>
          <w:sz w:val="28"/>
          <w:szCs w:val="28"/>
          <w:lang w:val="fr-FR"/>
        </w:rPr>
        <w:t>E</w:t>
      </w:r>
      <w:r w:rsidR="00B125CB" w:rsidRPr="00E21AE0">
        <w:rPr>
          <w:rFonts w:asciiTheme="minorHAnsi" w:hAnsiTheme="minorHAnsi"/>
          <w:b/>
          <w:sz w:val="28"/>
          <w:szCs w:val="28"/>
          <w:lang w:val="fr-FR"/>
        </w:rPr>
        <w:t>:</w:t>
      </w:r>
      <w:proofErr w:type="gramEnd"/>
      <w:r w:rsidRPr="00E21AE0">
        <w:rPr>
          <w:rFonts w:asciiTheme="minorHAnsi" w:hAnsiTheme="minorHAnsi"/>
          <w:b/>
          <w:sz w:val="28"/>
          <w:szCs w:val="28"/>
          <w:lang w:val="fr-FR"/>
        </w:rPr>
        <w:t xml:space="preserve"> </w:t>
      </w:r>
      <w:r w:rsidR="00A44409" w:rsidRPr="00A44409">
        <w:rPr>
          <w:rFonts w:asciiTheme="minorHAnsi" w:hAnsiTheme="minorHAnsi"/>
          <w:b/>
          <w:sz w:val="28"/>
          <w:szCs w:val="28"/>
          <w:lang w:val="fr-FR"/>
        </w:rPr>
        <w:t>Critères du système musculo-squelettique et médicaments analgésiques.</w:t>
      </w:r>
      <w:r w:rsidR="00A44409">
        <w:rPr>
          <w:rFonts w:asciiTheme="minorHAnsi" w:hAnsiTheme="minorHAnsi"/>
          <w:b/>
          <w:sz w:val="28"/>
          <w:szCs w:val="28"/>
          <w:lang w:val="fr-FR"/>
        </w:rPr>
        <w:t xml:space="preserve"> </w:t>
      </w:r>
    </w:p>
    <w:p w14:paraId="10D7C6E0" w14:textId="77777777" w:rsidR="00A97094" w:rsidRPr="00E21AE0" w:rsidRDefault="00A97094" w:rsidP="0043334F">
      <w:pPr>
        <w:contextualSpacing/>
        <w:jc w:val="both"/>
        <w:rPr>
          <w:rFonts w:asciiTheme="minorHAnsi" w:hAnsiTheme="minorHAnsi"/>
          <w:b/>
          <w:sz w:val="28"/>
          <w:szCs w:val="28"/>
          <w:lang w:val="fr-FR"/>
        </w:rPr>
      </w:pPr>
    </w:p>
    <w:p w14:paraId="40F53313" w14:textId="2E372A16" w:rsidR="004816D3" w:rsidRPr="00E21AE0" w:rsidRDefault="004816D3" w:rsidP="0043334F">
      <w:pPr>
        <w:spacing w:before="100" w:beforeAutospacing="1"/>
        <w:contextualSpacing/>
        <w:jc w:val="both"/>
        <w:rPr>
          <w:rFonts w:asciiTheme="minorHAnsi" w:hAnsiTheme="minorHAnsi"/>
          <w:b/>
          <w:sz w:val="22"/>
          <w:szCs w:val="22"/>
          <w:lang w:val="fr-FR"/>
        </w:rPr>
      </w:pPr>
      <w:r w:rsidRPr="00E21AE0">
        <w:rPr>
          <w:rFonts w:asciiTheme="minorHAnsi" w:hAnsiTheme="minorHAnsi"/>
          <w:b/>
          <w:sz w:val="22"/>
          <w:szCs w:val="22"/>
          <w:lang w:val="fr-FR"/>
        </w:rPr>
        <w:t xml:space="preserve">E1. </w:t>
      </w:r>
      <w:r w:rsidR="00A44409" w:rsidRPr="00A44409">
        <w:rPr>
          <w:rFonts w:asciiTheme="minorHAnsi" w:hAnsiTheme="minorHAnsi"/>
          <w:b/>
          <w:sz w:val="22"/>
          <w:szCs w:val="22"/>
          <w:lang w:val="fr-FR"/>
        </w:rPr>
        <w:t xml:space="preserve">Il n'est pas approprié d'utiliser des AINS pendant plus de 3 mois en présence d'un traitement alternatif. </w:t>
      </w:r>
      <w:r w:rsidR="00A44409">
        <w:rPr>
          <w:rFonts w:asciiTheme="minorHAnsi" w:hAnsiTheme="minorHAnsi"/>
          <w:b/>
          <w:sz w:val="22"/>
          <w:szCs w:val="22"/>
          <w:lang w:val="fr-FR"/>
        </w:rPr>
        <w:t xml:space="preserve"> </w:t>
      </w:r>
    </w:p>
    <w:p w14:paraId="3B6FBDAF" w14:textId="77777777" w:rsidR="00970F61" w:rsidRPr="00970F61" w:rsidRDefault="00970F61" w:rsidP="0043334F">
      <w:pPr>
        <w:contextualSpacing/>
        <w:jc w:val="both"/>
        <w:rPr>
          <w:rFonts w:asciiTheme="minorHAnsi" w:hAnsiTheme="minorHAnsi"/>
          <w:i/>
          <w:sz w:val="22"/>
          <w:szCs w:val="22"/>
          <w:lang w:val="fr-FR"/>
        </w:rPr>
      </w:pPr>
      <w:r w:rsidRPr="00970F61">
        <w:rPr>
          <w:rFonts w:asciiTheme="minorHAnsi" w:hAnsiTheme="minorHAnsi"/>
          <w:i/>
          <w:sz w:val="22"/>
          <w:szCs w:val="22"/>
          <w:lang w:val="fr-FR"/>
        </w:rPr>
        <w:t xml:space="preserve">* Dans les douleurs arthrosiques et les douleurs simples (appareil locomoteur, céphalées…), un traitement par paracétamol doit être appliqué en priorité (une association traitement paracétamol et </w:t>
      </w:r>
      <w:proofErr w:type="spellStart"/>
      <w:r w:rsidRPr="00970F61">
        <w:rPr>
          <w:rFonts w:asciiTheme="minorHAnsi" w:hAnsiTheme="minorHAnsi"/>
          <w:i/>
          <w:sz w:val="22"/>
          <w:szCs w:val="22"/>
          <w:lang w:val="fr-FR"/>
        </w:rPr>
        <w:t>métamizole</w:t>
      </w:r>
      <w:proofErr w:type="spellEnd"/>
      <w:r w:rsidRPr="00970F61">
        <w:rPr>
          <w:rFonts w:asciiTheme="minorHAnsi" w:hAnsiTheme="minorHAnsi"/>
          <w:i/>
          <w:sz w:val="22"/>
          <w:szCs w:val="22"/>
          <w:lang w:val="fr-FR"/>
        </w:rPr>
        <w:t>, codéine/</w:t>
      </w:r>
      <w:proofErr w:type="spellStart"/>
      <w:r w:rsidRPr="00970F61">
        <w:rPr>
          <w:rFonts w:asciiTheme="minorHAnsi" w:hAnsiTheme="minorHAnsi"/>
          <w:i/>
          <w:sz w:val="22"/>
          <w:szCs w:val="22"/>
          <w:lang w:val="fr-FR"/>
        </w:rPr>
        <w:t>tramadol</w:t>
      </w:r>
      <w:proofErr w:type="spellEnd"/>
      <w:r w:rsidRPr="00970F61">
        <w:rPr>
          <w:rFonts w:asciiTheme="minorHAnsi" w:hAnsiTheme="minorHAnsi"/>
          <w:i/>
          <w:sz w:val="22"/>
          <w:szCs w:val="22"/>
          <w:lang w:val="fr-FR"/>
        </w:rPr>
        <w:t xml:space="preserve"> à faible dose peut être envisagée). </w:t>
      </w:r>
    </w:p>
    <w:p w14:paraId="11AB168A" w14:textId="77777777" w:rsidR="00970F61" w:rsidRPr="00970F61" w:rsidRDefault="00970F61" w:rsidP="0043334F">
      <w:pPr>
        <w:contextualSpacing/>
        <w:jc w:val="both"/>
        <w:rPr>
          <w:rFonts w:asciiTheme="minorHAnsi" w:hAnsiTheme="minorHAnsi"/>
          <w:i/>
          <w:sz w:val="22"/>
          <w:szCs w:val="22"/>
          <w:lang w:val="fr-FR"/>
        </w:rPr>
      </w:pPr>
      <w:r w:rsidRPr="00970F61">
        <w:rPr>
          <w:rFonts w:asciiTheme="minorHAnsi" w:hAnsiTheme="minorHAnsi"/>
          <w:i/>
          <w:sz w:val="22"/>
          <w:szCs w:val="22"/>
          <w:lang w:val="fr-FR"/>
        </w:rPr>
        <w:t xml:space="preserve">*Les patients utilisant des AINS doivent être suivis de près en termes d'effets secondaires (néphropathie, HTA, insuffisance cardiaque, événement CV). </w:t>
      </w:r>
    </w:p>
    <w:p w14:paraId="5E2DA66F" w14:textId="715980B2" w:rsidR="00970F61" w:rsidRPr="00970F61" w:rsidRDefault="00970F61" w:rsidP="0043334F">
      <w:pPr>
        <w:contextualSpacing/>
        <w:jc w:val="both"/>
        <w:rPr>
          <w:rFonts w:asciiTheme="minorHAnsi" w:hAnsiTheme="minorHAnsi"/>
          <w:i/>
          <w:sz w:val="22"/>
          <w:szCs w:val="22"/>
          <w:lang w:val="fr-FR"/>
        </w:rPr>
      </w:pPr>
      <w:r w:rsidRPr="00970F61">
        <w:rPr>
          <w:rFonts w:asciiTheme="minorHAnsi" w:hAnsiTheme="minorHAnsi"/>
          <w:i/>
          <w:sz w:val="22"/>
          <w:szCs w:val="22"/>
          <w:lang w:val="fr-FR"/>
        </w:rPr>
        <w:t>*L'indométacine ne doit pas être préférée en cas d'utilisation d'AINS (plus d'effets secondaires sur le SNC et autres effets secondaires systémiques chez les personnes âgées par rapport aux autres AINS) *Dans les cas où l'utilisation chronique d'AINS est requise, l'IPP/</w:t>
      </w:r>
      <w:proofErr w:type="spellStart"/>
      <w:r w:rsidRPr="00970F61">
        <w:rPr>
          <w:rFonts w:asciiTheme="minorHAnsi" w:hAnsiTheme="minorHAnsi"/>
          <w:i/>
          <w:sz w:val="22"/>
          <w:szCs w:val="22"/>
          <w:lang w:val="fr-FR"/>
        </w:rPr>
        <w:t>misoprostol</w:t>
      </w:r>
      <w:proofErr w:type="spellEnd"/>
      <w:r w:rsidRPr="00970F61">
        <w:rPr>
          <w:rFonts w:asciiTheme="minorHAnsi" w:hAnsiTheme="minorHAnsi"/>
          <w:i/>
          <w:sz w:val="22"/>
          <w:szCs w:val="22"/>
          <w:lang w:val="fr-FR"/>
        </w:rPr>
        <w:t xml:space="preserve"> doit être utilisé en plus des AINS.</w:t>
      </w:r>
    </w:p>
    <w:p w14:paraId="58175694" w14:textId="77777777" w:rsidR="00970F61" w:rsidRDefault="00970F61" w:rsidP="0043334F">
      <w:pPr>
        <w:contextualSpacing/>
        <w:jc w:val="both"/>
        <w:rPr>
          <w:rFonts w:asciiTheme="minorHAnsi" w:hAnsiTheme="minorHAnsi"/>
          <w:sz w:val="22"/>
          <w:szCs w:val="22"/>
          <w:lang w:val="fr-FR"/>
        </w:rPr>
      </w:pPr>
    </w:p>
    <w:p w14:paraId="10B06ED0" w14:textId="77777777" w:rsidR="00B40EEF" w:rsidRPr="00E21AE0" w:rsidRDefault="00B40EEF"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lang w:val="fr-FR"/>
        </w:rPr>
      </w:pPr>
    </w:p>
    <w:p w14:paraId="6D55B576" w14:textId="6F559C89" w:rsidR="004816D3" w:rsidRPr="00E21AE0" w:rsidRDefault="004816D3" w:rsidP="0043334F">
      <w:pPr>
        <w:spacing w:before="100" w:beforeAutospacing="1" w:after="100" w:afterAutospacing="1"/>
        <w:contextualSpacing/>
        <w:jc w:val="both"/>
        <w:rPr>
          <w:rFonts w:asciiTheme="minorHAnsi" w:hAnsiTheme="minorHAnsi"/>
          <w:b/>
          <w:sz w:val="22"/>
          <w:szCs w:val="22"/>
          <w:lang w:val="fr-FR"/>
        </w:rPr>
      </w:pPr>
      <w:r w:rsidRPr="00E21AE0">
        <w:rPr>
          <w:rFonts w:asciiTheme="minorHAnsi" w:hAnsiTheme="minorHAnsi"/>
          <w:b/>
          <w:sz w:val="22"/>
          <w:szCs w:val="22"/>
          <w:lang w:val="fr-FR"/>
        </w:rPr>
        <w:t xml:space="preserve">E2. </w:t>
      </w:r>
      <w:r w:rsidR="00FC12F2" w:rsidRPr="00FC12F2">
        <w:rPr>
          <w:rFonts w:asciiTheme="minorHAnsi" w:hAnsiTheme="minorHAnsi"/>
          <w:b/>
          <w:sz w:val="22"/>
          <w:szCs w:val="22"/>
          <w:lang w:val="fr-FR"/>
        </w:rPr>
        <w:t>Les AINS ne conviennent pas aux patients avec un DFG &lt; 50 ml/min/1,73 m2 (risque d'aggravation de la fonction rénale)</w:t>
      </w:r>
    </w:p>
    <w:p w14:paraId="0C1F7159" w14:textId="77777777" w:rsidR="0050241C" w:rsidRPr="00E21AE0" w:rsidRDefault="0050241C"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val="fr-FR" w:eastAsia="en-GB"/>
        </w:rPr>
      </w:pPr>
    </w:p>
    <w:p w14:paraId="39CA5F14" w14:textId="77777777" w:rsidR="00642443" w:rsidRPr="00E21AE0" w:rsidRDefault="00642443" w:rsidP="0043334F">
      <w:pPr>
        <w:spacing w:before="100" w:beforeAutospacing="1" w:after="100" w:afterAutospacing="1"/>
        <w:contextualSpacing/>
        <w:jc w:val="both"/>
        <w:rPr>
          <w:rFonts w:asciiTheme="minorHAnsi" w:hAnsiTheme="minorHAnsi"/>
          <w:b/>
          <w:sz w:val="22"/>
          <w:szCs w:val="22"/>
          <w:lang w:val="fr-FR"/>
        </w:rPr>
      </w:pPr>
    </w:p>
    <w:p w14:paraId="23AE5CA2" w14:textId="31C9861B" w:rsidR="00642443" w:rsidRPr="00E21AE0" w:rsidRDefault="0096255B" w:rsidP="0043334F">
      <w:pPr>
        <w:spacing w:before="100" w:beforeAutospacing="1" w:after="100" w:afterAutospacing="1"/>
        <w:contextualSpacing/>
        <w:jc w:val="both"/>
        <w:rPr>
          <w:rFonts w:asciiTheme="minorHAnsi" w:hAnsiTheme="minorHAnsi"/>
          <w:b/>
          <w:sz w:val="22"/>
          <w:szCs w:val="22"/>
          <w:lang w:val="fr-FR"/>
        </w:rPr>
      </w:pPr>
      <w:r w:rsidRPr="00E21AE0">
        <w:rPr>
          <w:rFonts w:asciiTheme="minorHAnsi" w:hAnsiTheme="minorHAnsi"/>
          <w:b/>
          <w:sz w:val="22"/>
          <w:szCs w:val="22"/>
          <w:lang w:val="fr-FR"/>
        </w:rPr>
        <w:t>E3</w:t>
      </w:r>
      <w:r w:rsidR="00DA3647" w:rsidRPr="00E21AE0">
        <w:rPr>
          <w:rFonts w:asciiTheme="minorHAnsi" w:hAnsiTheme="minorHAnsi"/>
          <w:b/>
          <w:sz w:val="22"/>
          <w:szCs w:val="22"/>
          <w:lang w:val="fr-FR"/>
        </w:rPr>
        <w:t xml:space="preserve">. </w:t>
      </w:r>
      <w:r w:rsidR="00FC12F2" w:rsidRPr="00FC12F2">
        <w:rPr>
          <w:rFonts w:asciiTheme="minorHAnsi" w:hAnsiTheme="minorHAnsi"/>
          <w:b/>
          <w:sz w:val="22"/>
          <w:szCs w:val="22"/>
          <w:lang w:val="fr-FR"/>
        </w:rPr>
        <w:t>L'utilisation de stéroïdes systémiques n'est pas appropriée dans le traitement de l'arthrose (risque d'effets secondaires avec les corticoïdes systémiques)</w:t>
      </w:r>
    </w:p>
    <w:p w14:paraId="0E4837F8" w14:textId="77777777" w:rsidR="00642443" w:rsidRPr="00E21AE0" w:rsidRDefault="00642443" w:rsidP="0043334F">
      <w:pPr>
        <w:spacing w:before="100" w:beforeAutospacing="1" w:after="100" w:afterAutospacing="1"/>
        <w:contextualSpacing/>
        <w:jc w:val="both"/>
        <w:rPr>
          <w:rFonts w:asciiTheme="minorHAnsi" w:hAnsiTheme="minorHAnsi"/>
          <w:b/>
          <w:sz w:val="22"/>
          <w:szCs w:val="22"/>
          <w:lang w:val="fr-FR"/>
        </w:rPr>
      </w:pPr>
    </w:p>
    <w:p w14:paraId="0397CB16" w14:textId="005A8875" w:rsidR="0036490F" w:rsidRPr="00E21AE0" w:rsidRDefault="0096255B" w:rsidP="0043334F">
      <w:pPr>
        <w:spacing w:before="100" w:beforeAutospacing="1"/>
        <w:contextualSpacing/>
        <w:jc w:val="both"/>
        <w:rPr>
          <w:rFonts w:asciiTheme="minorHAnsi" w:hAnsiTheme="minorHAnsi"/>
          <w:b/>
          <w:sz w:val="22"/>
          <w:szCs w:val="22"/>
          <w:lang w:val="fr-FR"/>
        </w:rPr>
      </w:pPr>
      <w:r w:rsidRPr="00E21AE0">
        <w:rPr>
          <w:rFonts w:asciiTheme="minorHAnsi" w:hAnsiTheme="minorHAnsi"/>
          <w:b/>
          <w:sz w:val="22"/>
          <w:szCs w:val="22"/>
          <w:lang w:val="fr-FR"/>
        </w:rPr>
        <w:lastRenderedPageBreak/>
        <w:t>E4</w:t>
      </w:r>
      <w:r w:rsidR="004816D3" w:rsidRPr="00E21AE0">
        <w:rPr>
          <w:rFonts w:asciiTheme="minorHAnsi" w:hAnsiTheme="minorHAnsi"/>
          <w:b/>
          <w:sz w:val="22"/>
          <w:szCs w:val="22"/>
          <w:lang w:val="fr-FR"/>
        </w:rPr>
        <w:t xml:space="preserve">. </w:t>
      </w:r>
      <w:r w:rsidR="00FC12F2" w:rsidRPr="00FC12F2">
        <w:rPr>
          <w:rFonts w:asciiTheme="minorHAnsi" w:hAnsiTheme="minorHAnsi"/>
          <w:b/>
          <w:sz w:val="22"/>
          <w:szCs w:val="22"/>
          <w:lang w:val="fr-FR"/>
        </w:rPr>
        <w:t>L'utilisation de la corticothérapie en monothérapie pendant plus de 3 mois dans la polyarthrite rhumatoïde n'est pas appropriée (risque d'effets secondaires avec les corticoïdes systémiques)</w:t>
      </w:r>
    </w:p>
    <w:p w14:paraId="76B59279" w14:textId="77777777" w:rsidR="00B40EEF" w:rsidRPr="00E21AE0" w:rsidRDefault="00B40EEF" w:rsidP="0043334F">
      <w:pPr>
        <w:contextualSpacing/>
        <w:rPr>
          <w:rFonts w:asciiTheme="minorHAnsi" w:hAnsiTheme="minorHAnsi"/>
          <w:sz w:val="22"/>
          <w:szCs w:val="22"/>
          <w:lang w:val="fr-FR"/>
        </w:rPr>
      </w:pPr>
    </w:p>
    <w:p w14:paraId="6EDC9B22" w14:textId="1CD423ED" w:rsidR="00FC12F2" w:rsidRPr="00E21AE0" w:rsidRDefault="00DA3647" w:rsidP="0043334F">
      <w:pPr>
        <w:spacing w:before="100" w:beforeAutospacing="1" w:after="100" w:afterAutospacing="1"/>
        <w:contextualSpacing/>
        <w:jc w:val="both"/>
        <w:rPr>
          <w:rFonts w:asciiTheme="minorHAnsi" w:hAnsiTheme="minorHAnsi"/>
          <w:b/>
          <w:sz w:val="22"/>
          <w:szCs w:val="22"/>
          <w:lang w:val="fr-FR"/>
        </w:rPr>
      </w:pPr>
      <w:r w:rsidRPr="00E21AE0">
        <w:rPr>
          <w:rFonts w:asciiTheme="minorHAnsi" w:hAnsiTheme="minorHAnsi"/>
          <w:b/>
          <w:color w:val="000000"/>
          <w:sz w:val="22"/>
          <w:szCs w:val="22"/>
          <w:lang w:val="fr-FR"/>
        </w:rPr>
        <w:t xml:space="preserve">E5. </w:t>
      </w:r>
      <w:r w:rsidR="00FC12F2" w:rsidRPr="00FC12F2">
        <w:rPr>
          <w:rFonts w:asciiTheme="minorHAnsi" w:hAnsiTheme="minorHAnsi"/>
          <w:b/>
          <w:sz w:val="22"/>
          <w:szCs w:val="22"/>
          <w:lang w:val="fr-FR"/>
        </w:rPr>
        <w:t>L'utilisation à long terme d'AINS ou de colchicine n'est pas appropriée</w:t>
      </w:r>
      <w:r w:rsidR="00FC12F2">
        <w:rPr>
          <w:rFonts w:asciiTheme="minorHAnsi" w:hAnsiTheme="minorHAnsi"/>
          <w:b/>
          <w:sz w:val="22"/>
          <w:szCs w:val="22"/>
          <w:lang w:val="fr-FR"/>
        </w:rPr>
        <w:t xml:space="preserve"> pour le traitement chronique de la goutte</w:t>
      </w:r>
      <w:r w:rsidR="00FC12F2" w:rsidRPr="00FC12F2">
        <w:rPr>
          <w:rFonts w:asciiTheme="minorHAnsi" w:hAnsiTheme="minorHAnsi"/>
          <w:b/>
          <w:sz w:val="22"/>
          <w:szCs w:val="22"/>
          <w:lang w:val="fr-FR"/>
        </w:rPr>
        <w:t>, sauf si l'utilisation d'inhibiteurs de la xanthine oxydase (par exemple, allopurinol,</w:t>
      </w:r>
      <w:r w:rsidR="00FC12F2">
        <w:rPr>
          <w:rFonts w:asciiTheme="minorHAnsi" w:hAnsiTheme="minorHAnsi"/>
          <w:b/>
          <w:sz w:val="22"/>
          <w:szCs w:val="22"/>
          <w:lang w:val="fr-FR"/>
        </w:rPr>
        <w:t xml:space="preserve"> </w:t>
      </w:r>
      <w:proofErr w:type="spellStart"/>
      <w:r w:rsidR="00FC12F2">
        <w:rPr>
          <w:rFonts w:asciiTheme="minorHAnsi" w:hAnsiTheme="minorHAnsi"/>
          <w:b/>
          <w:sz w:val="22"/>
          <w:szCs w:val="22"/>
          <w:lang w:val="fr-FR"/>
        </w:rPr>
        <w:t>fébuxostat</w:t>
      </w:r>
      <w:proofErr w:type="spellEnd"/>
      <w:r w:rsidR="00FC12F2">
        <w:rPr>
          <w:rFonts w:asciiTheme="minorHAnsi" w:hAnsiTheme="minorHAnsi"/>
          <w:b/>
          <w:sz w:val="22"/>
          <w:szCs w:val="22"/>
          <w:lang w:val="fr-FR"/>
        </w:rPr>
        <w:t>) est contre-indiquée</w:t>
      </w:r>
      <w:r w:rsidR="00FC12F2" w:rsidRPr="00FC12F2">
        <w:rPr>
          <w:rFonts w:asciiTheme="minorHAnsi" w:hAnsiTheme="minorHAnsi"/>
          <w:b/>
          <w:sz w:val="22"/>
          <w:szCs w:val="22"/>
          <w:lang w:val="fr-FR"/>
        </w:rPr>
        <w:t xml:space="preserve"> (les inhibiteurs de la xanthine oxydase sont des médicaments de premier choix dans la prophylaxie de la goutte)</w:t>
      </w:r>
      <w:r w:rsidR="00FC12F2">
        <w:rPr>
          <w:rFonts w:asciiTheme="minorHAnsi" w:hAnsiTheme="minorHAnsi"/>
          <w:b/>
          <w:sz w:val="22"/>
          <w:szCs w:val="22"/>
          <w:lang w:val="fr-FR"/>
        </w:rPr>
        <w:t>.</w:t>
      </w:r>
    </w:p>
    <w:p w14:paraId="457B9B4F" w14:textId="77777777" w:rsidR="00642443" w:rsidRPr="00E21AE0" w:rsidRDefault="00642443" w:rsidP="0043334F">
      <w:pPr>
        <w:spacing w:before="100" w:beforeAutospacing="1" w:after="100" w:afterAutospacing="1"/>
        <w:contextualSpacing/>
        <w:jc w:val="both"/>
        <w:rPr>
          <w:rFonts w:asciiTheme="minorHAnsi" w:hAnsiTheme="minorHAnsi"/>
          <w:b/>
          <w:sz w:val="22"/>
          <w:szCs w:val="22"/>
          <w:lang w:val="fr-FR"/>
        </w:rPr>
      </w:pPr>
    </w:p>
    <w:p w14:paraId="3201FD97" w14:textId="05033306" w:rsidR="00DA3647" w:rsidRPr="00E21AE0" w:rsidRDefault="0096255B" w:rsidP="0043334F">
      <w:pPr>
        <w:spacing w:before="100" w:beforeAutospacing="1" w:after="100" w:afterAutospacing="1"/>
        <w:contextualSpacing/>
        <w:jc w:val="both"/>
        <w:rPr>
          <w:rFonts w:asciiTheme="minorHAnsi" w:hAnsiTheme="minorHAnsi"/>
          <w:b/>
          <w:sz w:val="22"/>
          <w:szCs w:val="22"/>
          <w:lang w:val="fr-FR"/>
        </w:rPr>
      </w:pPr>
      <w:r w:rsidRPr="00E21AE0">
        <w:rPr>
          <w:rFonts w:asciiTheme="minorHAnsi" w:hAnsiTheme="minorHAnsi"/>
          <w:b/>
          <w:sz w:val="22"/>
          <w:szCs w:val="22"/>
          <w:lang w:val="fr-FR"/>
        </w:rPr>
        <w:t>E6</w:t>
      </w:r>
      <w:r w:rsidR="00DA3647" w:rsidRPr="00E21AE0">
        <w:rPr>
          <w:rFonts w:asciiTheme="minorHAnsi" w:hAnsiTheme="minorHAnsi"/>
          <w:b/>
          <w:sz w:val="22"/>
          <w:szCs w:val="22"/>
          <w:lang w:val="fr-FR"/>
        </w:rPr>
        <w:t xml:space="preserve">. </w:t>
      </w:r>
      <w:r w:rsidR="00FC12F2" w:rsidRPr="00FC12F2">
        <w:rPr>
          <w:rFonts w:asciiTheme="minorHAnsi" w:hAnsiTheme="minorHAnsi"/>
          <w:b/>
          <w:sz w:val="22"/>
          <w:szCs w:val="22"/>
          <w:lang w:val="fr-FR"/>
        </w:rPr>
        <w:t>La colchicine ne convient pas aux patients avec un DFG &lt; 10 ml/min/1,73 m2 (risque de toxicité de la colchicine)</w:t>
      </w:r>
    </w:p>
    <w:p w14:paraId="515E29BA" w14:textId="77777777" w:rsidR="00B40EEF" w:rsidRPr="00E21AE0" w:rsidRDefault="00B40EEF" w:rsidP="0043334F">
      <w:pPr>
        <w:contextualSpacing/>
        <w:jc w:val="both"/>
        <w:rPr>
          <w:rFonts w:asciiTheme="minorHAnsi" w:hAnsiTheme="minorHAnsi"/>
          <w:b/>
          <w:sz w:val="22"/>
          <w:szCs w:val="22"/>
          <w:lang w:val="fr-FR"/>
        </w:rPr>
      </w:pPr>
    </w:p>
    <w:p w14:paraId="2473A1DC" w14:textId="421BF92B" w:rsidR="00EE6325" w:rsidRPr="00E21AE0" w:rsidRDefault="00994461" w:rsidP="0043334F">
      <w:pPr>
        <w:contextualSpacing/>
        <w:jc w:val="both"/>
        <w:rPr>
          <w:rFonts w:asciiTheme="minorHAnsi" w:hAnsiTheme="minorHAnsi"/>
          <w:b/>
          <w:sz w:val="22"/>
          <w:szCs w:val="22"/>
          <w:lang w:val="fr-FR"/>
        </w:rPr>
      </w:pPr>
      <w:r w:rsidRPr="00E21AE0">
        <w:rPr>
          <w:rFonts w:asciiTheme="minorHAnsi" w:hAnsiTheme="minorHAnsi"/>
          <w:b/>
          <w:sz w:val="22"/>
          <w:szCs w:val="22"/>
          <w:lang w:val="fr-FR"/>
        </w:rPr>
        <w:t>E</w:t>
      </w:r>
      <w:r w:rsidR="004D36A2" w:rsidRPr="00E21AE0">
        <w:rPr>
          <w:rFonts w:asciiTheme="minorHAnsi" w:hAnsiTheme="minorHAnsi"/>
          <w:b/>
          <w:sz w:val="22"/>
          <w:szCs w:val="22"/>
          <w:lang w:val="fr-FR"/>
        </w:rPr>
        <w:t>7</w:t>
      </w:r>
      <w:r w:rsidRPr="00E21AE0">
        <w:rPr>
          <w:rFonts w:asciiTheme="minorHAnsi" w:hAnsiTheme="minorHAnsi"/>
          <w:b/>
          <w:sz w:val="22"/>
          <w:szCs w:val="22"/>
          <w:lang w:val="fr-FR"/>
        </w:rPr>
        <w:t xml:space="preserve">. </w:t>
      </w:r>
      <w:r w:rsidR="00FC12F2" w:rsidRPr="00FC12F2">
        <w:rPr>
          <w:rFonts w:asciiTheme="minorHAnsi" w:hAnsiTheme="minorHAnsi"/>
          <w:b/>
          <w:sz w:val="22"/>
          <w:szCs w:val="22"/>
          <w:lang w:val="fr-FR"/>
        </w:rPr>
        <w:t>Le méthotrexate ne convient pas aux patients avec un DFG &lt; 30 ml/min/1,73 m2</w:t>
      </w:r>
    </w:p>
    <w:p w14:paraId="03152DDF" w14:textId="77777777" w:rsidR="00D536CC" w:rsidRPr="00E21AE0" w:rsidRDefault="00D536CC" w:rsidP="0043334F">
      <w:pPr>
        <w:contextualSpacing/>
        <w:jc w:val="both"/>
        <w:rPr>
          <w:rFonts w:asciiTheme="minorHAnsi" w:hAnsiTheme="minorHAnsi"/>
          <w:b/>
          <w:sz w:val="22"/>
          <w:szCs w:val="22"/>
          <w:lang w:val="fr-FR"/>
        </w:rPr>
      </w:pPr>
    </w:p>
    <w:p w14:paraId="1AA81D65" w14:textId="14226CEF" w:rsidR="00FC12F2" w:rsidRDefault="004816D3" w:rsidP="0043334F">
      <w:pPr>
        <w:contextualSpacing/>
        <w:jc w:val="both"/>
        <w:rPr>
          <w:rFonts w:asciiTheme="minorHAnsi" w:hAnsiTheme="minorHAnsi"/>
          <w:b/>
          <w:color w:val="000000"/>
          <w:sz w:val="22"/>
          <w:szCs w:val="22"/>
          <w:lang w:val="fr-FR"/>
        </w:rPr>
      </w:pPr>
      <w:r w:rsidRPr="00E21AE0">
        <w:rPr>
          <w:rFonts w:asciiTheme="minorHAnsi" w:hAnsiTheme="minorHAnsi"/>
          <w:b/>
          <w:color w:val="000000"/>
          <w:sz w:val="22"/>
          <w:szCs w:val="22"/>
          <w:lang w:val="fr-FR"/>
        </w:rPr>
        <w:t>E</w:t>
      </w:r>
      <w:r w:rsidR="004D36A2" w:rsidRPr="00E21AE0">
        <w:rPr>
          <w:rFonts w:asciiTheme="minorHAnsi" w:hAnsiTheme="minorHAnsi"/>
          <w:b/>
          <w:color w:val="000000"/>
          <w:sz w:val="22"/>
          <w:szCs w:val="22"/>
          <w:lang w:val="fr-FR"/>
        </w:rPr>
        <w:t>8</w:t>
      </w:r>
      <w:r w:rsidRPr="00E21AE0">
        <w:rPr>
          <w:rFonts w:asciiTheme="minorHAnsi" w:hAnsiTheme="minorHAnsi"/>
          <w:b/>
          <w:color w:val="000000"/>
          <w:sz w:val="22"/>
          <w:szCs w:val="22"/>
          <w:lang w:val="fr-FR"/>
        </w:rPr>
        <w:t xml:space="preserve">. </w:t>
      </w:r>
      <w:r w:rsidR="00FC12F2" w:rsidRPr="00FC12F2">
        <w:rPr>
          <w:rFonts w:asciiTheme="minorHAnsi" w:hAnsiTheme="minorHAnsi"/>
          <w:b/>
          <w:color w:val="000000"/>
          <w:sz w:val="22"/>
          <w:szCs w:val="22"/>
          <w:lang w:val="fr-FR"/>
        </w:rPr>
        <w:t xml:space="preserve">L'utilisation de la </w:t>
      </w:r>
      <w:proofErr w:type="spellStart"/>
      <w:r w:rsidR="00FC12F2" w:rsidRPr="00FC12F2">
        <w:rPr>
          <w:rFonts w:asciiTheme="minorHAnsi" w:hAnsiTheme="minorHAnsi"/>
          <w:b/>
          <w:color w:val="000000"/>
          <w:sz w:val="22"/>
          <w:szCs w:val="22"/>
          <w:lang w:val="fr-FR"/>
        </w:rPr>
        <w:t>mépéridine</w:t>
      </w:r>
      <w:proofErr w:type="spellEnd"/>
      <w:r w:rsidR="00FC12F2" w:rsidRPr="00FC12F2">
        <w:rPr>
          <w:rFonts w:asciiTheme="minorHAnsi" w:hAnsiTheme="minorHAnsi"/>
          <w:b/>
          <w:color w:val="000000"/>
          <w:sz w:val="22"/>
          <w:szCs w:val="22"/>
          <w:lang w:val="fr-FR"/>
        </w:rPr>
        <w:t xml:space="preserve"> n'est pas adaptée au traitement de la douleur (risque</w:t>
      </w:r>
      <w:r w:rsidR="00FC12F2">
        <w:rPr>
          <w:rFonts w:asciiTheme="minorHAnsi" w:hAnsiTheme="minorHAnsi"/>
          <w:b/>
          <w:color w:val="000000"/>
          <w:sz w:val="22"/>
          <w:szCs w:val="22"/>
          <w:lang w:val="fr-FR"/>
        </w:rPr>
        <w:t xml:space="preserve"> accru de</w:t>
      </w:r>
      <w:r w:rsidR="00FC12F2" w:rsidRPr="00FC12F2">
        <w:rPr>
          <w:rFonts w:asciiTheme="minorHAnsi" w:hAnsiTheme="minorHAnsi"/>
          <w:b/>
          <w:color w:val="000000"/>
          <w:sz w:val="22"/>
          <w:szCs w:val="22"/>
          <w:lang w:val="fr-FR"/>
        </w:rPr>
        <w:t xml:space="preserve"> </w:t>
      </w:r>
      <w:proofErr w:type="spellStart"/>
      <w:r w:rsidR="00FC12F2" w:rsidRPr="00FC12F2">
        <w:rPr>
          <w:rFonts w:asciiTheme="minorHAnsi" w:hAnsiTheme="minorHAnsi"/>
          <w:b/>
          <w:color w:val="000000"/>
          <w:sz w:val="22"/>
          <w:szCs w:val="22"/>
          <w:lang w:val="fr-FR"/>
        </w:rPr>
        <w:t>neurotoxicité</w:t>
      </w:r>
      <w:proofErr w:type="spellEnd"/>
      <w:r w:rsidR="00FC12F2" w:rsidRPr="00FC12F2">
        <w:rPr>
          <w:rFonts w:asciiTheme="minorHAnsi" w:hAnsiTheme="minorHAnsi"/>
          <w:b/>
          <w:color w:val="000000"/>
          <w:sz w:val="22"/>
          <w:szCs w:val="22"/>
          <w:lang w:val="fr-FR"/>
        </w:rPr>
        <w:t>, de délire par rapport aux autres opioïdes ; il existe des alternatives plus sûres. Son utilisation est risquée, notamment en présence d'insuffisance rénale)</w:t>
      </w:r>
    </w:p>
    <w:p w14:paraId="46FC6808" w14:textId="77777777" w:rsidR="00FC12F2" w:rsidRDefault="00FC12F2" w:rsidP="0043334F">
      <w:pPr>
        <w:contextualSpacing/>
        <w:jc w:val="both"/>
        <w:rPr>
          <w:rFonts w:asciiTheme="minorHAnsi" w:hAnsiTheme="minorHAnsi"/>
          <w:b/>
          <w:color w:val="000000"/>
          <w:sz w:val="22"/>
          <w:szCs w:val="22"/>
          <w:lang w:val="fr-FR"/>
        </w:rPr>
      </w:pPr>
    </w:p>
    <w:p w14:paraId="071499AA" w14:textId="590D9A67" w:rsidR="00991613" w:rsidRPr="00E21AE0" w:rsidRDefault="00991613" w:rsidP="0043334F">
      <w:pPr>
        <w:pStyle w:val="HTMLncedenBiimlendirilmi"/>
        <w:contextualSpacing/>
        <w:jc w:val="both"/>
        <w:rPr>
          <w:rFonts w:asciiTheme="minorHAnsi" w:hAnsiTheme="minorHAnsi" w:cstheme="minorHAnsi"/>
          <w:color w:val="000000"/>
          <w:sz w:val="22"/>
          <w:szCs w:val="22"/>
          <w:lang w:val="fr-FR"/>
        </w:rPr>
      </w:pPr>
      <w:r w:rsidRPr="00E21AE0">
        <w:rPr>
          <w:rFonts w:asciiTheme="minorHAnsi" w:hAnsiTheme="minorHAnsi"/>
          <w:b/>
          <w:color w:val="000000"/>
          <w:sz w:val="22"/>
          <w:szCs w:val="22"/>
          <w:lang w:val="fr-FR"/>
        </w:rPr>
        <w:t>E</w:t>
      </w:r>
      <w:r w:rsidR="004D36A2" w:rsidRPr="00E21AE0">
        <w:rPr>
          <w:rFonts w:asciiTheme="minorHAnsi" w:hAnsiTheme="minorHAnsi"/>
          <w:b/>
          <w:color w:val="000000"/>
          <w:sz w:val="22"/>
          <w:szCs w:val="22"/>
          <w:lang w:val="fr-FR"/>
        </w:rPr>
        <w:t>9</w:t>
      </w:r>
      <w:r w:rsidRPr="00E21AE0">
        <w:rPr>
          <w:rFonts w:asciiTheme="minorHAnsi" w:hAnsiTheme="minorHAnsi"/>
          <w:b/>
          <w:color w:val="000000"/>
          <w:sz w:val="22"/>
          <w:szCs w:val="22"/>
          <w:lang w:val="fr-FR"/>
        </w:rPr>
        <w:t xml:space="preserve">. </w:t>
      </w:r>
      <w:r w:rsidR="00FC12F2" w:rsidRPr="00FC12F2">
        <w:rPr>
          <w:rFonts w:asciiTheme="minorHAnsi" w:hAnsiTheme="minorHAnsi"/>
          <w:b/>
          <w:color w:val="000000"/>
          <w:sz w:val="22"/>
          <w:szCs w:val="22"/>
          <w:lang w:val="fr-FR"/>
        </w:rPr>
        <w:t xml:space="preserve">Le </w:t>
      </w:r>
      <w:proofErr w:type="spellStart"/>
      <w:r w:rsidR="00FC12F2" w:rsidRPr="00FC12F2">
        <w:rPr>
          <w:rFonts w:asciiTheme="minorHAnsi" w:hAnsiTheme="minorHAnsi"/>
          <w:b/>
          <w:color w:val="000000"/>
          <w:sz w:val="22"/>
          <w:szCs w:val="22"/>
          <w:lang w:val="fr-FR"/>
        </w:rPr>
        <w:t>tramadol</w:t>
      </w:r>
      <w:proofErr w:type="spellEnd"/>
      <w:r w:rsidR="00FC12F2" w:rsidRPr="00FC12F2">
        <w:rPr>
          <w:rFonts w:asciiTheme="minorHAnsi" w:hAnsiTheme="minorHAnsi"/>
          <w:b/>
          <w:color w:val="000000"/>
          <w:sz w:val="22"/>
          <w:szCs w:val="22"/>
          <w:lang w:val="fr-FR"/>
        </w:rPr>
        <w:t xml:space="preserve"> à libération prolongée ne convient pas aux patients avec un DFG &lt; 30 ml/min/1,7 m2</w:t>
      </w:r>
    </w:p>
    <w:p w14:paraId="063C4733" w14:textId="7BE0D506" w:rsidR="00071CA0" w:rsidRDefault="00FC12F2" w:rsidP="0043334F">
      <w:pPr>
        <w:pStyle w:val="HTMLncedenBiimlendirilmi"/>
        <w:contextualSpacing/>
        <w:jc w:val="both"/>
        <w:rPr>
          <w:rFonts w:asciiTheme="minorHAnsi" w:hAnsiTheme="minorHAnsi" w:cs="Times New Roman"/>
          <w:i/>
          <w:sz w:val="22"/>
          <w:szCs w:val="22"/>
          <w:lang w:val="fr-FR"/>
        </w:rPr>
      </w:pPr>
      <w:r w:rsidRPr="00FC12F2">
        <w:rPr>
          <w:rFonts w:asciiTheme="minorHAnsi" w:hAnsiTheme="minorHAnsi" w:cs="Times New Roman"/>
          <w:i/>
          <w:sz w:val="22"/>
          <w:szCs w:val="22"/>
          <w:lang w:val="fr-FR"/>
        </w:rPr>
        <w:t xml:space="preserve">*Une réduction de la dose doit être effectuée pour le </w:t>
      </w:r>
      <w:proofErr w:type="spellStart"/>
      <w:r w:rsidRPr="00FC12F2">
        <w:rPr>
          <w:rFonts w:asciiTheme="minorHAnsi" w:hAnsiTheme="minorHAnsi" w:cs="Times New Roman"/>
          <w:i/>
          <w:sz w:val="22"/>
          <w:szCs w:val="22"/>
          <w:lang w:val="fr-FR"/>
        </w:rPr>
        <w:t>tramadol</w:t>
      </w:r>
      <w:proofErr w:type="spellEnd"/>
      <w:r w:rsidRPr="00FC12F2">
        <w:rPr>
          <w:rFonts w:asciiTheme="minorHAnsi" w:hAnsiTheme="minorHAnsi" w:cs="Times New Roman"/>
          <w:i/>
          <w:sz w:val="22"/>
          <w:szCs w:val="22"/>
          <w:lang w:val="fr-FR"/>
        </w:rPr>
        <w:t xml:space="preserve"> à libération immédiate.</w:t>
      </w:r>
    </w:p>
    <w:p w14:paraId="7B594847" w14:textId="77777777" w:rsidR="00FC12F2" w:rsidRPr="00E21AE0" w:rsidRDefault="00FC12F2" w:rsidP="0043334F">
      <w:pPr>
        <w:pStyle w:val="HTMLncedenBiimlendirilmi"/>
        <w:contextualSpacing/>
        <w:jc w:val="both"/>
        <w:rPr>
          <w:rFonts w:asciiTheme="minorHAnsi" w:hAnsiTheme="minorHAnsi" w:cstheme="minorHAnsi"/>
          <w:sz w:val="22"/>
          <w:szCs w:val="22"/>
          <w:lang w:val="fr-FR"/>
        </w:rPr>
      </w:pPr>
    </w:p>
    <w:p w14:paraId="5664E1D8" w14:textId="2AC3E339" w:rsidR="00991613" w:rsidRPr="00E21AE0" w:rsidRDefault="0096255B" w:rsidP="0043334F">
      <w:pPr>
        <w:pStyle w:val="HTMLncedenBiimlendirilmi"/>
        <w:contextualSpacing/>
        <w:jc w:val="both"/>
        <w:rPr>
          <w:rFonts w:asciiTheme="minorHAnsi" w:hAnsiTheme="minorHAnsi" w:cstheme="minorHAnsi"/>
          <w:color w:val="000000"/>
          <w:sz w:val="22"/>
          <w:szCs w:val="22"/>
          <w:lang w:val="fr-FR"/>
        </w:rPr>
      </w:pPr>
      <w:r w:rsidRPr="00E21AE0">
        <w:rPr>
          <w:rFonts w:asciiTheme="minorHAnsi" w:hAnsiTheme="minorHAnsi"/>
          <w:b/>
          <w:color w:val="000000"/>
          <w:sz w:val="22"/>
          <w:szCs w:val="22"/>
          <w:lang w:val="fr-FR"/>
        </w:rPr>
        <w:t>E</w:t>
      </w:r>
      <w:r w:rsidR="004D36A2" w:rsidRPr="00E21AE0">
        <w:rPr>
          <w:rFonts w:asciiTheme="minorHAnsi" w:hAnsiTheme="minorHAnsi"/>
          <w:b/>
          <w:color w:val="000000"/>
          <w:sz w:val="22"/>
          <w:szCs w:val="22"/>
          <w:lang w:val="fr-FR"/>
        </w:rPr>
        <w:t>10</w:t>
      </w:r>
      <w:r w:rsidR="00991613" w:rsidRPr="00E21AE0">
        <w:rPr>
          <w:rFonts w:asciiTheme="minorHAnsi" w:hAnsiTheme="minorHAnsi"/>
          <w:b/>
          <w:color w:val="000000"/>
          <w:sz w:val="22"/>
          <w:szCs w:val="22"/>
          <w:lang w:val="fr-FR"/>
        </w:rPr>
        <w:t xml:space="preserve">. </w:t>
      </w:r>
      <w:r w:rsidR="00FC12F2" w:rsidRPr="00FC12F2">
        <w:rPr>
          <w:rFonts w:asciiTheme="minorHAnsi" w:hAnsiTheme="minorHAnsi"/>
          <w:b/>
          <w:color w:val="000000"/>
          <w:sz w:val="22"/>
          <w:szCs w:val="22"/>
          <w:lang w:val="fr-FR"/>
        </w:rPr>
        <w:t>Les opioïdes ne conviennent pas à un usage chronique sans administration concomitante de laxatif (risque de constipation sévère)</w:t>
      </w:r>
    </w:p>
    <w:p w14:paraId="7738F681" w14:textId="77777777" w:rsidR="00642443" w:rsidRPr="00E21AE0" w:rsidRDefault="00642443"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val="fr-FR" w:eastAsia="en-GB"/>
        </w:rPr>
      </w:pPr>
    </w:p>
    <w:p w14:paraId="68F1A1CA" w14:textId="77777777" w:rsidR="00071CA0" w:rsidRPr="00E21AE0" w:rsidRDefault="00071CA0" w:rsidP="0043334F">
      <w:pPr>
        <w:contextualSpacing/>
        <w:rPr>
          <w:rFonts w:asciiTheme="minorHAnsi" w:hAnsiTheme="minorHAnsi"/>
          <w:b/>
          <w:sz w:val="22"/>
          <w:szCs w:val="22"/>
          <w:lang w:val="fr-FR"/>
        </w:rPr>
      </w:pPr>
    </w:p>
    <w:p w14:paraId="2F26662C" w14:textId="52B7A820" w:rsidR="00E128BC" w:rsidRDefault="0096255B" w:rsidP="0043334F">
      <w:pPr>
        <w:contextualSpacing/>
        <w:rPr>
          <w:rFonts w:asciiTheme="minorHAnsi" w:hAnsiTheme="minorHAnsi"/>
          <w:b/>
          <w:sz w:val="22"/>
          <w:szCs w:val="22"/>
          <w:lang w:val="fr-FR"/>
        </w:rPr>
      </w:pPr>
      <w:r w:rsidRPr="00E21AE0">
        <w:rPr>
          <w:rFonts w:asciiTheme="minorHAnsi" w:hAnsiTheme="minorHAnsi"/>
          <w:b/>
          <w:sz w:val="22"/>
          <w:szCs w:val="22"/>
          <w:lang w:val="fr-FR"/>
        </w:rPr>
        <w:t>E1</w:t>
      </w:r>
      <w:r w:rsidR="004D36A2" w:rsidRPr="00E21AE0">
        <w:rPr>
          <w:rFonts w:asciiTheme="minorHAnsi" w:hAnsiTheme="minorHAnsi"/>
          <w:b/>
          <w:sz w:val="22"/>
          <w:szCs w:val="22"/>
          <w:lang w:val="fr-FR"/>
        </w:rPr>
        <w:t>1</w:t>
      </w:r>
      <w:r w:rsidR="004816D3" w:rsidRPr="00E21AE0">
        <w:rPr>
          <w:rFonts w:asciiTheme="minorHAnsi" w:hAnsiTheme="minorHAnsi"/>
          <w:b/>
          <w:sz w:val="22"/>
          <w:szCs w:val="22"/>
          <w:lang w:val="fr-FR"/>
        </w:rPr>
        <w:t xml:space="preserve">. </w:t>
      </w:r>
      <w:r w:rsidR="00E128BC" w:rsidRPr="00E128BC">
        <w:rPr>
          <w:rFonts w:asciiTheme="minorHAnsi" w:hAnsiTheme="minorHAnsi"/>
          <w:b/>
          <w:sz w:val="22"/>
          <w:szCs w:val="22"/>
          <w:lang w:val="fr-FR"/>
        </w:rPr>
        <w:t>L'utilisation d'agents myorelaxants systémiques (</w:t>
      </w:r>
      <w:proofErr w:type="spellStart"/>
      <w:r w:rsidR="00E128BC" w:rsidRPr="00E128BC">
        <w:rPr>
          <w:rFonts w:asciiTheme="minorHAnsi" w:hAnsiTheme="minorHAnsi"/>
          <w:b/>
          <w:sz w:val="22"/>
          <w:szCs w:val="22"/>
          <w:lang w:val="fr-FR"/>
        </w:rPr>
        <w:t>thiocolchicoside</w:t>
      </w:r>
      <w:proofErr w:type="spellEnd"/>
      <w:r w:rsidR="00E128BC" w:rsidRPr="00E128BC">
        <w:rPr>
          <w:rFonts w:asciiTheme="minorHAnsi" w:hAnsiTheme="minorHAnsi"/>
          <w:b/>
          <w:sz w:val="22"/>
          <w:szCs w:val="22"/>
          <w:lang w:val="fr-FR"/>
        </w:rPr>
        <w:t xml:space="preserve">, </w:t>
      </w:r>
      <w:proofErr w:type="spellStart"/>
      <w:r w:rsidR="00E128BC" w:rsidRPr="00E128BC">
        <w:rPr>
          <w:rFonts w:asciiTheme="minorHAnsi" w:hAnsiTheme="minorHAnsi"/>
          <w:b/>
          <w:sz w:val="22"/>
          <w:szCs w:val="22"/>
          <w:lang w:val="fr-FR"/>
        </w:rPr>
        <w:t>tizanidine</w:t>
      </w:r>
      <w:proofErr w:type="spellEnd"/>
      <w:r w:rsidR="00E128BC" w:rsidRPr="00E128BC">
        <w:rPr>
          <w:rFonts w:asciiTheme="minorHAnsi" w:hAnsiTheme="minorHAnsi"/>
          <w:b/>
          <w:sz w:val="22"/>
          <w:szCs w:val="22"/>
          <w:lang w:val="fr-FR"/>
        </w:rPr>
        <w:t xml:space="preserve">, </w:t>
      </w:r>
      <w:proofErr w:type="spellStart"/>
      <w:r w:rsidR="00E128BC" w:rsidRPr="00E128BC">
        <w:rPr>
          <w:rFonts w:asciiTheme="minorHAnsi" w:hAnsiTheme="minorHAnsi"/>
          <w:b/>
          <w:sz w:val="22"/>
          <w:szCs w:val="22"/>
          <w:lang w:val="fr-FR"/>
        </w:rPr>
        <w:t>chlorzoxazone</w:t>
      </w:r>
      <w:proofErr w:type="spellEnd"/>
      <w:r w:rsidR="00E128BC" w:rsidRPr="00E128BC">
        <w:rPr>
          <w:rFonts w:asciiTheme="minorHAnsi" w:hAnsiTheme="minorHAnsi"/>
          <w:b/>
          <w:sz w:val="22"/>
          <w:szCs w:val="22"/>
          <w:lang w:val="fr-FR"/>
        </w:rPr>
        <w:t xml:space="preserve">, </w:t>
      </w:r>
      <w:proofErr w:type="spellStart"/>
      <w:r w:rsidR="00E128BC" w:rsidRPr="00E128BC">
        <w:rPr>
          <w:rFonts w:asciiTheme="minorHAnsi" w:hAnsiTheme="minorHAnsi"/>
          <w:b/>
          <w:sz w:val="22"/>
          <w:szCs w:val="22"/>
          <w:lang w:val="fr-FR"/>
        </w:rPr>
        <w:t>carisoprodol</w:t>
      </w:r>
      <w:proofErr w:type="spellEnd"/>
      <w:r w:rsidR="00E128BC" w:rsidRPr="00E128BC">
        <w:rPr>
          <w:rFonts w:asciiTheme="minorHAnsi" w:hAnsiTheme="minorHAnsi"/>
          <w:b/>
          <w:sz w:val="22"/>
          <w:szCs w:val="22"/>
          <w:lang w:val="fr-FR"/>
        </w:rPr>
        <w:t xml:space="preserve">, carbamate de </w:t>
      </w:r>
      <w:proofErr w:type="spellStart"/>
      <w:r w:rsidR="00E128BC" w:rsidRPr="00E128BC">
        <w:rPr>
          <w:rFonts w:asciiTheme="minorHAnsi" w:hAnsiTheme="minorHAnsi"/>
          <w:b/>
          <w:sz w:val="22"/>
          <w:szCs w:val="22"/>
          <w:lang w:val="fr-FR"/>
        </w:rPr>
        <w:t>chlorphénezine</w:t>
      </w:r>
      <w:proofErr w:type="spellEnd"/>
      <w:r w:rsidR="00E128BC" w:rsidRPr="00E128BC">
        <w:rPr>
          <w:rFonts w:asciiTheme="minorHAnsi" w:hAnsiTheme="minorHAnsi"/>
          <w:b/>
          <w:sz w:val="22"/>
          <w:szCs w:val="22"/>
          <w:lang w:val="fr-FR"/>
        </w:rPr>
        <w:t xml:space="preserve">, </w:t>
      </w:r>
      <w:proofErr w:type="spellStart"/>
      <w:r w:rsidR="00E128BC" w:rsidRPr="00E128BC">
        <w:rPr>
          <w:rFonts w:asciiTheme="minorHAnsi" w:hAnsiTheme="minorHAnsi"/>
          <w:b/>
          <w:sz w:val="22"/>
          <w:szCs w:val="22"/>
          <w:lang w:val="fr-FR"/>
        </w:rPr>
        <w:t>cyclobenzaprine</w:t>
      </w:r>
      <w:proofErr w:type="spellEnd"/>
      <w:r w:rsidR="00E128BC" w:rsidRPr="00E128BC">
        <w:rPr>
          <w:rFonts w:asciiTheme="minorHAnsi" w:hAnsiTheme="minorHAnsi"/>
          <w:b/>
          <w:sz w:val="22"/>
          <w:szCs w:val="22"/>
          <w:lang w:val="fr-FR"/>
        </w:rPr>
        <w:t xml:space="preserve">, </w:t>
      </w:r>
      <w:proofErr w:type="spellStart"/>
      <w:r w:rsidR="00E128BC" w:rsidRPr="00E128BC">
        <w:rPr>
          <w:rFonts w:asciiTheme="minorHAnsi" w:hAnsiTheme="minorHAnsi"/>
          <w:b/>
          <w:sz w:val="22"/>
          <w:szCs w:val="22"/>
          <w:lang w:val="fr-FR"/>
        </w:rPr>
        <w:t>métaxalone</w:t>
      </w:r>
      <w:proofErr w:type="spellEnd"/>
      <w:r w:rsidR="00E128BC" w:rsidRPr="00E128BC">
        <w:rPr>
          <w:rFonts w:asciiTheme="minorHAnsi" w:hAnsiTheme="minorHAnsi"/>
          <w:b/>
          <w:sz w:val="22"/>
          <w:szCs w:val="22"/>
          <w:lang w:val="fr-FR"/>
        </w:rPr>
        <w:t xml:space="preserve">, </w:t>
      </w:r>
      <w:proofErr w:type="spellStart"/>
      <w:r w:rsidR="00E128BC" w:rsidRPr="00E128BC">
        <w:rPr>
          <w:rFonts w:asciiTheme="minorHAnsi" w:hAnsiTheme="minorHAnsi"/>
          <w:b/>
          <w:sz w:val="22"/>
          <w:szCs w:val="22"/>
          <w:lang w:val="fr-FR"/>
        </w:rPr>
        <w:t>méthocarbamol</w:t>
      </w:r>
      <w:proofErr w:type="spellEnd"/>
      <w:r w:rsidR="00E128BC" w:rsidRPr="00E128BC">
        <w:rPr>
          <w:rFonts w:asciiTheme="minorHAnsi" w:hAnsiTheme="minorHAnsi"/>
          <w:b/>
          <w:sz w:val="22"/>
          <w:szCs w:val="22"/>
          <w:lang w:val="fr-FR"/>
        </w:rPr>
        <w:t xml:space="preserve"> et </w:t>
      </w:r>
      <w:proofErr w:type="spellStart"/>
      <w:r w:rsidR="00E128BC" w:rsidRPr="00E128BC">
        <w:rPr>
          <w:rFonts w:asciiTheme="minorHAnsi" w:hAnsiTheme="minorHAnsi"/>
          <w:b/>
          <w:sz w:val="22"/>
          <w:szCs w:val="22"/>
          <w:lang w:val="fr-FR"/>
        </w:rPr>
        <w:t>orphénadrine</w:t>
      </w:r>
      <w:proofErr w:type="spellEnd"/>
      <w:r w:rsidR="00E128BC" w:rsidRPr="00E128BC">
        <w:rPr>
          <w:rFonts w:asciiTheme="minorHAnsi" w:hAnsiTheme="minorHAnsi"/>
          <w:b/>
          <w:sz w:val="22"/>
          <w:szCs w:val="22"/>
          <w:lang w:val="fr-FR"/>
        </w:rPr>
        <w:t xml:space="preserve">…etc.) ne convient pas aux douleurs musculo-squelettiques (muscles </w:t>
      </w:r>
      <w:r w:rsidR="002818FD" w:rsidRPr="00E128BC">
        <w:rPr>
          <w:rFonts w:asciiTheme="minorHAnsi" w:hAnsiTheme="minorHAnsi"/>
          <w:b/>
          <w:sz w:val="22"/>
          <w:szCs w:val="22"/>
          <w:lang w:val="fr-FR"/>
        </w:rPr>
        <w:t xml:space="preserve">squelettiques) </w:t>
      </w:r>
      <w:r w:rsidR="002818FD">
        <w:rPr>
          <w:rFonts w:asciiTheme="minorHAnsi" w:hAnsiTheme="minorHAnsi"/>
          <w:b/>
          <w:sz w:val="22"/>
          <w:szCs w:val="22"/>
          <w:lang w:val="fr-FR"/>
        </w:rPr>
        <w:t>(</w:t>
      </w:r>
      <w:r w:rsidR="00E128BC">
        <w:rPr>
          <w:rFonts w:asciiTheme="minorHAnsi" w:hAnsiTheme="minorHAnsi"/>
          <w:b/>
          <w:sz w:val="22"/>
          <w:szCs w:val="22"/>
          <w:lang w:val="fr-FR"/>
        </w:rPr>
        <w:t xml:space="preserve">à cause </w:t>
      </w:r>
      <w:r w:rsidR="00E128BC" w:rsidRPr="00E128BC">
        <w:rPr>
          <w:rFonts w:asciiTheme="minorHAnsi" w:hAnsiTheme="minorHAnsi"/>
          <w:b/>
          <w:sz w:val="22"/>
          <w:szCs w:val="22"/>
          <w:lang w:val="fr-FR"/>
        </w:rPr>
        <w:t xml:space="preserve">des effets secondaires </w:t>
      </w:r>
      <w:r w:rsidR="00E128BC">
        <w:rPr>
          <w:rFonts w:asciiTheme="minorHAnsi" w:hAnsiTheme="minorHAnsi"/>
          <w:b/>
          <w:sz w:val="22"/>
          <w:szCs w:val="22"/>
          <w:lang w:val="fr-FR"/>
        </w:rPr>
        <w:t xml:space="preserve">cognitifs, de </w:t>
      </w:r>
      <w:r w:rsidR="00E128BC" w:rsidRPr="00E128BC">
        <w:rPr>
          <w:rFonts w:asciiTheme="minorHAnsi" w:hAnsiTheme="minorHAnsi"/>
          <w:b/>
          <w:sz w:val="22"/>
          <w:szCs w:val="22"/>
          <w:lang w:val="fr-FR"/>
        </w:rPr>
        <w:t xml:space="preserve">sédation, somnolence, vertiges, bouche sèche) </w:t>
      </w:r>
    </w:p>
    <w:p w14:paraId="22226DA5" w14:textId="7043BD37" w:rsidR="00071CA0" w:rsidRPr="00E128BC" w:rsidRDefault="00E128BC" w:rsidP="0043334F">
      <w:pPr>
        <w:contextualSpacing/>
        <w:jc w:val="both"/>
        <w:rPr>
          <w:rFonts w:asciiTheme="minorHAnsi" w:hAnsiTheme="minorHAnsi"/>
          <w:i/>
          <w:color w:val="000000" w:themeColor="text1"/>
          <w:sz w:val="22"/>
          <w:szCs w:val="22"/>
          <w:lang w:val="fr-FR"/>
        </w:rPr>
      </w:pPr>
      <w:r w:rsidRPr="00E128BC">
        <w:rPr>
          <w:rFonts w:asciiTheme="minorHAnsi" w:hAnsiTheme="minorHAnsi"/>
          <w:i/>
          <w:color w:val="000000" w:themeColor="text1"/>
          <w:sz w:val="22"/>
          <w:szCs w:val="22"/>
          <w:lang w:val="fr-FR"/>
        </w:rPr>
        <w:t xml:space="preserve">*Le risque d'hypotension est également très évident avec la </w:t>
      </w:r>
      <w:proofErr w:type="spellStart"/>
      <w:r w:rsidRPr="00E128BC">
        <w:rPr>
          <w:rFonts w:asciiTheme="minorHAnsi" w:hAnsiTheme="minorHAnsi"/>
          <w:i/>
          <w:color w:val="000000" w:themeColor="text1"/>
          <w:sz w:val="22"/>
          <w:szCs w:val="22"/>
          <w:lang w:val="fr-FR"/>
        </w:rPr>
        <w:t>tizanidine</w:t>
      </w:r>
      <w:proofErr w:type="spellEnd"/>
      <w:r w:rsidRPr="00E128BC">
        <w:rPr>
          <w:rFonts w:asciiTheme="minorHAnsi" w:hAnsiTheme="minorHAnsi"/>
          <w:i/>
          <w:color w:val="000000" w:themeColor="text1"/>
          <w:sz w:val="22"/>
          <w:szCs w:val="22"/>
          <w:lang w:val="fr-FR"/>
        </w:rPr>
        <w:t>.</w:t>
      </w:r>
    </w:p>
    <w:p w14:paraId="71BEDD97" w14:textId="77777777" w:rsidR="00E128BC" w:rsidRPr="00E21AE0" w:rsidRDefault="00E128BC" w:rsidP="0043334F">
      <w:pPr>
        <w:contextualSpacing/>
        <w:jc w:val="both"/>
        <w:rPr>
          <w:rFonts w:asciiTheme="minorHAnsi" w:hAnsiTheme="minorHAnsi" w:cstheme="minorHAnsi"/>
          <w:sz w:val="22"/>
          <w:szCs w:val="22"/>
          <w:lang w:val="fr-FR"/>
        </w:rPr>
      </w:pPr>
    </w:p>
    <w:p w14:paraId="2AF7ECBF" w14:textId="449C3310" w:rsidR="003115C2" w:rsidRPr="00E21AE0" w:rsidRDefault="00C6392A" w:rsidP="0043334F">
      <w:pPr>
        <w:contextualSpacing/>
        <w:jc w:val="both"/>
        <w:rPr>
          <w:rFonts w:asciiTheme="minorHAnsi" w:hAnsiTheme="minorHAnsi"/>
          <w:b/>
          <w:color w:val="000000"/>
          <w:sz w:val="22"/>
          <w:szCs w:val="22"/>
          <w:lang w:val="fr-FR"/>
        </w:rPr>
      </w:pPr>
      <w:r w:rsidRPr="00E21AE0">
        <w:rPr>
          <w:rFonts w:ascii="Calibri" w:hAnsi="Calibri" w:cs="Calibri"/>
          <w:b/>
          <w:sz w:val="22"/>
          <w:szCs w:val="22"/>
          <w:lang w:val="fr-FR"/>
        </w:rPr>
        <w:t>#</w:t>
      </w:r>
      <w:r w:rsidR="00415CD8" w:rsidRPr="00E21AE0">
        <w:rPr>
          <w:rFonts w:asciiTheme="minorHAnsi" w:hAnsiTheme="minorHAnsi"/>
          <w:b/>
          <w:color w:val="000000"/>
          <w:sz w:val="22"/>
          <w:szCs w:val="22"/>
          <w:lang w:val="fr-FR"/>
        </w:rPr>
        <w:t>E1</w:t>
      </w:r>
      <w:r w:rsidR="004D36A2" w:rsidRPr="00E21AE0">
        <w:rPr>
          <w:rFonts w:asciiTheme="minorHAnsi" w:hAnsiTheme="minorHAnsi"/>
          <w:b/>
          <w:color w:val="000000"/>
          <w:sz w:val="22"/>
          <w:szCs w:val="22"/>
          <w:lang w:val="fr-FR"/>
        </w:rPr>
        <w:t>2</w:t>
      </w:r>
      <w:r w:rsidR="00415CD8" w:rsidRPr="00E21AE0">
        <w:rPr>
          <w:rFonts w:asciiTheme="minorHAnsi" w:hAnsiTheme="minorHAnsi"/>
          <w:b/>
          <w:color w:val="000000"/>
          <w:sz w:val="22"/>
          <w:szCs w:val="22"/>
          <w:lang w:val="fr-FR"/>
        </w:rPr>
        <w:t xml:space="preserve">. </w:t>
      </w:r>
      <w:r w:rsidR="00E128BC" w:rsidRPr="00E128BC">
        <w:rPr>
          <w:rFonts w:asciiTheme="minorHAnsi" w:hAnsiTheme="minorHAnsi"/>
          <w:b/>
          <w:color w:val="000000"/>
          <w:sz w:val="22"/>
          <w:szCs w:val="22"/>
          <w:lang w:val="fr-FR"/>
        </w:rPr>
        <w:t>Il n'est pas approprié d'initier un traitement contre l'ostéoporose sans exclure le diagnostic d'ostéomalacie.</w:t>
      </w:r>
    </w:p>
    <w:p w14:paraId="2A8A4847" w14:textId="77777777" w:rsidR="00CE7E93" w:rsidRPr="00E21AE0" w:rsidRDefault="00CE7E93" w:rsidP="0043334F">
      <w:pPr>
        <w:contextualSpacing/>
        <w:jc w:val="both"/>
        <w:rPr>
          <w:rFonts w:asciiTheme="minorHAnsi" w:hAnsiTheme="minorHAnsi"/>
          <w:b/>
          <w:color w:val="000000"/>
          <w:sz w:val="22"/>
          <w:szCs w:val="22"/>
          <w:lang w:val="fr-FR"/>
        </w:rPr>
      </w:pPr>
    </w:p>
    <w:p w14:paraId="324986DA" w14:textId="77777777" w:rsidR="00E128BC" w:rsidRDefault="00415CD8" w:rsidP="0043334F">
      <w:pPr>
        <w:contextualSpacing/>
        <w:jc w:val="both"/>
        <w:rPr>
          <w:rFonts w:asciiTheme="minorHAnsi" w:hAnsiTheme="minorHAnsi"/>
          <w:b/>
          <w:color w:val="000000"/>
          <w:sz w:val="22"/>
          <w:szCs w:val="22"/>
          <w:lang w:val="fr-FR"/>
        </w:rPr>
      </w:pPr>
      <w:r w:rsidRPr="00E21AE0">
        <w:rPr>
          <w:rFonts w:asciiTheme="minorHAnsi" w:hAnsiTheme="minorHAnsi"/>
          <w:b/>
          <w:color w:val="000000"/>
          <w:sz w:val="22"/>
          <w:szCs w:val="22"/>
          <w:lang w:val="fr-FR"/>
        </w:rPr>
        <w:t>E1</w:t>
      </w:r>
      <w:r w:rsidR="004D36A2" w:rsidRPr="00E21AE0">
        <w:rPr>
          <w:rFonts w:asciiTheme="minorHAnsi" w:hAnsiTheme="minorHAnsi"/>
          <w:b/>
          <w:color w:val="000000"/>
          <w:sz w:val="22"/>
          <w:szCs w:val="22"/>
          <w:lang w:val="fr-FR"/>
        </w:rPr>
        <w:t>3</w:t>
      </w:r>
      <w:r w:rsidRPr="00E21AE0">
        <w:rPr>
          <w:rFonts w:asciiTheme="minorHAnsi" w:hAnsiTheme="minorHAnsi"/>
          <w:b/>
          <w:color w:val="000000"/>
          <w:sz w:val="22"/>
          <w:szCs w:val="22"/>
          <w:lang w:val="fr-FR"/>
        </w:rPr>
        <w:t xml:space="preserve">. </w:t>
      </w:r>
      <w:r w:rsidR="00E128BC" w:rsidRPr="00E128BC">
        <w:rPr>
          <w:rFonts w:asciiTheme="minorHAnsi" w:hAnsiTheme="minorHAnsi"/>
          <w:b/>
          <w:color w:val="000000"/>
          <w:sz w:val="22"/>
          <w:szCs w:val="22"/>
          <w:lang w:val="fr-FR"/>
        </w:rPr>
        <w:t>L'utilisation intermittente de doses élevées (300 000 UI) de vitamine D conventionnelle n'est pas appropriée pour le traitement « d'entretien » à la vitamine D (risque accru de chutes, aucun avantage supplémentaire sur le système musculo-squelettique)</w:t>
      </w:r>
    </w:p>
    <w:p w14:paraId="0E85F5ED" w14:textId="77777777" w:rsidR="00E128BC" w:rsidRDefault="00E128BC" w:rsidP="0043334F">
      <w:pPr>
        <w:contextualSpacing/>
        <w:jc w:val="both"/>
        <w:rPr>
          <w:rFonts w:asciiTheme="minorHAnsi" w:hAnsiTheme="minorHAnsi"/>
          <w:i/>
          <w:sz w:val="22"/>
          <w:szCs w:val="22"/>
          <w:lang w:val="fr-FR"/>
        </w:rPr>
      </w:pPr>
      <w:r w:rsidRPr="00E128BC">
        <w:rPr>
          <w:rFonts w:asciiTheme="minorHAnsi" w:hAnsiTheme="minorHAnsi"/>
          <w:i/>
          <w:sz w:val="22"/>
          <w:szCs w:val="22"/>
          <w:lang w:val="fr-FR"/>
        </w:rPr>
        <w:t xml:space="preserve">*Les résultats négatifs de la vitamine D conventionnelle à forte dose utilisée en thérapie "d'entretien" ont été démontrés. </w:t>
      </w:r>
    </w:p>
    <w:p w14:paraId="30EBCA26" w14:textId="08E604FF" w:rsidR="00E128BC" w:rsidRDefault="00E128BC" w:rsidP="0043334F">
      <w:pPr>
        <w:contextualSpacing/>
        <w:jc w:val="both"/>
        <w:rPr>
          <w:rFonts w:asciiTheme="minorHAnsi" w:hAnsiTheme="minorHAnsi"/>
          <w:i/>
          <w:sz w:val="22"/>
          <w:szCs w:val="22"/>
          <w:lang w:val="fr-FR"/>
        </w:rPr>
      </w:pPr>
      <w:r w:rsidRPr="00E128BC">
        <w:rPr>
          <w:rFonts w:asciiTheme="minorHAnsi" w:hAnsiTheme="minorHAnsi"/>
          <w:i/>
          <w:sz w:val="22"/>
          <w:szCs w:val="22"/>
          <w:lang w:val="fr-FR"/>
        </w:rPr>
        <w:t xml:space="preserve">*Les résultats négatifs associés à la vitamine D conventionnelle à forte dose utilisée dans le traitement de « remplacement » n'ont pas été signalés. Cependant, en raison du principe de « démarrer </w:t>
      </w:r>
      <w:r>
        <w:rPr>
          <w:rFonts w:asciiTheme="minorHAnsi" w:hAnsiTheme="minorHAnsi"/>
          <w:i/>
          <w:sz w:val="22"/>
          <w:szCs w:val="22"/>
          <w:lang w:val="fr-FR"/>
        </w:rPr>
        <w:t>faiblement augmenter</w:t>
      </w:r>
      <w:r w:rsidRPr="00E128BC">
        <w:rPr>
          <w:rFonts w:asciiTheme="minorHAnsi" w:hAnsiTheme="minorHAnsi"/>
          <w:i/>
          <w:sz w:val="22"/>
          <w:szCs w:val="22"/>
          <w:lang w:val="fr-FR"/>
        </w:rPr>
        <w:t xml:space="preserve"> lentement », qui est généralement valable dans la consommation de médicaments chez les personnes âgées, il peut être approprié d'appliquer une thérapie de « remplacement » en vitamine D progressivement.</w:t>
      </w:r>
    </w:p>
    <w:p w14:paraId="61216EA4" w14:textId="77777777" w:rsidR="00E128BC" w:rsidRDefault="00E128BC" w:rsidP="0043334F">
      <w:pPr>
        <w:contextualSpacing/>
        <w:jc w:val="both"/>
        <w:rPr>
          <w:rFonts w:asciiTheme="minorHAnsi" w:hAnsiTheme="minorHAnsi"/>
          <w:i/>
          <w:sz w:val="22"/>
          <w:szCs w:val="22"/>
          <w:lang w:val="fr-FR"/>
        </w:rPr>
      </w:pPr>
    </w:p>
    <w:p w14:paraId="453EC484" w14:textId="77777777" w:rsidR="00B32C01" w:rsidRDefault="00994461" w:rsidP="0043334F">
      <w:pPr>
        <w:pStyle w:val="HTMLncedenBiimlendirilmi"/>
        <w:contextualSpacing/>
        <w:jc w:val="both"/>
        <w:rPr>
          <w:rFonts w:asciiTheme="minorHAnsi" w:hAnsiTheme="minorHAnsi" w:cs="Times New Roman"/>
          <w:b/>
          <w:bCs/>
          <w:color w:val="000000" w:themeColor="text1"/>
          <w:sz w:val="22"/>
          <w:szCs w:val="22"/>
          <w:lang w:val="fr-FR"/>
        </w:rPr>
      </w:pPr>
      <w:r w:rsidRPr="00E21AE0">
        <w:rPr>
          <w:rFonts w:asciiTheme="minorHAnsi" w:hAnsiTheme="minorHAnsi" w:cs="Times New Roman"/>
          <w:b/>
          <w:bCs/>
          <w:color w:val="000000" w:themeColor="text1"/>
          <w:sz w:val="22"/>
          <w:szCs w:val="22"/>
          <w:lang w:val="fr-FR"/>
        </w:rPr>
        <w:t>E1</w:t>
      </w:r>
      <w:r w:rsidR="004D36A2" w:rsidRPr="00E21AE0">
        <w:rPr>
          <w:rFonts w:asciiTheme="minorHAnsi" w:hAnsiTheme="minorHAnsi" w:cs="Times New Roman"/>
          <w:b/>
          <w:bCs/>
          <w:color w:val="000000" w:themeColor="text1"/>
          <w:sz w:val="22"/>
          <w:szCs w:val="22"/>
          <w:lang w:val="fr-FR"/>
        </w:rPr>
        <w:t>4</w:t>
      </w:r>
      <w:r w:rsidR="00AD6BB0" w:rsidRPr="00E21AE0">
        <w:rPr>
          <w:rFonts w:asciiTheme="minorHAnsi" w:hAnsiTheme="minorHAnsi" w:cs="Times New Roman"/>
          <w:b/>
          <w:bCs/>
          <w:color w:val="000000" w:themeColor="text1"/>
          <w:sz w:val="22"/>
          <w:szCs w:val="22"/>
          <w:lang w:val="fr-FR"/>
        </w:rPr>
        <w:t>.</w:t>
      </w:r>
      <w:r w:rsidRPr="00E21AE0">
        <w:rPr>
          <w:rFonts w:asciiTheme="minorHAnsi" w:hAnsiTheme="minorHAnsi" w:cs="Times New Roman"/>
          <w:b/>
          <w:bCs/>
          <w:color w:val="000000" w:themeColor="text1"/>
          <w:sz w:val="22"/>
          <w:szCs w:val="22"/>
          <w:lang w:val="fr-FR"/>
        </w:rPr>
        <w:t xml:space="preserve"> </w:t>
      </w:r>
      <w:r w:rsidR="00B32C01" w:rsidRPr="00B32C01">
        <w:rPr>
          <w:rFonts w:asciiTheme="minorHAnsi" w:hAnsiTheme="minorHAnsi" w:cs="Times New Roman"/>
          <w:b/>
          <w:bCs/>
          <w:color w:val="000000" w:themeColor="text1"/>
          <w:sz w:val="22"/>
          <w:szCs w:val="22"/>
          <w:lang w:val="fr-FR"/>
        </w:rPr>
        <w:t>En présence d'hyperphosphatémie et/ou d'hypercalcémie, l'utilisation de vitamine D active (</w:t>
      </w:r>
      <w:proofErr w:type="spellStart"/>
      <w:r w:rsidR="00B32C01" w:rsidRPr="00B32C01">
        <w:rPr>
          <w:rFonts w:asciiTheme="minorHAnsi" w:hAnsiTheme="minorHAnsi" w:cs="Times New Roman"/>
          <w:b/>
          <w:bCs/>
          <w:color w:val="000000" w:themeColor="text1"/>
          <w:sz w:val="22"/>
          <w:szCs w:val="22"/>
          <w:lang w:val="fr-FR"/>
        </w:rPr>
        <w:t>calcitriol</w:t>
      </w:r>
      <w:proofErr w:type="spellEnd"/>
      <w:r w:rsidR="00B32C01" w:rsidRPr="00B32C01">
        <w:rPr>
          <w:rFonts w:asciiTheme="minorHAnsi" w:hAnsiTheme="minorHAnsi" w:cs="Times New Roman"/>
          <w:b/>
          <w:bCs/>
          <w:color w:val="000000" w:themeColor="text1"/>
          <w:sz w:val="22"/>
          <w:szCs w:val="22"/>
          <w:lang w:val="fr-FR"/>
        </w:rPr>
        <w:t>) (1-25(OH)</w:t>
      </w:r>
      <w:r w:rsidR="00B32C01" w:rsidRPr="00B32C01">
        <w:rPr>
          <w:rFonts w:asciiTheme="minorHAnsi" w:hAnsiTheme="minorHAnsi" w:cs="Times New Roman"/>
          <w:b/>
          <w:bCs/>
          <w:color w:val="000000" w:themeColor="text1"/>
          <w:sz w:val="22"/>
          <w:szCs w:val="22"/>
          <w:vertAlign w:val="subscript"/>
          <w:lang w:val="fr-FR"/>
        </w:rPr>
        <w:t>2</w:t>
      </w:r>
      <w:r w:rsidR="00B32C01" w:rsidRPr="00B32C01">
        <w:rPr>
          <w:rFonts w:asciiTheme="minorHAnsi" w:hAnsiTheme="minorHAnsi" w:cs="Times New Roman"/>
          <w:b/>
          <w:bCs/>
          <w:color w:val="000000" w:themeColor="text1"/>
          <w:sz w:val="22"/>
          <w:szCs w:val="22"/>
          <w:lang w:val="fr-FR"/>
        </w:rPr>
        <w:t xml:space="preserve">cholécalciférol) ou conventionnelle (25(OH)cholécalciférol) n'est pas appropriée. </w:t>
      </w:r>
      <w:r w:rsidR="00B32C01">
        <w:rPr>
          <w:rFonts w:asciiTheme="minorHAnsi" w:hAnsiTheme="minorHAnsi" w:cs="Times New Roman"/>
          <w:b/>
          <w:bCs/>
          <w:color w:val="000000" w:themeColor="text1"/>
          <w:sz w:val="22"/>
          <w:szCs w:val="22"/>
          <w:lang w:val="fr-FR"/>
        </w:rPr>
        <w:t xml:space="preserve"> </w:t>
      </w:r>
    </w:p>
    <w:p w14:paraId="3CF0950D" w14:textId="77777777" w:rsidR="00B32C01" w:rsidRDefault="00B32C01" w:rsidP="0043334F">
      <w:pPr>
        <w:pStyle w:val="HTMLncedenBiimlendirilmi"/>
        <w:contextualSpacing/>
        <w:jc w:val="both"/>
        <w:rPr>
          <w:rFonts w:asciiTheme="minorHAnsi" w:hAnsiTheme="minorHAnsi" w:cs="Times New Roman"/>
          <w:b/>
          <w:bCs/>
          <w:color w:val="000000" w:themeColor="text1"/>
          <w:sz w:val="22"/>
          <w:szCs w:val="22"/>
          <w:lang w:val="fr-FR"/>
        </w:rPr>
      </w:pPr>
    </w:p>
    <w:p w14:paraId="39CC41FE" w14:textId="4F0F59C6" w:rsidR="00B32C01" w:rsidRDefault="00415CD8" w:rsidP="0043334F">
      <w:pPr>
        <w:contextualSpacing/>
        <w:jc w:val="both"/>
        <w:rPr>
          <w:rFonts w:asciiTheme="minorHAnsi" w:hAnsiTheme="minorHAnsi"/>
          <w:b/>
          <w:sz w:val="22"/>
          <w:szCs w:val="22"/>
          <w:lang w:val="fr-FR"/>
        </w:rPr>
      </w:pPr>
      <w:r w:rsidRPr="00E21AE0">
        <w:rPr>
          <w:rFonts w:asciiTheme="minorHAnsi" w:hAnsiTheme="minorHAnsi"/>
          <w:b/>
          <w:sz w:val="22"/>
          <w:szCs w:val="22"/>
          <w:lang w:val="fr-FR"/>
        </w:rPr>
        <w:t>E1</w:t>
      </w:r>
      <w:r w:rsidR="004D36A2" w:rsidRPr="00E21AE0">
        <w:rPr>
          <w:rFonts w:asciiTheme="minorHAnsi" w:hAnsiTheme="minorHAnsi"/>
          <w:b/>
          <w:sz w:val="22"/>
          <w:szCs w:val="22"/>
          <w:lang w:val="fr-FR"/>
        </w:rPr>
        <w:t>5</w:t>
      </w:r>
      <w:r w:rsidRPr="00E21AE0">
        <w:rPr>
          <w:rFonts w:asciiTheme="minorHAnsi" w:hAnsiTheme="minorHAnsi"/>
          <w:b/>
          <w:sz w:val="22"/>
          <w:szCs w:val="22"/>
          <w:lang w:val="fr-FR"/>
        </w:rPr>
        <w:t xml:space="preserve">. </w:t>
      </w:r>
      <w:r w:rsidR="00B32C01" w:rsidRPr="00B32C01">
        <w:rPr>
          <w:rFonts w:asciiTheme="minorHAnsi" w:hAnsiTheme="minorHAnsi"/>
          <w:b/>
          <w:sz w:val="22"/>
          <w:szCs w:val="22"/>
          <w:lang w:val="fr-FR"/>
        </w:rPr>
        <w:t xml:space="preserve">L'utilisation de </w:t>
      </w:r>
      <w:proofErr w:type="spellStart"/>
      <w:r w:rsidR="00B32C01" w:rsidRPr="00B32C01">
        <w:rPr>
          <w:rFonts w:asciiTheme="minorHAnsi" w:hAnsiTheme="minorHAnsi"/>
          <w:b/>
          <w:sz w:val="22"/>
          <w:szCs w:val="22"/>
          <w:lang w:val="fr-FR"/>
        </w:rPr>
        <w:t>bisphosphonates</w:t>
      </w:r>
      <w:proofErr w:type="spellEnd"/>
      <w:r w:rsidR="00B32C01" w:rsidRPr="00B32C01">
        <w:rPr>
          <w:rFonts w:asciiTheme="minorHAnsi" w:hAnsiTheme="minorHAnsi"/>
          <w:b/>
          <w:sz w:val="22"/>
          <w:szCs w:val="22"/>
          <w:lang w:val="fr-FR"/>
        </w:rPr>
        <w:t xml:space="preserve"> par voie orale n'est pas appropriée chez </w:t>
      </w:r>
      <w:r w:rsidR="00D42F87" w:rsidRPr="00D42F87">
        <w:rPr>
          <w:rFonts w:asciiTheme="minorHAnsi" w:hAnsiTheme="minorHAnsi"/>
          <w:b/>
          <w:sz w:val="22"/>
          <w:szCs w:val="22"/>
          <w:lang w:val="fr-FR"/>
        </w:rPr>
        <w:t>les patients ayant des antécédents de maladie du tractus gastro-intestinal supérieur (p. ex., dysphagie, œsophagite, ulcère gastroduodénal, saignement du tractus gastro-intestinal supérieur ou RGO</w:t>
      </w:r>
      <w:r w:rsidR="00D42F87">
        <w:rPr>
          <w:rFonts w:asciiTheme="minorHAnsi" w:hAnsiTheme="minorHAnsi"/>
          <w:b/>
          <w:sz w:val="22"/>
          <w:szCs w:val="22"/>
          <w:lang w:val="fr-FR"/>
        </w:rPr>
        <w:t xml:space="preserve"> non contrôlé par le </w:t>
      </w:r>
      <w:r w:rsidR="00D42F87">
        <w:rPr>
          <w:rFonts w:asciiTheme="minorHAnsi" w:hAnsiTheme="minorHAnsi"/>
          <w:b/>
          <w:sz w:val="22"/>
          <w:szCs w:val="22"/>
          <w:lang w:val="fr-FR"/>
        </w:rPr>
        <w:lastRenderedPageBreak/>
        <w:t xml:space="preserve">traitement </w:t>
      </w:r>
      <w:r w:rsidR="00D42F87" w:rsidRPr="00D42F87">
        <w:rPr>
          <w:rFonts w:asciiTheme="minorHAnsi" w:hAnsiTheme="minorHAnsi"/>
          <w:b/>
          <w:sz w:val="22"/>
          <w:szCs w:val="22"/>
          <w:lang w:val="fr-FR"/>
        </w:rPr>
        <w:t>et/ou physiquement incapable de se tenir debout) (risque de rechute/exacerbation de l'œsophagite, ulcère de l'œsophage, sténose de l'œsophage)</w:t>
      </w:r>
    </w:p>
    <w:p w14:paraId="13376DAC" w14:textId="0632E9F5" w:rsidR="00F11DEE" w:rsidRPr="00E21AE0" w:rsidRDefault="00D42F87" w:rsidP="0043334F">
      <w:pPr>
        <w:contextualSpacing/>
        <w:jc w:val="both"/>
        <w:rPr>
          <w:rFonts w:asciiTheme="minorHAnsi" w:hAnsiTheme="minorHAnsi"/>
          <w:i/>
          <w:sz w:val="22"/>
          <w:szCs w:val="22"/>
          <w:lang w:val="fr-FR"/>
        </w:rPr>
      </w:pPr>
      <w:r w:rsidRPr="00D42F87">
        <w:rPr>
          <w:rFonts w:asciiTheme="minorHAnsi" w:hAnsiTheme="minorHAnsi"/>
          <w:i/>
          <w:sz w:val="22"/>
          <w:szCs w:val="22"/>
          <w:lang w:val="fr-FR"/>
        </w:rPr>
        <w:t xml:space="preserve">*Les </w:t>
      </w:r>
      <w:proofErr w:type="spellStart"/>
      <w:r w:rsidRPr="00D42F87">
        <w:rPr>
          <w:rFonts w:asciiTheme="minorHAnsi" w:hAnsiTheme="minorHAnsi"/>
          <w:i/>
          <w:sz w:val="22"/>
          <w:szCs w:val="22"/>
          <w:lang w:val="fr-FR"/>
        </w:rPr>
        <w:t>bisphosphonates</w:t>
      </w:r>
      <w:proofErr w:type="spellEnd"/>
      <w:r w:rsidRPr="00D42F87">
        <w:rPr>
          <w:rFonts w:asciiTheme="minorHAnsi" w:hAnsiTheme="minorHAnsi"/>
          <w:i/>
          <w:sz w:val="22"/>
          <w:szCs w:val="22"/>
          <w:lang w:val="fr-FR"/>
        </w:rPr>
        <w:t xml:space="preserve"> oraux peuvent être utilisés avec prudence en présence d'un RGO bien contrôlé.</w:t>
      </w:r>
      <w:r>
        <w:rPr>
          <w:rFonts w:asciiTheme="minorHAnsi" w:hAnsiTheme="minorHAnsi"/>
          <w:i/>
          <w:sz w:val="22"/>
          <w:szCs w:val="22"/>
          <w:lang w:val="fr-FR"/>
        </w:rPr>
        <w:t xml:space="preserve"> </w:t>
      </w:r>
    </w:p>
    <w:p w14:paraId="2C264C4F" w14:textId="77777777" w:rsidR="00364C7E" w:rsidRPr="00E21AE0" w:rsidRDefault="00364C7E" w:rsidP="0043334F">
      <w:pPr>
        <w:contextualSpacing/>
        <w:jc w:val="both"/>
        <w:rPr>
          <w:rFonts w:asciiTheme="minorHAnsi" w:hAnsiTheme="minorHAnsi"/>
          <w:b/>
          <w:sz w:val="22"/>
          <w:szCs w:val="22"/>
          <w:lang w:val="fr-FR"/>
        </w:rPr>
      </w:pPr>
    </w:p>
    <w:p w14:paraId="544A3B3B" w14:textId="5CA0D8C2" w:rsidR="00F11DEE" w:rsidRPr="00E21AE0" w:rsidRDefault="00415CD8" w:rsidP="0043334F">
      <w:pPr>
        <w:contextualSpacing/>
        <w:jc w:val="both"/>
        <w:rPr>
          <w:rFonts w:asciiTheme="minorHAnsi" w:hAnsiTheme="minorHAnsi"/>
          <w:color w:val="000000"/>
          <w:sz w:val="22"/>
          <w:szCs w:val="22"/>
          <w:vertAlign w:val="superscript"/>
          <w:lang w:val="fr-FR"/>
        </w:rPr>
      </w:pPr>
      <w:r w:rsidRPr="00E21AE0">
        <w:rPr>
          <w:rFonts w:asciiTheme="minorHAnsi" w:hAnsiTheme="minorHAnsi"/>
          <w:b/>
          <w:sz w:val="22"/>
          <w:szCs w:val="22"/>
          <w:lang w:val="fr-FR"/>
        </w:rPr>
        <w:t>E1</w:t>
      </w:r>
      <w:r w:rsidR="004D36A2" w:rsidRPr="00E21AE0">
        <w:rPr>
          <w:rFonts w:asciiTheme="minorHAnsi" w:hAnsiTheme="minorHAnsi"/>
          <w:b/>
          <w:sz w:val="22"/>
          <w:szCs w:val="22"/>
          <w:lang w:val="fr-FR"/>
        </w:rPr>
        <w:t>6</w:t>
      </w:r>
      <w:r w:rsidRPr="00E21AE0">
        <w:rPr>
          <w:rFonts w:asciiTheme="minorHAnsi" w:hAnsiTheme="minorHAnsi"/>
          <w:b/>
          <w:sz w:val="22"/>
          <w:szCs w:val="22"/>
          <w:lang w:val="fr-FR"/>
        </w:rPr>
        <w:t xml:space="preserve">. </w:t>
      </w:r>
      <w:r w:rsidR="00D42F87" w:rsidRPr="00D42F87">
        <w:rPr>
          <w:rFonts w:asciiTheme="minorHAnsi" w:hAnsiTheme="minorHAnsi"/>
          <w:b/>
          <w:sz w:val="22"/>
          <w:szCs w:val="22"/>
          <w:lang w:val="fr-FR"/>
        </w:rPr>
        <w:t xml:space="preserve">Les </w:t>
      </w:r>
      <w:proofErr w:type="spellStart"/>
      <w:r w:rsidR="00D42F87" w:rsidRPr="00D42F87">
        <w:rPr>
          <w:rFonts w:asciiTheme="minorHAnsi" w:hAnsiTheme="minorHAnsi"/>
          <w:b/>
          <w:sz w:val="22"/>
          <w:szCs w:val="22"/>
          <w:lang w:val="fr-FR"/>
        </w:rPr>
        <w:t>bisphosphonates</w:t>
      </w:r>
      <w:proofErr w:type="spellEnd"/>
      <w:r w:rsidR="00D42F87" w:rsidRPr="00D42F87">
        <w:rPr>
          <w:rFonts w:asciiTheme="minorHAnsi" w:hAnsiTheme="minorHAnsi"/>
          <w:b/>
          <w:sz w:val="22"/>
          <w:szCs w:val="22"/>
          <w:lang w:val="fr-FR"/>
        </w:rPr>
        <w:t xml:space="preserve"> ne conviennent pas aux patients avec un DFG &lt; 30 ml/min/1,73 m2 (risque accru d'insuffisance rénale aiguë).</w:t>
      </w:r>
      <w:r w:rsidR="00D42F87">
        <w:rPr>
          <w:rFonts w:asciiTheme="minorHAnsi" w:hAnsiTheme="minorHAnsi"/>
          <w:b/>
          <w:sz w:val="22"/>
          <w:szCs w:val="22"/>
          <w:lang w:val="fr-FR"/>
        </w:rPr>
        <w:t xml:space="preserve"> </w:t>
      </w:r>
    </w:p>
    <w:p w14:paraId="3ECF19AE" w14:textId="670405C9" w:rsidR="00F11DEE" w:rsidRPr="00E21AE0" w:rsidRDefault="00D42F87" w:rsidP="0043334F">
      <w:pPr>
        <w:contextualSpacing/>
        <w:jc w:val="both"/>
        <w:rPr>
          <w:rFonts w:asciiTheme="minorHAnsi" w:hAnsiTheme="minorHAnsi"/>
          <w:i/>
          <w:sz w:val="22"/>
          <w:szCs w:val="22"/>
          <w:lang w:val="fr-FR"/>
        </w:rPr>
      </w:pPr>
      <w:r w:rsidRPr="00D42F87">
        <w:rPr>
          <w:rFonts w:asciiTheme="minorHAnsi" w:hAnsiTheme="minorHAnsi"/>
          <w:i/>
          <w:sz w:val="22"/>
          <w:szCs w:val="22"/>
          <w:lang w:val="fr-FR"/>
        </w:rPr>
        <w:t xml:space="preserve">*Le DFG seuil est plus élevé pour le </w:t>
      </w:r>
      <w:proofErr w:type="spellStart"/>
      <w:r w:rsidRPr="00D42F87">
        <w:rPr>
          <w:rFonts w:asciiTheme="minorHAnsi" w:hAnsiTheme="minorHAnsi"/>
          <w:i/>
          <w:sz w:val="22"/>
          <w:szCs w:val="22"/>
          <w:lang w:val="fr-FR"/>
        </w:rPr>
        <w:t>zolédronate</w:t>
      </w:r>
      <w:proofErr w:type="spellEnd"/>
      <w:r w:rsidRPr="00D42F87">
        <w:rPr>
          <w:rFonts w:asciiTheme="minorHAnsi" w:hAnsiTheme="minorHAnsi"/>
          <w:i/>
          <w:sz w:val="22"/>
          <w:szCs w:val="22"/>
          <w:lang w:val="fr-FR"/>
        </w:rPr>
        <w:t xml:space="preserve"> et l'</w:t>
      </w:r>
      <w:proofErr w:type="spellStart"/>
      <w:r w:rsidRPr="00D42F87">
        <w:rPr>
          <w:rFonts w:asciiTheme="minorHAnsi" w:hAnsiTheme="minorHAnsi"/>
          <w:i/>
          <w:sz w:val="22"/>
          <w:szCs w:val="22"/>
          <w:lang w:val="fr-FR"/>
        </w:rPr>
        <w:t>alendronate</w:t>
      </w:r>
      <w:proofErr w:type="spellEnd"/>
      <w:r w:rsidRPr="00D42F87">
        <w:rPr>
          <w:rFonts w:asciiTheme="minorHAnsi" w:hAnsiTheme="minorHAnsi"/>
          <w:i/>
          <w:sz w:val="22"/>
          <w:szCs w:val="22"/>
          <w:lang w:val="fr-FR"/>
        </w:rPr>
        <w:t xml:space="preserve"> (&lt;35 ml/min/1,73m2).</w:t>
      </w:r>
      <w:r>
        <w:rPr>
          <w:rFonts w:asciiTheme="minorHAnsi" w:hAnsiTheme="minorHAnsi"/>
          <w:i/>
          <w:sz w:val="22"/>
          <w:szCs w:val="22"/>
          <w:lang w:val="fr-FR"/>
        </w:rPr>
        <w:t xml:space="preserve"> </w:t>
      </w:r>
    </w:p>
    <w:p w14:paraId="03F3021D" w14:textId="77777777" w:rsidR="00C1596E" w:rsidRPr="00E21AE0" w:rsidRDefault="00C1596E" w:rsidP="0043334F">
      <w:pPr>
        <w:contextualSpacing/>
        <w:jc w:val="both"/>
        <w:rPr>
          <w:rFonts w:asciiTheme="minorHAnsi" w:hAnsiTheme="minorHAnsi"/>
          <w:b/>
          <w:color w:val="000000"/>
          <w:sz w:val="22"/>
          <w:szCs w:val="22"/>
          <w:lang w:val="fr-FR"/>
        </w:rPr>
      </w:pPr>
    </w:p>
    <w:p w14:paraId="1CA4C6EA" w14:textId="1C0CB38A" w:rsidR="00415CD8" w:rsidRPr="00E21AE0" w:rsidRDefault="00415CD8" w:rsidP="0043334F">
      <w:pPr>
        <w:contextualSpacing/>
        <w:jc w:val="both"/>
        <w:rPr>
          <w:rFonts w:asciiTheme="minorHAnsi" w:hAnsiTheme="minorHAnsi"/>
          <w:b/>
          <w:color w:val="000000"/>
          <w:sz w:val="22"/>
          <w:szCs w:val="22"/>
          <w:lang w:val="fr-FR"/>
        </w:rPr>
      </w:pPr>
      <w:r w:rsidRPr="00E21AE0">
        <w:rPr>
          <w:rFonts w:asciiTheme="minorHAnsi" w:hAnsiTheme="minorHAnsi"/>
          <w:b/>
          <w:color w:val="000000"/>
          <w:sz w:val="22"/>
          <w:szCs w:val="22"/>
          <w:lang w:val="fr-FR"/>
        </w:rPr>
        <w:t>E1</w:t>
      </w:r>
      <w:r w:rsidR="00371D89" w:rsidRPr="00E21AE0">
        <w:rPr>
          <w:rFonts w:asciiTheme="minorHAnsi" w:hAnsiTheme="minorHAnsi"/>
          <w:b/>
          <w:color w:val="000000"/>
          <w:sz w:val="22"/>
          <w:szCs w:val="22"/>
          <w:lang w:val="fr-FR"/>
        </w:rPr>
        <w:t>7</w:t>
      </w:r>
      <w:r w:rsidRPr="00E21AE0">
        <w:rPr>
          <w:rFonts w:asciiTheme="minorHAnsi" w:hAnsiTheme="minorHAnsi"/>
          <w:b/>
          <w:color w:val="000000"/>
          <w:sz w:val="22"/>
          <w:szCs w:val="22"/>
          <w:lang w:val="fr-FR"/>
        </w:rPr>
        <w:t xml:space="preserve">. </w:t>
      </w:r>
      <w:r w:rsidR="00D42F87" w:rsidRPr="00D42F87">
        <w:rPr>
          <w:rFonts w:asciiTheme="minorHAnsi" w:hAnsiTheme="minorHAnsi"/>
          <w:b/>
          <w:color w:val="000000"/>
          <w:sz w:val="22"/>
          <w:szCs w:val="22"/>
          <w:lang w:val="fr-FR"/>
        </w:rPr>
        <w:t xml:space="preserve">L'utilisation de </w:t>
      </w:r>
      <w:proofErr w:type="spellStart"/>
      <w:r w:rsidR="00D42F87" w:rsidRPr="00D42F87">
        <w:rPr>
          <w:rFonts w:asciiTheme="minorHAnsi" w:hAnsiTheme="minorHAnsi"/>
          <w:b/>
          <w:color w:val="000000"/>
          <w:sz w:val="22"/>
          <w:szCs w:val="22"/>
          <w:lang w:val="fr-FR"/>
        </w:rPr>
        <w:t>zolédronate</w:t>
      </w:r>
      <w:proofErr w:type="spellEnd"/>
      <w:r w:rsidR="00D42F87" w:rsidRPr="00D42F87">
        <w:rPr>
          <w:rFonts w:asciiTheme="minorHAnsi" w:hAnsiTheme="minorHAnsi"/>
          <w:b/>
          <w:color w:val="000000"/>
          <w:sz w:val="22"/>
          <w:szCs w:val="22"/>
          <w:lang w:val="fr-FR"/>
        </w:rPr>
        <w:t xml:space="preserve">, de </w:t>
      </w:r>
      <w:proofErr w:type="spellStart"/>
      <w:r w:rsidR="00D42F87" w:rsidRPr="00D42F87">
        <w:rPr>
          <w:rFonts w:asciiTheme="minorHAnsi" w:hAnsiTheme="minorHAnsi"/>
          <w:b/>
          <w:color w:val="000000"/>
          <w:sz w:val="22"/>
          <w:szCs w:val="22"/>
          <w:lang w:val="fr-FR"/>
        </w:rPr>
        <w:t>denosumab</w:t>
      </w:r>
      <w:proofErr w:type="spellEnd"/>
      <w:r w:rsidR="00D42F87" w:rsidRPr="00D42F87">
        <w:rPr>
          <w:rFonts w:asciiTheme="minorHAnsi" w:hAnsiTheme="minorHAnsi"/>
          <w:b/>
          <w:color w:val="000000"/>
          <w:sz w:val="22"/>
          <w:szCs w:val="22"/>
          <w:lang w:val="fr-FR"/>
        </w:rPr>
        <w:t xml:space="preserve"> ou de </w:t>
      </w:r>
      <w:proofErr w:type="spellStart"/>
      <w:r w:rsidR="00D42F87" w:rsidRPr="00D42F87">
        <w:rPr>
          <w:rFonts w:asciiTheme="minorHAnsi" w:hAnsiTheme="minorHAnsi"/>
          <w:b/>
          <w:color w:val="000000"/>
          <w:sz w:val="22"/>
          <w:szCs w:val="22"/>
          <w:lang w:val="fr-FR"/>
        </w:rPr>
        <w:t>tériparatide</w:t>
      </w:r>
      <w:proofErr w:type="spellEnd"/>
      <w:r w:rsidR="00D42F87" w:rsidRPr="00D42F87">
        <w:rPr>
          <w:rFonts w:asciiTheme="minorHAnsi" w:hAnsiTheme="minorHAnsi"/>
          <w:b/>
          <w:color w:val="000000"/>
          <w:sz w:val="22"/>
          <w:szCs w:val="22"/>
          <w:lang w:val="fr-FR"/>
        </w:rPr>
        <w:t xml:space="preserve"> n'est pas appropriée sans déterminer le taux de calcium sérique avant le traitement et fournir un apport adéquat en calcium/vitamine D. </w:t>
      </w:r>
      <w:r w:rsidR="00D42F87">
        <w:rPr>
          <w:rFonts w:asciiTheme="minorHAnsi" w:hAnsiTheme="minorHAnsi"/>
          <w:b/>
          <w:color w:val="000000"/>
          <w:sz w:val="22"/>
          <w:szCs w:val="22"/>
          <w:lang w:val="fr-FR"/>
        </w:rPr>
        <w:t xml:space="preserve"> </w:t>
      </w:r>
    </w:p>
    <w:p w14:paraId="17B89B4E" w14:textId="77777777" w:rsidR="00C80C53" w:rsidRPr="00E21AE0" w:rsidRDefault="00C80C53" w:rsidP="0043334F">
      <w:pPr>
        <w:contextualSpacing/>
        <w:jc w:val="both"/>
        <w:rPr>
          <w:rFonts w:asciiTheme="minorHAnsi" w:hAnsiTheme="minorHAnsi"/>
          <w:b/>
          <w:i/>
          <w:color w:val="4472C4" w:themeColor="accent5"/>
          <w:sz w:val="22"/>
          <w:szCs w:val="22"/>
          <w:u w:val="single"/>
          <w:lang w:val="fr-FR"/>
        </w:rPr>
      </w:pPr>
    </w:p>
    <w:p w14:paraId="202AB42A" w14:textId="107B41A6" w:rsidR="004816D3" w:rsidRPr="00E21AE0" w:rsidRDefault="00D42F87" w:rsidP="0043334F">
      <w:pPr>
        <w:contextualSpacing/>
        <w:jc w:val="both"/>
        <w:rPr>
          <w:rFonts w:asciiTheme="minorHAnsi" w:hAnsiTheme="minorHAnsi"/>
          <w:b/>
          <w:sz w:val="28"/>
          <w:szCs w:val="28"/>
          <w:lang w:val="fr-FR"/>
        </w:rPr>
      </w:pPr>
      <w:proofErr w:type="gramStart"/>
      <w:r>
        <w:rPr>
          <w:rFonts w:asciiTheme="minorHAnsi" w:hAnsiTheme="minorHAnsi"/>
          <w:b/>
          <w:sz w:val="28"/>
          <w:szCs w:val="28"/>
          <w:lang w:val="fr-FR"/>
        </w:rPr>
        <w:t>F:</w:t>
      </w:r>
      <w:proofErr w:type="gramEnd"/>
      <w:r>
        <w:rPr>
          <w:rFonts w:asciiTheme="minorHAnsi" w:hAnsiTheme="minorHAnsi"/>
          <w:b/>
          <w:sz w:val="28"/>
          <w:szCs w:val="28"/>
          <w:lang w:val="fr-FR"/>
        </w:rPr>
        <w:t xml:space="preserve"> </w:t>
      </w:r>
      <w:r w:rsidRPr="00D42F87">
        <w:rPr>
          <w:rFonts w:asciiTheme="minorHAnsi" w:hAnsiTheme="minorHAnsi"/>
          <w:b/>
          <w:sz w:val="28"/>
          <w:szCs w:val="28"/>
          <w:lang w:val="fr-FR"/>
        </w:rPr>
        <w:t>Critères du système urogénital</w:t>
      </w:r>
      <w:r w:rsidR="007C70E3" w:rsidRPr="00E21AE0">
        <w:rPr>
          <w:rFonts w:asciiTheme="minorHAnsi" w:hAnsiTheme="minorHAnsi"/>
          <w:b/>
          <w:sz w:val="28"/>
          <w:szCs w:val="28"/>
          <w:lang w:val="fr-FR"/>
        </w:rPr>
        <w:t>.</w:t>
      </w:r>
    </w:p>
    <w:p w14:paraId="2F82DD50" w14:textId="77777777" w:rsidR="00F327A4" w:rsidRPr="00E21AE0" w:rsidRDefault="00F327A4" w:rsidP="0043334F">
      <w:pPr>
        <w:contextualSpacing/>
        <w:jc w:val="both"/>
        <w:rPr>
          <w:rFonts w:asciiTheme="minorHAnsi" w:hAnsiTheme="minorHAnsi"/>
          <w:b/>
          <w:i/>
          <w:color w:val="4472C4" w:themeColor="accent5"/>
          <w:sz w:val="22"/>
          <w:szCs w:val="22"/>
          <w:u w:val="single"/>
          <w:lang w:val="fr-FR"/>
        </w:rPr>
      </w:pPr>
    </w:p>
    <w:p w14:paraId="4A711F27" w14:textId="265D5162" w:rsidR="00236CC7" w:rsidRPr="00E21AE0" w:rsidRDefault="00415CD8" w:rsidP="0043334F">
      <w:pPr>
        <w:pStyle w:val="AklamaMetni"/>
        <w:spacing w:after="0"/>
        <w:contextualSpacing/>
        <w:jc w:val="both"/>
        <w:rPr>
          <w:rStyle w:val="AklamaBavurusu"/>
          <w:rFonts w:cs="Times New Roman"/>
          <w:b/>
          <w:sz w:val="22"/>
          <w:szCs w:val="22"/>
          <w:lang w:val="fr-FR"/>
        </w:rPr>
      </w:pPr>
      <w:r w:rsidRPr="00E21AE0">
        <w:rPr>
          <w:rFonts w:cs="Times New Roman"/>
          <w:b/>
          <w:sz w:val="22"/>
          <w:szCs w:val="22"/>
          <w:lang w:val="fr-FR"/>
        </w:rPr>
        <w:t xml:space="preserve">F1. </w:t>
      </w:r>
      <w:r w:rsidR="00D42F87" w:rsidRPr="00D42F87">
        <w:rPr>
          <w:rFonts w:cs="Times New Roman"/>
          <w:b/>
          <w:sz w:val="22"/>
          <w:szCs w:val="22"/>
          <w:lang w:val="fr-FR"/>
        </w:rPr>
        <w:t xml:space="preserve">Chez les hommes présentant des symptômes de SBAU dus à une hyperplasie bénigne de la prostate, si le PMR est &gt; 150 ml, les médicaments anticholinergiques pour la vessie ne sont pas appropriés. </w:t>
      </w:r>
      <w:r w:rsidR="00D42F87">
        <w:rPr>
          <w:rFonts w:cs="Times New Roman"/>
          <w:b/>
          <w:sz w:val="22"/>
          <w:szCs w:val="22"/>
          <w:lang w:val="fr-FR"/>
        </w:rPr>
        <w:t xml:space="preserve"> </w:t>
      </w:r>
    </w:p>
    <w:p w14:paraId="364AA477" w14:textId="7DA7F7B9" w:rsidR="00F327A4" w:rsidRPr="00E21AE0" w:rsidRDefault="00D42F87" w:rsidP="00E85274">
      <w:pPr>
        <w:pStyle w:val="AklamaMetni"/>
        <w:contextualSpacing/>
        <w:jc w:val="both"/>
        <w:rPr>
          <w:rFonts w:eastAsia="Times New Roman" w:cs="Times New Roman"/>
          <w:i/>
          <w:color w:val="000000" w:themeColor="text1"/>
          <w:sz w:val="22"/>
          <w:szCs w:val="22"/>
          <w:lang w:val="fr-FR"/>
        </w:rPr>
      </w:pPr>
      <w:r w:rsidRPr="00D42F87">
        <w:rPr>
          <w:rFonts w:eastAsia="Times New Roman" w:cs="Times New Roman"/>
          <w:i/>
          <w:color w:val="000000" w:themeColor="text1"/>
          <w:sz w:val="22"/>
          <w:szCs w:val="22"/>
          <w:lang w:val="fr-FR"/>
        </w:rPr>
        <w:t>*Chez les hommes plus âgés, les symptômes des SBAU doivent être interrogés et la détermination de la PMR doit être effectuée dans tous les cas avant de prescrire des médicaments anticholinergiques dirigés vers la vessie pour le traitement de l'hyperactivité vésicale</w:t>
      </w:r>
      <w:r w:rsidR="00F611F5">
        <w:rPr>
          <w:rFonts w:eastAsia="Times New Roman" w:cs="Times New Roman"/>
          <w:i/>
          <w:color w:val="000000" w:themeColor="text1"/>
          <w:sz w:val="22"/>
          <w:szCs w:val="22"/>
          <w:lang w:val="fr-FR"/>
        </w:rPr>
        <w:t>.</w:t>
      </w:r>
    </w:p>
    <w:p w14:paraId="2AFF43AF" w14:textId="77777777" w:rsidR="00E85274" w:rsidRPr="00E21AE0" w:rsidRDefault="00E85274" w:rsidP="00E85274">
      <w:pPr>
        <w:pStyle w:val="AklamaMetni"/>
        <w:contextualSpacing/>
        <w:jc w:val="both"/>
        <w:rPr>
          <w:rFonts w:eastAsia="Times New Roman" w:cs="Times New Roman"/>
          <w:i/>
          <w:color w:val="000000" w:themeColor="text1"/>
          <w:sz w:val="22"/>
          <w:szCs w:val="22"/>
          <w:lang w:val="fr-FR"/>
        </w:rPr>
      </w:pPr>
    </w:p>
    <w:p w14:paraId="68942A7E" w14:textId="0E5544BE" w:rsidR="006C2A94" w:rsidRPr="00E21AE0" w:rsidRDefault="00415CD8" w:rsidP="0043334F">
      <w:pPr>
        <w:spacing w:before="100" w:beforeAutospacing="1"/>
        <w:contextualSpacing/>
        <w:jc w:val="both"/>
        <w:rPr>
          <w:rFonts w:asciiTheme="minorHAnsi" w:hAnsiTheme="minorHAnsi"/>
          <w:b/>
          <w:sz w:val="22"/>
          <w:szCs w:val="22"/>
          <w:lang w:val="fr-FR"/>
        </w:rPr>
      </w:pPr>
      <w:r w:rsidRPr="00E21AE0">
        <w:rPr>
          <w:rFonts w:asciiTheme="minorHAnsi" w:hAnsiTheme="minorHAnsi"/>
          <w:b/>
          <w:sz w:val="22"/>
          <w:szCs w:val="22"/>
          <w:lang w:val="fr-FR"/>
        </w:rPr>
        <w:t xml:space="preserve">F2. </w:t>
      </w:r>
      <w:r w:rsidR="00F611F5" w:rsidRPr="00F611F5">
        <w:rPr>
          <w:rFonts w:asciiTheme="minorHAnsi" w:hAnsiTheme="minorHAnsi"/>
          <w:b/>
          <w:sz w:val="22"/>
          <w:szCs w:val="22"/>
          <w:lang w:val="fr-FR"/>
        </w:rPr>
        <w:t xml:space="preserve">Les médicaments anticholinergiques dirigés contre la vessie ne conviennent pas aux patients atteints de glaucome chronique à angle fermé. </w:t>
      </w:r>
      <w:r w:rsidR="00F611F5">
        <w:rPr>
          <w:rFonts w:asciiTheme="minorHAnsi" w:hAnsiTheme="minorHAnsi"/>
          <w:b/>
          <w:sz w:val="22"/>
          <w:szCs w:val="22"/>
          <w:lang w:val="fr-FR"/>
        </w:rPr>
        <w:t xml:space="preserve"> </w:t>
      </w:r>
    </w:p>
    <w:p w14:paraId="0D9855AF" w14:textId="77777777" w:rsidR="00F611F5" w:rsidRDefault="00F611F5" w:rsidP="0043334F">
      <w:pPr>
        <w:contextualSpacing/>
        <w:jc w:val="both"/>
        <w:rPr>
          <w:rFonts w:asciiTheme="minorHAnsi" w:hAnsiTheme="minorHAnsi"/>
          <w:i/>
          <w:sz w:val="22"/>
          <w:szCs w:val="22"/>
          <w:lang w:val="fr-FR"/>
        </w:rPr>
      </w:pPr>
      <w:r w:rsidRPr="00F611F5">
        <w:rPr>
          <w:rFonts w:asciiTheme="minorHAnsi" w:hAnsiTheme="minorHAnsi"/>
          <w:i/>
          <w:sz w:val="22"/>
          <w:szCs w:val="22"/>
          <w:lang w:val="fr-FR"/>
        </w:rPr>
        <w:t xml:space="preserve">*Les antécédents de glaucome doivent être interrogés avant de commencer un traitement anticholinergique pour la vessie. </w:t>
      </w:r>
    </w:p>
    <w:p w14:paraId="4CFC030F" w14:textId="77777777" w:rsidR="00F611F5" w:rsidRDefault="00F611F5" w:rsidP="0043334F">
      <w:pPr>
        <w:contextualSpacing/>
        <w:jc w:val="both"/>
        <w:rPr>
          <w:rFonts w:asciiTheme="minorHAnsi" w:hAnsiTheme="minorHAnsi"/>
          <w:i/>
          <w:sz w:val="22"/>
          <w:szCs w:val="22"/>
          <w:lang w:val="fr-FR"/>
        </w:rPr>
      </w:pPr>
      <w:r w:rsidRPr="00F611F5">
        <w:rPr>
          <w:rFonts w:asciiTheme="minorHAnsi" w:hAnsiTheme="minorHAnsi"/>
          <w:i/>
          <w:sz w:val="22"/>
          <w:szCs w:val="22"/>
          <w:lang w:val="fr-FR"/>
        </w:rPr>
        <w:t xml:space="preserve">* Les médicaments anticholinergiques dirigés contre la vessie ne sont pas contre-indiqués si le glaucome à angle fermé a été traité par </w:t>
      </w:r>
      <w:proofErr w:type="spellStart"/>
      <w:r w:rsidRPr="00F611F5">
        <w:rPr>
          <w:rFonts w:asciiTheme="minorHAnsi" w:hAnsiTheme="minorHAnsi"/>
          <w:i/>
          <w:sz w:val="22"/>
          <w:szCs w:val="22"/>
          <w:lang w:val="fr-FR"/>
        </w:rPr>
        <w:t>iridotomie</w:t>
      </w:r>
      <w:proofErr w:type="spellEnd"/>
      <w:r w:rsidRPr="00F611F5">
        <w:rPr>
          <w:rFonts w:asciiTheme="minorHAnsi" w:hAnsiTheme="minorHAnsi"/>
          <w:i/>
          <w:sz w:val="22"/>
          <w:szCs w:val="22"/>
          <w:lang w:val="fr-FR"/>
        </w:rPr>
        <w:t xml:space="preserve"> au laser. </w:t>
      </w:r>
    </w:p>
    <w:p w14:paraId="0269CD39" w14:textId="281BC908" w:rsidR="00F611F5" w:rsidRDefault="00F611F5" w:rsidP="0043334F">
      <w:pPr>
        <w:contextualSpacing/>
        <w:jc w:val="both"/>
        <w:rPr>
          <w:rFonts w:asciiTheme="minorHAnsi" w:hAnsiTheme="minorHAnsi"/>
          <w:i/>
          <w:sz w:val="22"/>
          <w:szCs w:val="22"/>
          <w:lang w:val="fr-FR"/>
        </w:rPr>
      </w:pPr>
      <w:r w:rsidRPr="00F611F5">
        <w:rPr>
          <w:rFonts w:asciiTheme="minorHAnsi" w:hAnsiTheme="minorHAnsi"/>
          <w:i/>
          <w:sz w:val="22"/>
          <w:szCs w:val="22"/>
          <w:lang w:val="fr-FR"/>
        </w:rPr>
        <w:t>*Les médicaments anticholinergiques pour la vessie ne sont pas non plus contre-indiqués dans le glaucome à angle ouvert.</w:t>
      </w:r>
      <w:r>
        <w:rPr>
          <w:rFonts w:asciiTheme="minorHAnsi" w:hAnsiTheme="minorHAnsi"/>
          <w:i/>
          <w:sz w:val="22"/>
          <w:szCs w:val="22"/>
          <w:lang w:val="fr-FR"/>
        </w:rPr>
        <w:t xml:space="preserve"> </w:t>
      </w:r>
    </w:p>
    <w:p w14:paraId="45875D5D" w14:textId="77777777" w:rsidR="006C2A94" w:rsidRPr="00E21AE0" w:rsidRDefault="006C2A94"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b/>
          <w:color w:val="000000" w:themeColor="text1"/>
          <w:sz w:val="22"/>
          <w:szCs w:val="22"/>
          <w:lang w:val="fr-FR"/>
        </w:rPr>
      </w:pPr>
    </w:p>
    <w:p w14:paraId="73C951C0" w14:textId="77777777" w:rsidR="00080395" w:rsidRPr="00E21AE0" w:rsidRDefault="00080395"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val="fr-FR"/>
        </w:rPr>
      </w:pPr>
    </w:p>
    <w:p w14:paraId="5863DCE4" w14:textId="2643747B" w:rsidR="00F611F5" w:rsidRDefault="00415CD8" w:rsidP="0043334F">
      <w:pPr>
        <w:spacing w:before="100" w:beforeAutospacing="1" w:after="100" w:afterAutospacing="1"/>
        <w:contextualSpacing/>
        <w:jc w:val="both"/>
        <w:rPr>
          <w:rFonts w:asciiTheme="minorHAnsi" w:hAnsiTheme="minorHAnsi"/>
          <w:b/>
          <w:color w:val="000000"/>
          <w:sz w:val="22"/>
          <w:szCs w:val="22"/>
          <w:lang w:val="fr-FR"/>
        </w:rPr>
      </w:pPr>
      <w:r w:rsidRPr="00E21AE0">
        <w:rPr>
          <w:rFonts w:asciiTheme="minorHAnsi" w:hAnsiTheme="minorHAnsi"/>
          <w:b/>
          <w:color w:val="000000"/>
          <w:sz w:val="22"/>
          <w:szCs w:val="22"/>
          <w:lang w:val="fr-FR"/>
        </w:rPr>
        <w:t xml:space="preserve">F3. </w:t>
      </w:r>
      <w:r w:rsidR="00F611F5" w:rsidRPr="00F611F5">
        <w:rPr>
          <w:rFonts w:asciiTheme="minorHAnsi" w:hAnsiTheme="minorHAnsi"/>
          <w:b/>
          <w:color w:val="000000"/>
          <w:sz w:val="22"/>
          <w:szCs w:val="22"/>
          <w:lang w:val="fr-FR"/>
        </w:rPr>
        <w:t xml:space="preserve">L'utilisation d'anticholinergiques pour la vessie n'est pas appropriée sans détermination de la RMP (risque de rétention urinaire et d'insuffisance rénale </w:t>
      </w:r>
      <w:proofErr w:type="spellStart"/>
      <w:r w:rsidR="00F611F5" w:rsidRPr="00F611F5">
        <w:rPr>
          <w:rFonts w:asciiTheme="minorHAnsi" w:hAnsiTheme="minorHAnsi"/>
          <w:b/>
          <w:color w:val="000000"/>
          <w:sz w:val="22"/>
          <w:szCs w:val="22"/>
          <w:lang w:val="fr-FR"/>
        </w:rPr>
        <w:t>postrénale</w:t>
      </w:r>
      <w:proofErr w:type="spellEnd"/>
      <w:r w:rsidR="00F611F5" w:rsidRPr="00F611F5">
        <w:rPr>
          <w:rFonts w:asciiTheme="minorHAnsi" w:hAnsiTheme="minorHAnsi"/>
          <w:b/>
          <w:color w:val="000000"/>
          <w:sz w:val="22"/>
          <w:szCs w:val="22"/>
          <w:lang w:val="fr-FR"/>
        </w:rPr>
        <w:t xml:space="preserve">) chez les personnes âgées présentant une hyperplasie de la prostate (risque d'obstruction) ou des complications du diabète sucré (risque de vessie neurogène) ou des personnes âgées fragiles (risque </w:t>
      </w:r>
      <w:r w:rsidR="00F611F5">
        <w:rPr>
          <w:rFonts w:asciiTheme="minorHAnsi" w:hAnsiTheme="minorHAnsi"/>
          <w:b/>
          <w:color w:val="000000"/>
          <w:sz w:val="22"/>
          <w:szCs w:val="22"/>
          <w:lang w:val="fr-FR"/>
        </w:rPr>
        <w:t>de contractilité réduit avec l’</w:t>
      </w:r>
      <w:r w:rsidR="00F611F5" w:rsidRPr="00F611F5">
        <w:rPr>
          <w:rFonts w:asciiTheme="minorHAnsi" w:hAnsiTheme="minorHAnsi"/>
          <w:b/>
          <w:color w:val="000000"/>
          <w:sz w:val="22"/>
          <w:szCs w:val="22"/>
          <w:lang w:val="fr-FR"/>
        </w:rPr>
        <w:t xml:space="preserve">hyperactivité </w:t>
      </w:r>
      <w:r w:rsidR="00F611F5">
        <w:rPr>
          <w:rFonts w:asciiTheme="minorHAnsi" w:hAnsiTheme="minorHAnsi"/>
          <w:b/>
          <w:color w:val="000000"/>
          <w:sz w:val="22"/>
          <w:szCs w:val="22"/>
          <w:lang w:val="fr-FR"/>
        </w:rPr>
        <w:t xml:space="preserve">du </w:t>
      </w:r>
      <w:proofErr w:type="spellStart"/>
      <w:r w:rsidR="00F611F5">
        <w:rPr>
          <w:rFonts w:asciiTheme="minorHAnsi" w:hAnsiTheme="minorHAnsi"/>
          <w:b/>
          <w:color w:val="000000"/>
          <w:sz w:val="22"/>
          <w:szCs w:val="22"/>
          <w:lang w:val="fr-FR"/>
        </w:rPr>
        <w:t>détrusor</w:t>
      </w:r>
      <w:proofErr w:type="spellEnd"/>
      <w:r w:rsidR="00F611F5">
        <w:rPr>
          <w:rFonts w:asciiTheme="minorHAnsi" w:hAnsiTheme="minorHAnsi"/>
          <w:b/>
          <w:color w:val="000000"/>
          <w:sz w:val="22"/>
          <w:szCs w:val="22"/>
          <w:lang w:val="fr-FR"/>
        </w:rPr>
        <w:t>)</w:t>
      </w:r>
    </w:p>
    <w:p w14:paraId="3CFF3B41" w14:textId="77777777" w:rsidR="00F611F5" w:rsidRDefault="00F611F5" w:rsidP="0043334F">
      <w:pPr>
        <w:spacing w:before="100" w:beforeAutospacing="1" w:after="100" w:afterAutospacing="1"/>
        <w:contextualSpacing/>
        <w:jc w:val="both"/>
        <w:rPr>
          <w:rFonts w:asciiTheme="minorHAnsi" w:hAnsiTheme="minorHAnsi"/>
          <w:b/>
          <w:color w:val="000000"/>
          <w:sz w:val="22"/>
          <w:szCs w:val="22"/>
          <w:lang w:val="fr-FR"/>
        </w:rPr>
      </w:pPr>
    </w:p>
    <w:p w14:paraId="0F884FDA" w14:textId="77777777" w:rsidR="00E456DB" w:rsidRPr="00E21AE0" w:rsidRDefault="00E456DB" w:rsidP="0043334F">
      <w:pPr>
        <w:spacing w:before="100" w:beforeAutospacing="1" w:after="100" w:afterAutospacing="1"/>
        <w:contextualSpacing/>
        <w:jc w:val="both"/>
        <w:rPr>
          <w:rFonts w:asciiTheme="minorHAnsi" w:hAnsiTheme="minorHAnsi" w:cstheme="minorHAnsi"/>
          <w:color w:val="000000"/>
          <w:sz w:val="22"/>
          <w:szCs w:val="22"/>
          <w:lang w:val="fr-FR"/>
        </w:rPr>
      </w:pPr>
    </w:p>
    <w:p w14:paraId="2FE6F818" w14:textId="5106966B" w:rsidR="00F611F5" w:rsidRDefault="00415CD8" w:rsidP="0043334F">
      <w:pPr>
        <w:spacing w:before="100" w:beforeAutospacing="1" w:after="100" w:afterAutospacing="1"/>
        <w:contextualSpacing/>
        <w:jc w:val="both"/>
        <w:rPr>
          <w:rFonts w:asciiTheme="minorHAnsi" w:hAnsiTheme="minorHAnsi"/>
          <w:b/>
          <w:sz w:val="22"/>
          <w:szCs w:val="22"/>
          <w:lang w:val="fr-FR"/>
        </w:rPr>
      </w:pPr>
      <w:r w:rsidRPr="00E21AE0">
        <w:rPr>
          <w:rFonts w:asciiTheme="minorHAnsi" w:hAnsiTheme="minorHAnsi"/>
          <w:b/>
          <w:sz w:val="22"/>
          <w:szCs w:val="22"/>
          <w:lang w:val="fr-FR"/>
        </w:rPr>
        <w:t xml:space="preserve">F4. </w:t>
      </w:r>
      <w:r w:rsidR="00F611F5" w:rsidRPr="00F611F5">
        <w:rPr>
          <w:rFonts w:asciiTheme="minorHAnsi" w:hAnsiTheme="minorHAnsi"/>
          <w:b/>
          <w:sz w:val="22"/>
          <w:szCs w:val="22"/>
          <w:lang w:val="fr-FR"/>
        </w:rPr>
        <w:t xml:space="preserve">L'utilisation d'inhibiteurs de la </w:t>
      </w:r>
      <w:proofErr w:type="spellStart"/>
      <w:r w:rsidR="00F611F5" w:rsidRPr="00F611F5">
        <w:rPr>
          <w:rFonts w:asciiTheme="minorHAnsi" w:hAnsiTheme="minorHAnsi"/>
          <w:b/>
          <w:sz w:val="22"/>
          <w:szCs w:val="22"/>
          <w:lang w:val="fr-FR"/>
        </w:rPr>
        <w:t>phosphodiestérase</w:t>
      </w:r>
      <w:proofErr w:type="spellEnd"/>
      <w:r w:rsidR="00F611F5" w:rsidRPr="00F611F5">
        <w:rPr>
          <w:rFonts w:asciiTheme="minorHAnsi" w:hAnsiTheme="minorHAnsi"/>
          <w:b/>
          <w:sz w:val="22"/>
          <w:szCs w:val="22"/>
          <w:lang w:val="fr-FR"/>
        </w:rPr>
        <w:t xml:space="preserve"> de type 5 (p. ex., sildénafil, </w:t>
      </w:r>
      <w:proofErr w:type="spellStart"/>
      <w:r w:rsidR="00F611F5" w:rsidRPr="00F611F5">
        <w:rPr>
          <w:rFonts w:asciiTheme="minorHAnsi" w:hAnsiTheme="minorHAnsi"/>
          <w:b/>
          <w:sz w:val="22"/>
          <w:szCs w:val="22"/>
          <w:lang w:val="fr-FR"/>
        </w:rPr>
        <w:t>tadalafil</w:t>
      </w:r>
      <w:proofErr w:type="spellEnd"/>
      <w:r w:rsidR="00F611F5" w:rsidRPr="00F611F5">
        <w:rPr>
          <w:rFonts w:asciiTheme="minorHAnsi" w:hAnsiTheme="minorHAnsi"/>
          <w:b/>
          <w:sz w:val="22"/>
          <w:szCs w:val="22"/>
          <w:lang w:val="fr-FR"/>
        </w:rPr>
        <w:t xml:space="preserve">, </w:t>
      </w:r>
      <w:proofErr w:type="spellStart"/>
      <w:r w:rsidR="00F611F5" w:rsidRPr="00F611F5">
        <w:rPr>
          <w:rFonts w:asciiTheme="minorHAnsi" w:hAnsiTheme="minorHAnsi"/>
          <w:b/>
          <w:sz w:val="22"/>
          <w:szCs w:val="22"/>
          <w:lang w:val="fr-FR"/>
        </w:rPr>
        <w:t>vardénafil</w:t>
      </w:r>
      <w:proofErr w:type="spellEnd"/>
      <w:r w:rsidR="00F611F5" w:rsidRPr="00F611F5">
        <w:rPr>
          <w:rFonts w:asciiTheme="minorHAnsi" w:hAnsiTheme="minorHAnsi"/>
          <w:b/>
          <w:sz w:val="22"/>
          <w:szCs w:val="22"/>
          <w:lang w:val="fr-FR"/>
        </w:rPr>
        <w:t xml:space="preserve">) n'est pas appropriée chez les patients ayant des antécédents de </w:t>
      </w:r>
      <w:r w:rsidR="00F611F5">
        <w:rPr>
          <w:rFonts w:asciiTheme="minorHAnsi" w:hAnsiTheme="minorHAnsi"/>
          <w:b/>
          <w:sz w:val="22"/>
          <w:szCs w:val="22"/>
          <w:lang w:val="fr-FR"/>
        </w:rPr>
        <w:t>t</w:t>
      </w:r>
      <w:r w:rsidR="00F611F5" w:rsidRPr="00F611F5">
        <w:rPr>
          <w:rFonts w:asciiTheme="minorHAnsi" w:hAnsiTheme="minorHAnsi"/>
          <w:b/>
          <w:sz w:val="22"/>
          <w:szCs w:val="22"/>
          <w:lang w:val="fr-FR"/>
        </w:rPr>
        <w:t xml:space="preserve">ension artérielle &lt; 90/50 </w:t>
      </w:r>
      <w:proofErr w:type="spellStart"/>
      <w:r w:rsidR="00F611F5" w:rsidRPr="00F611F5">
        <w:rPr>
          <w:rFonts w:asciiTheme="minorHAnsi" w:hAnsiTheme="minorHAnsi"/>
          <w:b/>
          <w:sz w:val="22"/>
          <w:szCs w:val="22"/>
          <w:lang w:val="fr-FR"/>
        </w:rPr>
        <w:t>mmHg</w:t>
      </w:r>
      <w:proofErr w:type="spellEnd"/>
      <w:r w:rsidR="00F611F5" w:rsidRPr="00F611F5">
        <w:rPr>
          <w:rFonts w:asciiTheme="minorHAnsi" w:hAnsiTheme="minorHAnsi"/>
          <w:b/>
          <w:sz w:val="22"/>
          <w:szCs w:val="22"/>
          <w:lang w:val="fr-FR"/>
        </w:rPr>
        <w:t xml:space="preserve"> ou &gt; 170/100 </w:t>
      </w:r>
      <w:proofErr w:type="spellStart"/>
      <w:r w:rsidR="00F611F5" w:rsidRPr="00F611F5">
        <w:rPr>
          <w:rFonts w:asciiTheme="minorHAnsi" w:hAnsiTheme="minorHAnsi"/>
          <w:b/>
          <w:sz w:val="22"/>
          <w:szCs w:val="22"/>
          <w:lang w:val="fr-FR"/>
        </w:rPr>
        <w:t>mmHg</w:t>
      </w:r>
      <w:proofErr w:type="spellEnd"/>
      <w:r w:rsidR="00F611F5" w:rsidRPr="00F611F5">
        <w:rPr>
          <w:rFonts w:asciiTheme="minorHAnsi" w:hAnsiTheme="minorHAnsi"/>
          <w:b/>
          <w:sz w:val="22"/>
          <w:szCs w:val="22"/>
          <w:lang w:val="fr-FR"/>
        </w:rPr>
        <w:t xml:space="preserve">/ angine instable/ angine pendant les rapports sexuels/ insuffisance cardiaque de classe NYHA 4/ thérapie aux nitrates pour l'angine/ thérapie par alpha-1 bloquant/ IM antérieur (&lt; 3 </w:t>
      </w:r>
      <w:r w:rsidR="00F611F5">
        <w:rPr>
          <w:rFonts w:asciiTheme="minorHAnsi" w:hAnsiTheme="minorHAnsi"/>
          <w:b/>
          <w:sz w:val="22"/>
          <w:szCs w:val="22"/>
          <w:lang w:val="fr-FR"/>
        </w:rPr>
        <w:t xml:space="preserve">mois) / </w:t>
      </w:r>
      <w:r w:rsidR="00F611F5" w:rsidRPr="00F611F5">
        <w:rPr>
          <w:rFonts w:asciiTheme="minorHAnsi" w:hAnsiTheme="minorHAnsi"/>
          <w:b/>
          <w:sz w:val="22"/>
          <w:szCs w:val="22"/>
          <w:lang w:val="fr-FR"/>
        </w:rPr>
        <w:t>d'AVC (&lt; 6 mois)</w:t>
      </w:r>
      <w:r w:rsidR="00F611F5">
        <w:rPr>
          <w:rFonts w:asciiTheme="minorHAnsi" w:hAnsiTheme="minorHAnsi"/>
          <w:b/>
          <w:sz w:val="22"/>
          <w:szCs w:val="22"/>
          <w:lang w:val="fr-FR"/>
        </w:rPr>
        <w:t>.</w:t>
      </w:r>
    </w:p>
    <w:p w14:paraId="0AB79EC8" w14:textId="77777777" w:rsidR="00F611F5" w:rsidRDefault="00F611F5" w:rsidP="0043334F">
      <w:pPr>
        <w:spacing w:before="100" w:beforeAutospacing="1" w:after="100" w:afterAutospacing="1"/>
        <w:contextualSpacing/>
        <w:jc w:val="both"/>
        <w:rPr>
          <w:rFonts w:asciiTheme="minorHAnsi" w:hAnsiTheme="minorHAnsi"/>
          <w:b/>
          <w:sz w:val="22"/>
          <w:szCs w:val="22"/>
          <w:lang w:val="fr-FR"/>
        </w:rPr>
      </w:pPr>
    </w:p>
    <w:p w14:paraId="4EB25587" w14:textId="77777777" w:rsidR="00967AEF" w:rsidRPr="00E21AE0" w:rsidRDefault="00967AEF" w:rsidP="0043334F">
      <w:pPr>
        <w:autoSpaceDE w:val="0"/>
        <w:autoSpaceDN w:val="0"/>
        <w:adjustRightInd w:val="0"/>
        <w:contextualSpacing/>
        <w:jc w:val="both"/>
        <w:rPr>
          <w:rStyle w:val="Kpr"/>
          <w:rFonts w:asciiTheme="minorHAnsi" w:eastAsiaTheme="majorEastAsia" w:hAnsiTheme="minorHAnsi" w:cstheme="minorHAnsi"/>
          <w:color w:val="000000" w:themeColor="text1"/>
          <w:sz w:val="22"/>
          <w:szCs w:val="22"/>
          <w:u w:val="none"/>
          <w:lang w:val="fr-FR"/>
        </w:rPr>
      </w:pPr>
    </w:p>
    <w:p w14:paraId="6737FB2F" w14:textId="5260101D" w:rsidR="006D4C42" w:rsidRDefault="00632179" w:rsidP="0043334F">
      <w:pPr>
        <w:spacing w:before="100" w:beforeAutospacing="1"/>
        <w:contextualSpacing/>
        <w:jc w:val="both"/>
        <w:rPr>
          <w:rFonts w:asciiTheme="minorHAnsi" w:hAnsiTheme="minorHAnsi"/>
          <w:b/>
          <w:sz w:val="22"/>
          <w:szCs w:val="22"/>
          <w:lang w:val="fr-FR"/>
        </w:rPr>
      </w:pPr>
      <w:r w:rsidRPr="00E21AE0">
        <w:rPr>
          <w:rFonts w:asciiTheme="minorHAnsi" w:hAnsiTheme="minorHAnsi"/>
          <w:b/>
          <w:sz w:val="22"/>
          <w:szCs w:val="22"/>
          <w:lang w:val="fr-FR"/>
        </w:rPr>
        <w:t xml:space="preserve">F5. </w:t>
      </w:r>
      <w:r w:rsidR="006D4C42" w:rsidRPr="006D4C42">
        <w:rPr>
          <w:rFonts w:asciiTheme="minorHAnsi" w:hAnsiTheme="minorHAnsi"/>
          <w:b/>
          <w:sz w:val="22"/>
          <w:szCs w:val="22"/>
          <w:lang w:val="fr-FR"/>
        </w:rPr>
        <w:t xml:space="preserve">Les alpha 1 bloquants non </w:t>
      </w:r>
      <w:proofErr w:type="spellStart"/>
      <w:r w:rsidR="006D4C42" w:rsidRPr="006D4C42">
        <w:rPr>
          <w:rFonts w:asciiTheme="minorHAnsi" w:hAnsiTheme="minorHAnsi"/>
          <w:b/>
          <w:sz w:val="22"/>
          <w:szCs w:val="22"/>
          <w:lang w:val="fr-FR"/>
        </w:rPr>
        <w:t>urosélectifs</w:t>
      </w:r>
      <w:proofErr w:type="spellEnd"/>
      <w:r w:rsidR="006D4C42" w:rsidRPr="006D4C42">
        <w:rPr>
          <w:rFonts w:asciiTheme="minorHAnsi" w:hAnsiTheme="minorHAnsi"/>
          <w:b/>
          <w:sz w:val="22"/>
          <w:szCs w:val="22"/>
          <w:lang w:val="fr-FR"/>
        </w:rPr>
        <w:t xml:space="preserve"> (par exemple la </w:t>
      </w:r>
      <w:proofErr w:type="spellStart"/>
      <w:r w:rsidR="006D4C42" w:rsidRPr="006D4C42">
        <w:rPr>
          <w:rFonts w:asciiTheme="minorHAnsi" w:hAnsiTheme="minorHAnsi"/>
          <w:b/>
          <w:sz w:val="22"/>
          <w:szCs w:val="22"/>
          <w:lang w:val="fr-FR"/>
        </w:rPr>
        <w:t>doxazosine</w:t>
      </w:r>
      <w:proofErr w:type="spellEnd"/>
      <w:r w:rsidR="006D4C42" w:rsidRPr="006D4C42">
        <w:rPr>
          <w:rFonts w:asciiTheme="minorHAnsi" w:hAnsiTheme="minorHAnsi"/>
          <w:b/>
          <w:sz w:val="22"/>
          <w:szCs w:val="22"/>
          <w:lang w:val="fr-FR"/>
        </w:rPr>
        <w:t xml:space="preserve">, la </w:t>
      </w:r>
      <w:proofErr w:type="spellStart"/>
      <w:r w:rsidR="006D4C42" w:rsidRPr="006D4C42">
        <w:rPr>
          <w:rFonts w:asciiTheme="minorHAnsi" w:hAnsiTheme="minorHAnsi"/>
          <w:b/>
          <w:sz w:val="22"/>
          <w:szCs w:val="22"/>
          <w:lang w:val="fr-FR"/>
        </w:rPr>
        <w:t>térazosine</w:t>
      </w:r>
      <w:proofErr w:type="spellEnd"/>
      <w:r w:rsidR="006D4C42" w:rsidRPr="006D4C42">
        <w:rPr>
          <w:rFonts w:asciiTheme="minorHAnsi" w:hAnsiTheme="minorHAnsi"/>
          <w:b/>
          <w:sz w:val="22"/>
          <w:szCs w:val="22"/>
          <w:lang w:val="fr-FR"/>
        </w:rPr>
        <w:t>) ne sont pas adaptés au traitement des symptômes de SBAU dus à une hyperplasie bénigne de la prostate chez les patients présentant une hypotension orthostatique (</w:t>
      </w:r>
      <w:r w:rsidR="006D4C42">
        <w:rPr>
          <w:rFonts w:asciiTheme="minorHAnsi" w:hAnsiTheme="minorHAnsi"/>
          <w:b/>
          <w:sz w:val="22"/>
          <w:szCs w:val="22"/>
          <w:lang w:val="fr-FR"/>
        </w:rPr>
        <w:t>hausse de l’</w:t>
      </w:r>
      <w:r w:rsidR="006D4C42" w:rsidRPr="006D4C42">
        <w:rPr>
          <w:rFonts w:asciiTheme="minorHAnsi" w:hAnsiTheme="minorHAnsi"/>
          <w:b/>
          <w:sz w:val="22"/>
          <w:szCs w:val="22"/>
          <w:lang w:val="fr-FR"/>
        </w:rPr>
        <w:t>hypotension orthostatique, syncope et chutes)</w:t>
      </w:r>
      <w:r w:rsidR="006D4C42">
        <w:rPr>
          <w:rFonts w:asciiTheme="minorHAnsi" w:hAnsiTheme="minorHAnsi"/>
          <w:b/>
          <w:sz w:val="22"/>
          <w:szCs w:val="22"/>
          <w:lang w:val="fr-FR"/>
        </w:rPr>
        <w:t xml:space="preserve"> </w:t>
      </w:r>
    </w:p>
    <w:p w14:paraId="09B6AA7F" w14:textId="77777777" w:rsidR="006D4C42" w:rsidRDefault="006D4C42" w:rsidP="0043334F">
      <w:pPr>
        <w:contextualSpacing/>
        <w:jc w:val="both"/>
        <w:rPr>
          <w:rFonts w:asciiTheme="minorHAnsi" w:hAnsiTheme="minorHAnsi"/>
          <w:i/>
          <w:color w:val="000000" w:themeColor="text1"/>
          <w:sz w:val="22"/>
          <w:szCs w:val="22"/>
          <w:lang w:val="fr-FR"/>
        </w:rPr>
      </w:pPr>
      <w:r w:rsidRPr="006D4C42">
        <w:rPr>
          <w:rFonts w:asciiTheme="minorHAnsi" w:hAnsiTheme="minorHAnsi"/>
          <w:i/>
          <w:color w:val="000000" w:themeColor="text1"/>
          <w:sz w:val="22"/>
          <w:szCs w:val="22"/>
          <w:lang w:val="fr-FR"/>
        </w:rPr>
        <w:lastRenderedPageBreak/>
        <w:t xml:space="preserve">*L'agent </w:t>
      </w:r>
      <w:proofErr w:type="spellStart"/>
      <w:r w:rsidRPr="006D4C42">
        <w:rPr>
          <w:rFonts w:asciiTheme="minorHAnsi" w:hAnsiTheme="minorHAnsi"/>
          <w:i/>
          <w:color w:val="000000" w:themeColor="text1"/>
          <w:sz w:val="22"/>
          <w:szCs w:val="22"/>
          <w:lang w:val="fr-FR"/>
        </w:rPr>
        <w:t>urosélectif</w:t>
      </w:r>
      <w:proofErr w:type="spellEnd"/>
      <w:r w:rsidRPr="006D4C42">
        <w:rPr>
          <w:rFonts w:asciiTheme="minorHAnsi" w:hAnsiTheme="minorHAnsi"/>
          <w:i/>
          <w:color w:val="000000" w:themeColor="text1"/>
          <w:sz w:val="22"/>
          <w:szCs w:val="22"/>
          <w:lang w:val="fr-FR"/>
        </w:rPr>
        <w:t xml:space="preserve"> présentant le plus faible risque d'hypotension orthostatique est la </w:t>
      </w:r>
      <w:proofErr w:type="spellStart"/>
      <w:r w:rsidRPr="006D4C42">
        <w:rPr>
          <w:rFonts w:asciiTheme="minorHAnsi" w:hAnsiTheme="minorHAnsi"/>
          <w:i/>
          <w:color w:val="000000" w:themeColor="text1"/>
          <w:sz w:val="22"/>
          <w:szCs w:val="22"/>
          <w:lang w:val="fr-FR"/>
        </w:rPr>
        <w:t>silodosine</w:t>
      </w:r>
      <w:proofErr w:type="spellEnd"/>
      <w:r w:rsidRPr="006D4C42">
        <w:rPr>
          <w:rFonts w:asciiTheme="minorHAnsi" w:hAnsiTheme="minorHAnsi"/>
          <w:i/>
          <w:color w:val="000000" w:themeColor="text1"/>
          <w:sz w:val="22"/>
          <w:szCs w:val="22"/>
          <w:lang w:val="fr-FR"/>
        </w:rPr>
        <w:t xml:space="preserve"> ; On pense qu'il est similaire au placebo. </w:t>
      </w:r>
    </w:p>
    <w:p w14:paraId="3F9403CC" w14:textId="269DAB05" w:rsidR="006D4C42" w:rsidRDefault="006D4C42" w:rsidP="0043334F">
      <w:pPr>
        <w:contextualSpacing/>
        <w:jc w:val="both"/>
        <w:rPr>
          <w:rFonts w:asciiTheme="minorHAnsi" w:hAnsiTheme="minorHAnsi"/>
          <w:i/>
          <w:color w:val="000000" w:themeColor="text1"/>
          <w:sz w:val="22"/>
          <w:szCs w:val="22"/>
          <w:lang w:val="fr-FR"/>
        </w:rPr>
      </w:pPr>
      <w:r w:rsidRPr="006D4C42">
        <w:rPr>
          <w:rFonts w:asciiTheme="minorHAnsi" w:hAnsiTheme="minorHAnsi"/>
          <w:i/>
          <w:color w:val="000000" w:themeColor="text1"/>
          <w:sz w:val="22"/>
          <w:szCs w:val="22"/>
          <w:lang w:val="fr-FR"/>
        </w:rPr>
        <w:t xml:space="preserve">*Les patients âgés traités par des alpha-1 bloquants non </w:t>
      </w:r>
      <w:proofErr w:type="spellStart"/>
      <w:r w:rsidRPr="006D4C42">
        <w:rPr>
          <w:rFonts w:asciiTheme="minorHAnsi" w:hAnsiTheme="minorHAnsi"/>
          <w:i/>
          <w:color w:val="000000" w:themeColor="text1"/>
          <w:sz w:val="22"/>
          <w:szCs w:val="22"/>
          <w:lang w:val="fr-FR"/>
        </w:rPr>
        <w:t>urosélectifs</w:t>
      </w:r>
      <w:proofErr w:type="spellEnd"/>
      <w:r w:rsidRPr="006D4C42">
        <w:rPr>
          <w:rFonts w:asciiTheme="minorHAnsi" w:hAnsiTheme="minorHAnsi"/>
          <w:i/>
          <w:color w:val="000000" w:themeColor="text1"/>
          <w:sz w:val="22"/>
          <w:szCs w:val="22"/>
          <w:lang w:val="fr-FR"/>
        </w:rPr>
        <w:t xml:space="preserve"> doivent être informés du risque d'hypotension orthostatique.</w:t>
      </w:r>
    </w:p>
    <w:p w14:paraId="5C7F9C57" w14:textId="77777777" w:rsidR="006D4C42" w:rsidRDefault="006D4C42" w:rsidP="0043334F">
      <w:pPr>
        <w:contextualSpacing/>
        <w:jc w:val="both"/>
        <w:rPr>
          <w:rFonts w:asciiTheme="minorHAnsi" w:hAnsiTheme="minorHAnsi"/>
          <w:i/>
          <w:color w:val="000000" w:themeColor="text1"/>
          <w:sz w:val="22"/>
          <w:szCs w:val="22"/>
          <w:lang w:val="fr-FR"/>
        </w:rPr>
      </w:pPr>
    </w:p>
    <w:p w14:paraId="1DAD61C9" w14:textId="73F01D59" w:rsidR="00415CD8" w:rsidRPr="00E21AE0" w:rsidRDefault="00415CD8" w:rsidP="0043334F">
      <w:pPr>
        <w:contextualSpacing/>
        <w:jc w:val="both"/>
        <w:rPr>
          <w:rFonts w:asciiTheme="minorHAnsi" w:hAnsiTheme="minorHAnsi"/>
          <w:b/>
          <w:sz w:val="22"/>
          <w:szCs w:val="22"/>
          <w:lang w:val="fr-FR"/>
        </w:rPr>
      </w:pPr>
      <w:r w:rsidRPr="00E21AE0">
        <w:rPr>
          <w:rFonts w:asciiTheme="minorHAnsi" w:hAnsiTheme="minorHAnsi"/>
          <w:b/>
          <w:sz w:val="22"/>
          <w:szCs w:val="22"/>
          <w:lang w:val="fr-FR"/>
        </w:rPr>
        <w:t xml:space="preserve">F6. </w:t>
      </w:r>
      <w:r w:rsidR="006D4C42" w:rsidRPr="006D4C42">
        <w:rPr>
          <w:rFonts w:asciiTheme="minorHAnsi" w:hAnsiTheme="minorHAnsi"/>
          <w:b/>
          <w:sz w:val="22"/>
          <w:szCs w:val="22"/>
          <w:lang w:val="fr-FR"/>
        </w:rPr>
        <w:t>L'utilisation d'antibiotiques n'est pas appropriée dans les bactériuries asymptomatiques, sauf pour les interventions urologiques qui peuvent endommager la muqueuse.</w:t>
      </w:r>
      <w:r w:rsidR="006D4C42">
        <w:rPr>
          <w:rFonts w:asciiTheme="minorHAnsi" w:hAnsiTheme="minorHAnsi"/>
          <w:b/>
          <w:sz w:val="22"/>
          <w:szCs w:val="22"/>
          <w:lang w:val="fr-FR"/>
        </w:rPr>
        <w:t xml:space="preserve"> </w:t>
      </w:r>
    </w:p>
    <w:p w14:paraId="5002FEC9" w14:textId="77777777" w:rsidR="006D4C42" w:rsidRDefault="006D4C42" w:rsidP="0043334F">
      <w:pPr>
        <w:contextualSpacing/>
        <w:jc w:val="both"/>
        <w:rPr>
          <w:rStyle w:val="nowrap"/>
          <w:rFonts w:asciiTheme="minorHAnsi" w:hAnsiTheme="minorHAnsi"/>
          <w:i/>
          <w:sz w:val="22"/>
          <w:szCs w:val="22"/>
          <w:shd w:val="clear" w:color="auto" w:fill="FFFFFF"/>
          <w:lang w:val="fr-FR"/>
        </w:rPr>
      </w:pPr>
      <w:r w:rsidRPr="006D4C42">
        <w:rPr>
          <w:rStyle w:val="nowrap"/>
          <w:rFonts w:asciiTheme="minorHAnsi" w:hAnsiTheme="minorHAnsi"/>
          <w:i/>
          <w:sz w:val="22"/>
          <w:szCs w:val="22"/>
          <w:shd w:val="clear" w:color="auto" w:fill="FFFFFF"/>
          <w:lang w:val="fr-FR"/>
        </w:rPr>
        <w:t xml:space="preserve">*La bactériurie asymptomatique doit être dépistée et traitée avant les interventions urologiques pouvant endommager la muqueuse. </w:t>
      </w:r>
    </w:p>
    <w:p w14:paraId="7B520822" w14:textId="77777777" w:rsidR="006D4C42" w:rsidRDefault="006D4C42" w:rsidP="0043334F">
      <w:pPr>
        <w:contextualSpacing/>
        <w:jc w:val="both"/>
        <w:rPr>
          <w:rStyle w:val="nowrap"/>
          <w:rFonts w:asciiTheme="minorHAnsi" w:hAnsiTheme="minorHAnsi"/>
          <w:i/>
          <w:sz w:val="22"/>
          <w:szCs w:val="22"/>
          <w:shd w:val="clear" w:color="auto" w:fill="FFFFFF"/>
          <w:lang w:val="fr-FR"/>
        </w:rPr>
      </w:pPr>
      <w:r w:rsidRPr="006D4C42">
        <w:rPr>
          <w:rStyle w:val="nowrap"/>
          <w:rFonts w:asciiTheme="minorHAnsi" w:hAnsiTheme="minorHAnsi"/>
          <w:i/>
          <w:sz w:val="22"/>
          <w:szCs w:val="22"/>
          <w:shd w:val="clear" w:color="auto" w:fill="FFFFFF"/>
          <w:lang w:val="fr-FR"/>
        </w:rPr>
        <w:t xml:space="preserve">*Il n'est pas recommandé de dépister et/ou de traiter la bactériurie asymptomatique chez les groupes de patients suivants : </w:t>
      </w:r>
    </w:p>
    <w:p w14:paraId="0EC44F1F" w14:textId="77777777" w:rsidR="006D4C42" w:rsidRDefault="006D4C42" w:rsidP="006D4C42">
      <w:pPr>
        <w:ind w:firstLine="708"/>
        <w:contextualSpacing/>
        <w:jc w:val="both"/>
        <w:rPr>
          <w:rStyle w:val="nowrap"/>
          <w:rFonts w:asciiTheme="minorHAnsi" w:hAnsiTheme="minorHAnsi"/>
          <w:i/>
          <w:sz w:val="22"/>
          <w:szCs w:val="22"/>
          <w:shd w:val="clear" w:color="auto" w:fill="FFFFFF"/>
          <w:lang w:val="fr-FR"/>
        </w:rPr>
      </w:pPr>
      <w:r w:rsidRPr="006D4C42">
        <w:rPr>
          <w:rStyle w:val="nowrap"/>
          <w:rFonts w:asciiTheme="minorHAnsi" w:hAnsiTheme="minorHAnsi"/>
          <w:i/>
          <w:sz w:val="22"/>
          <w:szCs w:val="22"/>
          <w:shd w:val="clear" w:color="auto" w:fill="FFFFFF"/>
          <w:lang w:val="fr-FR"/>
        </w:rPr>
        <w:t xml:space="preserve">Patients sans facteurs de risque </w:t>
      </w:r>
    </w:p>
    <w:p w14:paraId="7BCFD9C2" w14:textId="77777777" w:rsidR="006D4C42" w:rsidRDefault="006D4C42" w:rsidP="006D4C42">
      <w:pPr>
        <w:ind w:firstLine="708"/>
        <w:contextualSpacing/>
        <w:jc w:val="both"/>
        <w:rPr>
          <w:rStyle w:val="nowrap"/>
          <w:rFonts w:asciiTheme="minorHAnsi" w:hAnsiTheme="minorHAnsi"/>
          <w:i/>
          <w:sz w:val="22"/>
          <w:szCs w:val="22"/>
          <w:shd w:val="clear" w:color="auto" w:fill="FFFFFF"/>
          <w:lang w:val="fr-FR"/>
        </w:rPr>
      </w:pPr>
      <w:r w:rsidRPr="006D4C42">
        <w:rPr>
          <w:rStyle w:val="nowrap"/>
          <w:rFonts w:asciiTheme="minorHAnsi" w:hAnsiTheme="minorHAnsi"/>
          <w:i/>
          <w:sz w:val="22"/>
          <w:szCs w:val="22"/>
          <w:shd w:val="clear" w:color="auto" w:fill="FFFFFF"/>
          <w:lang w:val="fr-FR"/>
        </w:rPr>
        <w:t xml:space="preserve">Patients atteints de diabète bien régulé </w:t>
      </w:r>
    </w:p>
    <w:p w14:paraId="48BB4D5F" w14:textId="77777777" w:rsidR="006D4C42" w:rsidRDefault="006D4C42" w:rsidP="006D4C42">
      <w:pPr>
        <w:ind w:firstLine="708"/>
        <w:contextualSpacing/>
        <w:jc w:val="both"/>
        <w:rPr>
          <w:rStyle w:val="nowrap"/>
          <w:rFonts w:asciiTheme="minorHAnsi" w:hAnsiTheme="minorHAnsi"/>
          <w:i/>
          <w:sz w:val="22"/>
          <w:szCs w:val="22"/>
          <w:shd w:val="clear" w:color="auto" w:fill="FFFFFF"/>
          <w:lang w:val="fr-FR"/>
        </w:rPr>
      </w:pPr>
      <w:r w:rsidRPr="006D4C42">
        <w:rPr>
          <w:rStyle w:val="nowrap"/>
          <w:rFonts w:asciiTheme="minorHAnsi" w:hAnsiTheme="minorHAnsi"/>
          <w:i/>
          <w:sz w:val="22"/>
          <w:szCs w:val="22"/>
          <w:shd w:val="clear" w:color="auto" w:fill="FFFFFF"/>
          <w:lang w:val="fr-FR"/>
        </w:rPr>
        <w:t xml:space="preserve">Patients vivant en maison de retraite </w:t>
      </w:r>
    </w:p>
    <w:p w14:paraId="4F403FD1" w14:textId="77777777" w:rsidR="006D4C42" w:rsidRDefault="006D4C42" w:rsidP="006D4C42">
      <w:pPr>
        <w:ind w:firstLine="708"/>
        <w:contextualSpacing/>
        <w:jc w:val="both"/>
        <w:rPr>
          <w:rStyle w:val="nowrap"/>
          <w:rFonts w:asciiTheme="minorHAnsi" w:hAnsiTheme="minorHAnsi"/>
          <w:i/>
          <w:sz w:val="22"/>
          <w:szCs w:val="22"/>
          <w:shd w:val="clear" w:color="auto" w:fill="FFFFFF"/>
          <w:lang w:val="fr-FR"/>
        </w:rPr>
      </w:pPr>
      <w:r w:rsidRPr="006D4C42">
        <w:rPr>
          <w:rStyle w:val="nowrap"/>
          <w:rFonts w:asciiTheme="minorHAnsi" w:hAnsiTheme="minorHAnsi"/>
          <w:i/>
          <w:sz w:val="22"/>
          <w:szCs w:val="22"/>
          <w:shd w:val="clear" w:color="auto" w:fill="FFFFFF"/>
          <w:lang w:val="fr-FR"/>
        </w:rPr>
        <w:t>Patients présentant un dysfonctionnement/reconstruction des voies urinaires inférieures</w:t>
      </w:r>
    </w:p>
    <w:p w14:paraId="172C259B" w14:textId="77777777" w:rsidR="006D4C42" w:rsidRDefault="006D4C42" w:rsidP="006D4C42">
      <w:pPr>
        <w:ind w:firstLine="708"/>
        <w:contextualSpacing/>
        <w:jc w:val="both"/>
        <w:rPr>
          <w:rStyle w:val="nowrap"/>
          <w:rFonts w:asciiTheme="minorHAnsi" w:hAnsiTheme="minorHAnsi"/>
          <w:i/>
          <w:sz w:val="22"/>
          <w:szCs w:val="22"/>
          <w:shd w:val="clear" w:color="auto" w:fill="FFFFFF"/>
          <w:lang w:val="fr-FR"/>
        </w:rPr>
      </w:pPr>
      <w:r w:rsidRPr="006D4C42">
        <w:rPr>
          <w:rStyle w:val="nowrap"/>
          <w:rFonts w:asciiTheme="minorHAnsi" w:hAnsiTheme="minorHAnsi"/>
          <w:i/>
          <w:sz w:val="22"/>
          <w:szCs w:val="22"/>
          <w:shd w:val="clear" w:color="auto" w:fill="FFFFFF"/>
          <w:lang w:val="fr-FR"/>
        </w:rPr>
        <w:t xml:space="preserve">Patients présentant des infections urinaires récurrentes </w:t>
      </w:r>
    </w:p>
    <w:p w14:paraId="317CA9E4" w14:textId="77777777" w:rsidR="006D4C42" w:rsidRDefault="006D4C42" w:rsidP="006D4C42">
      <w:pPr>
        <w:ind w:firstLine="708"/>
        <w:contextualSpacing/>
        <w:jc w:val="both"/>
        <w:rPr>
          <w:rStyle w:val="nowrap"/>
          <w:rFonts w:asciiTheme="minorHAnsi" w:hAnsiTheme="minorHAnsi"/>
          <w:i/>
          <w:sz w:val="22"/>
          <w:szCs w:val="22"/>
          <w:shd w:val="clear" w:color="auto" w:fill="FFFFFF"/>
          <w:lang w:val="fr-FR"/>
        </w:rPr>
      </w:pPr>
      <w:r w:rsidRPr="006D4C42">
        <w:rPr>
          <w:rStyle w:val="nowrap"/>
          <w:rFonts w:asciiTheme="minorHAnsi" w:hAnsiTheme="minorHAnsi"/>
          <w:i/>
          <w:sz w:val="22"/>
          <w:szCs w:val="22"/>
          <w:shd w:val="clear" w:color="auto" w:fill="FFFFFF"/>
          <w:lang w:val="fr-FR"/>
        </w:rPr>
        <w:t xml:space="preserve">Avant les chirurgies d'arthroplastie </w:t>
      </w:r>
    </w:p>
    <w:p w14:paraId="2069D126" w14:textId="13AB6635" w:rsidR="006D4C42" w:rsidRDefault="006D4C42" w:rsidP="006D4C42">
      <w:pPr>
        <w:ind w:firstLine="708"/>
        <w:contextualSpacing/>
        <w:jc w:val="both"/>
        <w:rPr>
          <w:rStyle w:val="nowrap"/>
          <w:rFonts w:asciiTheme="minorHAnsi" w:hAnsiTheme="minorHAnsi"/>
          <w:i/>
          <w:sz w:val="22"/>
          <w:szCs w:val="22"/>
          <w:shd w:val="clear" w:color="auto" w:fill="FFFFFF"/>
          <w:lang w:val="fr-FR"/>
        </w:rPr>
      </w:pPr>
      <w:r w:rsidRPr="006D4C42">
        <w:rPr>
          <w:rStyle w:val="nowrap"/>
          <w:rFonts w:asciiTheme="minorHAnsi" w:hAnsiTheme="minorHAnsi"/>
          <w:i/>
          <w:sz w:val="22"/>
          <w:szCs w:val="22"/>
          <w:shd w:val="clear" w:color="auto" w:fill="FFFFFF"/>
          <w:lang w:val="fr-FR"/>
        </w:rPr>
        <w:t>Patients porteurs d'une sonde urinaire</w:t>
      </w:r>
      <w:r>
        <w:rPr>
          <w:rStyle w:val="nowrap"/>
          <w:rFonts w:asciiTheme="minorHAnsi" w:hAnsiTheme="minorHAnsi"/>
          <w:i/>
          <w:sz w:val="22"/>
          <w:szCs w:val="22"/>
          <w:shd w:val="clear" w:color="auto" w:fill="FFFFFF"/>
          <w:lang w:val="fr-FR"/>
        </w:rPr>
        <w:t xml:space="preserve"> </w:t>
      </w:r>
    </w:p>
    <w:p w14:paraId="311FF80C" w14:textId="77777777" w:rsidR="006D4C42" w:rsidRDefault="006D4C42" w:rsidP="0043334F">
      <w:pPr>
        <w:contextualSpacing/>
        <w:jc w:val="both"/>
        <w:rPr>
          <w:rStyle w:val="nowrap"/>
          <w:rFonts w:asciiTheme="minorHAnsi" w:hAnsiTheme="minorHAnsi"/>
          <w:i/>
          <w:sz w:val="22"/>
          <w:szCs w:val="22"/>
          <w:shd w:val="clear" w:color="auto" w:fill="FFFFFF"/>
          <w:lang w:val="fr-FR"/>
        </w:rPr>
      </w:pPr>
    </w:p>
    <w:p w14:paraId="0B584681" w14:textId="77777777" w:rsidR="00F327A4" w:rsidRPr="00E21AE0" w:rsidRDefault="00F327A4" w:rsidP="0043334F">
      <w:pPr>
        <w:contextualSpacing/>
        <w:jc w:val="both"/>
        <w:rPr>
          <w:rFonts w:asciiTheme="minorHAnsi" w:hAnsiTheme="minorHAnsi"/>
          <w:b/>
          <w:color w:val="000000"/>
          <w:sz w:val="22"/>
          <w:szCs w:val="22"/>
          <w:lang w:val="fr-FR"/>
        </w:rPr>
      </w:pPr>
    </w:p>
    <w:p w14:paraId="5EB7B69F" w14:textId="77777777" w:rsidR="006D4C42" w:rsidRDefault="00415CD8" w:rsidP="006D4C42">
      <w:pPr>
        <w:contextualSpacing/>
        <w:jc w:val="both"/>
        <w:rPr>
          <w:rFonts w:asciiTheme="minorHAnsi" w:hAnsiTheme="minorHAnsi"/>
          <w:b/>
          <w:color w:val="000000"/>
          <w:sz w:val="22"/>
          <w:szCs w:val="22"/>
          <w:lang w:val="fr-FR"/>
        </w:rPr>
      </w:pPr>
      <w:r w:rsidRPr="00E21AE0">
        <w:rPr>
          <w:rFonts w:asciiTheme="minorHAnsi" w:hAnsiTheme="minorHAnsi"/>
          <w:b/>
          <w:color w:val="000000"/>
          <w:sz w:val="22"/>
          <w:szCs w:val="22"/>
          <w:lang w:val="fr-FR"/>
        </w:rPr>
        <w:t xml:space="preserve">F7. </w:t>
      </w:r>
      <w:r w:rsidR="006D4C42" w:rsidRPr="006D4C42">
        <w:rPr>
          <w:rFonts w:asciiTheme="minorHAnsi" w:hAnsiTheme="minorHAnsi"/>
          <w:b/>
          <w:color w:val="000000"/>
          <w:sz w:val="22"/>
          <w:szCs w:val="22"/>
          <w:lang w:val="fr-FR"/>
        </w:rPr>
        <w:t xml:space="preserve">La </w:t>
      </w:r>
      <w:proofErr w:type="spellStart"/>
      <w:r w:rsidR="006D4C42" w:rsidRPr="006D4C42">
        <w:rPr>
          <w:rFonts w:asciiTheme="minorHAnsi" w:hAnsiTheme="minorHAnsi"/>
          <w:b/>
          <w:color w:val="000000"/>
          <w:sz w:val="22"/>
          <w:szCs w:val="22"/>
          <w:lang w:val="fr-FR"/>
        </w:rPr>
        <w:t>nitrofurantoïne</w:t>
      </w:r>
      <w:proofErr w:type="spellEnd"/>
      <w:r w:rsidR="006D4C42" w:rsidRPr="006D4C42">
        <w:rPr>
          <w:rFonts w:asciiTheme="minorHAnsi" w:hAnsiTheme="minorHAnsi"/>
          <w:b/>
          <w:color w:val="000000"/>
          <w:sz w:val="22"/>
          <w:szCs w:val="22"/>
          <w:lang w:val="fr-FR"/>
        </w:rPr>
        <w:t xml:space="preserve"> ne convient pas aux patients avec un DFG &lt; 30 ml/min/1,73 m2</w:t>
      </w:r>
    </w:p>
    <w:p w14:paraId="4A188448" w14:textId="77777777" w:rsidR="006D4C42" w:rsidRPr="006D4C42" w:rsidRDefault="006D4C42" w:rsidP="006D4C42">
      <w:pPr>
        <w:contextualSpacing/>
        <w:jc w:val="both"/>
        <w:rPr>
          <w:rFonts w:asciiTheme="minorHAnsi" w:hAnsiTheme="minorHAnsi"/>
          <w:i/>
          <w:color w:val="000000"/>
          <w:sz w:val="22"/>
          <w:szCs w:val="22"/>
          <w:lang w:val="fr-FR"/>
        </w:rPr>
      </w:pPr>
      <w:r w:rsidRPr="006D4C42">
        <w:rPr>
          <w:rFonts w:asciiTheme="minorHAnsi" w:hAnsiTheme="minorHAnsi"/>
          <w:i/>
          <w:color w:val="000000"/>
          <w:sz w:val="22"/>
          <w:szCs w:val="22"/>
          <w:lang w:val="fr-FR"/>
        </w:rPr>
        <w:t xml:space="preserve">*L'utilisation à long terme de la </w:t>
      </w:r>
      <w:proofErr w:type="spellStart"/>
      <w:r w:rsidRPr="006D4C42">
        <w:rPr>
          <w:rFonts w:asciiTheme="minorHAnsi" w:hAnsiTheme="minorHAnsi"/>
          <w:i/>
          <w:color w:val="000000"/>
          <w:sz w:val="22"/>
          <w:szCs w:val="22"/>
          <w:lang w:val="fr-FR"/>
        </w:rPr>
        <w:t>nitrofurantoïne</w:t>
      </w:r>
      <w:proofErr w:type="spellEnd"/>
      <w:r w:rsidRPr="006D4C42">
        <w:rPr>
          <w:rFonts w:asciiTheme="minorHAnsi" w:hAnsiTheme="minorHAnsi"/>
          <w:i/>
          <w:color w:val="000000"/>
          <w:sz w:val="22"/>
          <w:szCs w:val="22"/>
          <w:lang w:val="fr-FR"/>
        </w:rPr>
        <w:t xml:space="preserve"> pour le traitement de suppression des infections urinaires n'est pas adaptée chez les personnes âgées (en raison du risque de fibrose pulmonaire irréversible, de toxicité hépatique et de neuropathie périphérique en cas d'utilisation à long terme)</w:t>
      </w:r>
    </w:p>
    <w:p w14:paraId="373EC85A" w14:textId="77777777" w:rsidR="006D4C42" w:rsidRDefault="006D4C42" w:rsidP="006D4C42">
      <w:pPr>
        <w:contextualSpacing/>
        <w:jc w:val="both"/>
        <w:rPr>
          <w:rFonts w:asciiTheme="minorHAnsi" w:hAnsiTheme="minorHAnsi"/>
          <w:color w:val="000000"/>
          <w:sz w:val="22"/>
          <w:szCs w:val="22"/>
          <w:lang w:val="fr-FR"/>
        </w:rPr>
      </w:pPr>
    </w:p>
    <w:p w14:paraId="36C67BF4" w14:textId="77777777" w:rsidR="002F3D1A" w:rsidRPr="00E21AE0" w:rsidRDefault="002F3D1A" w:rsidP="0043334F">
      <w:pPr>
        <w:contextualSpacing/>
        <w:jc w:val="both"/>
        <w:rPr>
          <w:rFonts w:asciiTheme="minorHAnsi" w:hAnsiTheme="minorHAnsi"/>
          <w:b/>
          <w:i/>
          <w:color w:val="4472C4" w:themeColor="accent5"/>
          <w:sz w:val="22"/>
          <w:szCs w:val="22"/>
          <w:u w:val="single"/>
          <w:lang w:val="fr-FR"/>
        </w:rPr>
      </w:pPr>
    </w:p>
    <w:p w14:paraId="7BB1223E" w14:textId="75B04E86" w:rsidR="004816D3" w:rsidRPr="00E21AE0" w:rsidRDefault="007C70E3" w:rsidP="0043334F">
      <w:pPr>
        <w:contextualSpacing/>
        <w:jc w:val="both"/>
        <w:rPr>
          <w:rFonts w:asciiTheme="minorHAnsi" w:hAnsiTheme="minorHAnsi"/>
          <w:b/>
          <w:sz w:val="28"/>
          <w:szCs w:val="28"/>
          <w:lang w:val="fr-FR"/>
        </w:rPr>
      </w:pPr>
      <w:proofErr w:type="gramStart"/>
      <w:r w:rsidRPr="00E21AE0">
        <w:rPr>
          <w:rFonts w:asciiTheme="minorHAnsi" w:hAnsiTheme="minorHAnsi"/>
          <w:b/>
          <w:sz w:val="28"/>
          <w:szCs w:val="28"/>
          <w:lang w:val="fr-FR"/>
        </w:rPr>
        <w:t>G:</w:t>
      </w:r>
      <w:proofErr w:type="gramEnd"/>
      <w:r w:rsidRPr="00E21AE0">
        <w:rPr>
          <w:rFonts w:asciiTheme="minorHAnsi" w:hAnsiTheme="minorHAnsi"/>
          <w:b/>
          <w:sz w:val="28"/>
          <w:szCs w:val="28"/>
          <w:lang w:val="fr-FR"/>
        </w:rPr>
        <w:t xml:space="preserve"> </w:t>
      </w:r>
      <w:r w:rsidR="006D4C42" w:rsidRPr="006D4C42">
        <w:rPr>
          <w:rFonts w:asciiTheme="minorHAnsi" w:hAnsiTheme="minorHAnsi"/>
          <w:b/>
          <w:sz w:val="28"/>
          <w:szCs w:val="28"/>
          <w:lang w:val="fr-FR"/>
        </w:rPr>
        <w:t>Critères du système endocrinien</w:t>
      </w:r>
      <w:r w:rsidRPr="00E21AE0">
        <w:rPr>
          <w:rFonts w:asciiTheme="minorHAnsi" w:hAnsiTheme="minorHAnsi"/>
          <w:b/>
          <w:sz w:val="28"/>
          <w:szCs w:val="28"/>
          <w:lang w:val="fr-FR"/>
        </w:rPr>
        <w:t>.</w:t>
      </w:r>
    </w:p>
    <w:p w14:paraId="557BA9E5" w14:textId="77777777" w:rsidR="007C70E3" w:rsidRPr="00E21AE0" w:rsidRDefault="007C70E3" w:rsidP="0043334F">
      <w:pPr>
        <w:contextualSpacing/>
        <w:jc w:val="both"/>
        <w:rPr>
          <w:rFonts w:asciiTheme="minorHAnsi" w:hAnsiTheme="minorHAnsi"/>
          <w:b/>
          <w:sz w:val="28"/>
          <w:szCs w:val="28"/>
          <w:lang w:val="fr-FR"/>
        </w:rPr>
      </w:pPr>
    </w:p>
    <w:p w14:paraId="2C21B599" w14:textId="77777777" w:rsidR="006D4C42" w:rsidRDefault="00415CD8" w:rsidP="0043334F">
      <w:pPr>
        <w:spacing w:before="100" w:beforeAutospacing="1" w:after="100" w:afterAutospacing="1"/>
        <w:contextualSpacing/>
        <w:jc w:val="both"/>
        <w:rPr>
          <w:rFonts w:asciiTheme="minorHAnsi" w:hAnsiTheme="minorHAnsi"/>
          <w:b/>
          <w:sz w:val="22"/>
          <w:szCs w:val="22"/>
          <w:lang w:val="fr-FR"/>
        </w:rPr>
      </w:pPr>
      <w:r w:rsidRPr="00E21AE0">
        <w:rPr>
          <w:rFonts w:asciiTheme="minorHAnsi" w:hAnsiTheme="minorHAnsi"/>
          <w:b/>
          <w:sz w:val="22"/>
          <w:szCs w:val="22"/>
          <w:lang w:val="fr-FR"/>
        </w:rPr>
        <w:t xml:space="preserve">G1. </w:t>
      </w:r>
      <w:r w:rsidR="006D4C42" w:rsidRPr="006D4C42">
        <w:rPr>
          <w:rFonts w:asciiTheme="minorHAnsi" w:hAnsiTheme="minorHAnsi"/>
          <w:b/>
          <w:sz w:val="22"/>
          <w:szCs w:val="22"/>
          <w:lang w:val="fr-FR"/>
        </w:rPr>
        <w:t xml:space="preserve">Un contrôle strict de la glycémie (HbA1C &lt; 7 %) n'est pas approprié chez les patients ayant une faible espérance de vie (&lt; 5 ans) ou des antécédents de déclin ou de troubles cognitifs. </w:t>
      </w:r>
      <w:r w:rsidR="006D4C42">
        <w:rPr>
          <w:rFonts w:asciiTheme="minorHAnsi" w:hAnsiTheme="minorHAnsi"/>
          <w:b/>
          <w:sz w:val="22"/>
          <w:szCs w:val="22"/>
          <w:lang w:val="fr-FR"/>
        </w:rPr>
        <w:t xml:space="preserve"> </w:t>
      </w:r>
    </w:p>
    <w:p w14:paraId="59BBCB8C" w14:textId="77777777" w:rsidR="006D4C42" w:rsidRDefault="006D4C42" w:rsidP="0043334F">
      <w:pPr>
        <w:spacing w:before="100" w:beforeAutospacing="1" w:after="100" w:afterAutospacing="1"/>
        <w:contextualSpacing/>
        <w:jc w:val="both"/>
        <w:rPr>
          <w:rFonts w:asciiTheme="minorHAnsi" w:hAnsiTheme="minorHAnsi"/>
          <w:b/>
          <w:sz w:val="22"/>
          <w:szCs w:val="22"/>
          <w:lang w:val="fr-FR"/>
        </w:rPr>
      </w:pPr>
    </w:p>
    <w:p w14:paraId="534C263D" w14:textId="77777777" w:rsidR="005F759F" w:rsidRDefault="00E66E29" w:rsidP="0043334F">
      <w:pPr>
        <w:autoSpaceDE w:val="0"/>
        <w:autoSpaceDN w:val="0"/>
        <w:adjustRightInd w:val="0"/>
        <w:contextualSpacing/>
        <w:jc w:val="both"/>
        <w:rPr>
          <w:rFonts w:asciiTheme="minorHAnsi" w:hAnsiTheme="minorHAnsi"/>
          <w:b/>
          <w:sz w:val="22"/>
          <w:szCs w:val="22"/>
          <w:lang w:val="fr-FR"/>
        </w:rPr>
      </w:pPr>
      <w:r w:rsidRPr="00E21AE0">
        <w:rPr>
          <w:rFonts w:ascii="Calibri" w:hAnsi="Calibri" w:cs="Calibri"/>
          <w:b/>
          <w:sz w:val="22"/>
          <w:szCs w:val="22"/>
          <w:lang w:val="fr-FR"/>
        </w:rPr>
        <w:t>#</w:t>
      </w:r>
      <w:r w:rsidR="00415CD8" w:rsidRPr="00E21AE0">
        <w:rPr>
          <w:rFonts w:asciiTheme="minorHAnsi" w:hAnsiTheme="minorHAnsi"/>
          <w:b/>
          <w:sz w:val="22"/>
          <w:szCs w:val="22"/>
          <w:lang w:val="fr-FR"/>
        </w:rPr>
        <w:t xml:space="preserve">G2. </w:t>
      </w:r>
      <w:r w:rsidR="005F759F" w:rsidRPr="005F759F">
        <w:rPr>
          <w:rFonts w:asciiTheme="minorHAnsi" w:hAnsiTheme="minorHAnsi"/>
          <w:b/>
          <w:sz w:val="22"/>
          <w:szCs w:val="22"/>
          <w:lang w:val="fr-FR"/>
        </w:rPr>
        <w:t>L'utilisation de la metformine n'est pas appropriée chez les personnes âgées fragiles ou souffrant de malnutrition (en raison des effets secondaires gastro-intestinaux et de l'effet anorexie de la metformine)</w:t>
      </w:r>
      <w:r w:rsidR="005F759F">
        <w:rPr>
          <w:rFonts w:asciiTheme="minorHAnsi" w:hAnsiTheme="minorHAnsi"/>
          <w:b/>
          <w:sz w:val="22"/>
          <w:szCs w:val="22"/>
          <w:lang w:val="fr-FR"/>
        </w:rPr>
        <w:t xml:space="preserve"> </w:t>
      </w:r>
    </w:p>
    <w:p w14:paraId="34FC9674" w14:textId="2EE147E1" w:rsidR="00850F9D" w:rsidRPr="00E21AE0" w:rsidRDefault="005F759F" w:rsidP="0043334F">
      <w:pPr>
        <w:contextualSpacing/>
        <w:jc w:val="both"/>
        <w:rPr>
          <w:rFonts w:asciiTheme="minorHAnsi" w:hAnsiTheme="minorHAnsi"/>
          <w:i/>
          <w:sz w:val="22"/>
          <w:szCs w:val="22"/>
          <w:lang w:val="fr-FR"/>
        </w:rPr>
      </w:pPr>
      <w:r w:rsidRPr="005F759F">
        <w:rPr>
          <w:rFonts w:asciiTheme="minorHAnsi" w:hAnsiTheme="minorHAnsi"/>
          <w:i/>
          <w:sz w:val="22"/>
          <w:szCs w:val="22"/>
          <w:lang w:val="fr-FR"/>
        </w:rPr>
        <w:t>*L'utilisation de la metformine dans les cas à risque de malnutrition doit être décidée en tenant compte de la balance des profits et pertes.</w:t>
      </w:r>
    </w:p>
    <w:p w14:paraId="2F95F3EB" w14:textId="77777777" w:rsidR="002F3D1A" w:rsidRPr="00E21AE0" w:rsidRDefault="002F3D1A" w:rsidP="0043334F">
      <w:pPr>
        <w:autoSpaceDE w:val="0"/>
        <w:autoSpaceDN w:val="0"/>
        <w:adjustRightInd w:val="0"/>
        <w:contextualSpacing/>
        <w:jc w:val="both"/>
        <w:rPr>
          <w:rFonts w:asciiTheme="minorHAnsi" w:hAnsiTheme="minorHAnsi" w:cstheme="minorHAnsi"/>
          <w:color w:val="000000"/>
          <w:sz w:val="22"/>
          <w:szCs w:val="22"/>
          <w:lang w:val="fr-FR"/>
        </w:rPr>
      </w:pPr>
    </w:p>
    <w:p w14:paraId="7C817DCB" w14:textId="59D4BB46" w:rsidR="00415CD8" w:rsidRPr="00E21AE0" w:rsidRDefault="00415CD8" w:rsidP="0043334F">
      <w:pPr>
        <w:autoSpaceDE w:val="0"/>
        <w:autoSpaceDN w:val="0"/>
        <w:adjustRightInd w:val="0"/>
        <w:contextualSpacing/>
        <w:jc w:val="both"/>
        <w:rPr>
          <w:rFonts w:asciiTheme="minorHAnsi" w:hAnsiTheme="minorHAnsi" w:cstheme="minorHAnsi"/>
          <w:color w:val="000000"/>
          <w:sz w:val="22"/>
          <w:szCs w:val="22"/>
          <w:lang w:val="fr-FR"/>
        </w:rPr>
      </w:pPr>
      <w:r w:rsidRPr="00E21AE0">
        <w:rPr>
          <w:rFonts w:asciiTheme="minorHAnsi" w:hAnsiTheme="minorHAnsi"/>
          <w:b/>
          <w:sz w:val="22"/>
          <w:szCs w:val="22"/>
          <w:lang w:val="fr-FR"/>
        </w:rPr>
        <w:t xml:space="preserve">G3. </w:t>
      </w:r>
      <w:r w:rsidR="00263EB7" w:rsidRPr="00263EB7">
        <w:rPr>
          <w:rFonts w:asciiTheme="minorHAnsi" w:hAnsiTheme="minorHAnsi"/>
          <w:b/>
          <w:sz w:val="22"/>
          <w:szCs w:val="22"/>
          <w:lang w:val="fr-FR"/>
        </w:rPr>
        <w:t>La metformine ne convient pas aux patients avec un DFG &lt; 30 ml/min/1,73 m2 (risque d'acidose lactique)</w:t>
      </w:r>
    </w:p>
    <w:p w14:paraId="36480D8D" w14:textId="77777777" w:rsidR="00AD36D6" w:rsidRDefault="00263EB7" w:rsidP="0043334F">
      <w:pPr>
        <w:contextualSpacing/>
        <w:jc w:val="both"/>
        <w:rPr>
          <w:rFonts w:asciiTheme="minorHAnsi" w:hAnsiTheme="minorHAnsi"/>
          <w:i/>
          <w:sz w:val="22"/>
          <w:szCs w:val="22"/>
          <w:lang w:val="fr-FR"/>
        </w:rPr>
      </w:pPr>
      <w:r w:rsidRPr="00263EB7">
        <w:rPr>
          <w:rFonts w:asciiTheme="minorHAnsi" w:hAnsiTheme="minorHAnsi"/>
          <w:i/>
          <w:sz w:val="22"/>
          <w:szCs w:val="22"/>
          <w:lang w:val="fr-FR"/>
        </w:rPr>
        <w:t xml:space="preserve">*La dose de metformine doit être réduite de 50 % chez les patients avec un DFG : 30-45 ml/min/1,73 m2. </w:t>
      </w:r>
    </w:p>
    <w:p w14:paraId="4F09A7C3" w14:textId="25F3F220" w:rsidR="00263EB7" w:rsidRDefault="00263EB7" w:rsidP="0043334F">
      <w:pPr>
        <w:contextualSpacing/>
        <w:jc w:val="both"/>
        <w:rPr>
          <w:rFonts w:asciiTheme="minorHAnsi" w:hAnsiTheme="minorHAnsi"/>
          <w:i/>
          <w:sz w:val="22"/>
          <w:szCs w:val="22"/>
          <w:lang w:val="fr-FR"/>
        </w:rPr>
      </w:pPr>
      <w:r w:rsidRPr="00263EB7">
        <w:rPr>
          <w:rFonts w:asciiTheme="minorHAnsi" w:hAnsiTheme="minorHAnsi"/>
          <w:i/>
          <w:sz w:val="22"/>
          <w:szCs w:val="22"/>
          <w:lang w:val="fr-FR"/>
        </w:rPr>
        <w:t xml:space="preserve">* L'utilisation de la metformine n'est pas non plus appropriée dans d'autres </w:t>
      </w:r>
      <w:r w:rsidR="00AD36D6">
        <w:rPr>
          <w:rFonts w:asciiTheme="minorHAnsi" w:hAnsiTheme="minorHAnsi"/>
          <w:i/>
          <w:sz w:val="22"/>
          <w:szCs w:val="22"/>
          <w:lang w:val="fr-FR"/>
        </w:rPr>
        <w:t>cas</w:t>
      </w:r>
      <w:r w:rsidRPr="00263EB7">
        <w:rPr>
          <w:rFonts w:asciiTheme="minorHAnsi" w:hAnsiTheme="minorHAnsi"/>
          <w:i/>
          <w:sz w:val="22"/>
          <w:szCs w:val="22"/>
          <w:lang w:val="fr-FR"/>
        </w:rPr>
        <w:t xml:space="preserve"> qui augmentent le risque d'acidose lactique (insuffisance cardiaque, insuffisance hépatique, choc ou instabilité hémodynamique permanente, BPCO, hypoxie).</w:t>
      </w:r>
    </w:p>
    <w:p w14:paraId="34226871" w14:textId="77777777" w:rsidR="002F3D1A" w:rsidRPr="00E21AE0" w:rsidRDefault="002F3D1A" w:rsidP="0043334F">
      <w:pPr>
        <w:contextualSpacing/>
        <w:jc w:val="both"/>
        <w:rPr>
          <w:rFonts w:asciiTheme="minorHAnsi" w:hAnsiTheme="minorHAnsi" w:cstheme="minorHAnsi"/>
          <w:color w:val="000000"/>
          <w:sz w:val="22"/>
          <w:szCs w:val="22"/>
          <w:lang w:val="fr-FR"/>
        </w:rPr>
      </w:pPr>
    </w:p>
    <w:p w14:paraId="4FC1AD6B" w14:textId="77777777" w:rsidR="00AD36D6" w:rsidRDefault="00415CD8" w:rsidP="0043334F">
      <w:pPr>
        <w:contextualSpacing/>
        <w:jc w:val="both"/>
        <w:rPr>
          <w:rFonts w:asciiTheme="minorHAnsi" w:hAnsiTheme="minorHAnsi"/>
          <w:b/>
          <w:sz w:val="22"/>
          <w:szCs w:val="22"/>
          <w:lang w:val="fr-FR"/>
        </w:rPr>
      </w:pPr>
      <w:r w:rsidRPr="00E21AE0">
        <w:rPr>
          <w:rFonts w:asciiTheme="minorHAnsi" w:hAnsiTheme="minorHAnsi"/>
          <w:b/>
          <w:sz w:val="22"/>
          <w:szCs w:val="22"/>
          <w:lang w:val="fr-FR"/>
        </w:rPr>
        <w:t xml:space="preserve">G4. </w:t>
      </w:r>
      <w:r w:rsidR="00AD36D6" w:rsidRPr="00AD36D6">
        <w:rPr>
          <w:rFonts w:asciiTheme="minorHAnsi" w:hAnsiTheme="minorHAnsi"/>
          <w:b/>
          <w:sz w:val="22"/>
          <w:szCs w:val="22"/>
          <w:lang w:val="fr-FR"/>
        </w:rPr>
        <w:t xml:space="preserve">Les </w:t>
      </w:r>
      <w:proofErr w:type="spellStart"/>
      <w:r w:rsidR="00AD36D6" w:rsidRPr="00AD36D6">
        <w:rPr>
          <w:rFonts w:asciiTheme="minorHAnsi" w:hAnsiTheme="minorHAnsi"/>
          <w:b/>
          <w:sz w:val="22"/>
          <w:szCs w:val="22"/>
          <w:lang w:val="fr-FR"/>
        </w:rPr>
        <w:t>sulfanilurées</w:t>
      </w:r>
      <w:proofErr w:type="spellEnd"/>
      <w:r w:rsidR="00AD36D6" w:rsidRPr="00AD36D6">
        <w:rPr>
          <w:rFonts w:asciiTheme="minorHAnsi" w:hAnsiTheme="minorHAnsi"/>
          <w:b/>
          <w:sz w:val="22"/>
          <w:szCs w:val="22"/>
          <w:lang w:val="fr-FR"/>
        </w:rPr>
        <w:t xml:space="preserve"> à action prolongée telles que le </w:t>
      </w:r>
      <w:proofErr w:type="spellStart"/>
      <w:r w:rsidR="00AD36D6" w:rsidRPr="00AD36D6">
        <w:rPr>
          <w:rFonts w:asciiTheme="minorHAnsi" w:hAnsiTheme="minorHAnsi"/>
          <w:b/>
          <w:sz w:val="22"/>
          <w:szCs w:val="22"/>
          <w:lang w:val="fr-FR"/>
        </w:rPr>
        <w:t>glibenclamide</w:t>
      </w:r>
      <w:proofErr w:type="spellEnd"/>
      <w:r w:rsidR="00AD36D6" w:rsidRPr="00AD36D6">
        <w:rPr>
          <w:rFonts w:asciiTheme="minorHAnsi" w:hAnsiTheme="minorHAnsi"/>
          <w:b/>
          <w:sz w:val="22"/>
          <w:szCs w:val="22"/>
          <w:lang w:val="fr-FR"/>
        </w:rPr>
        <w:t xml:space="preserve"> et le </w:t>
      </w:r>
      <w:proofErr w:type="spellStart"/>
      <w:r w:rsidR="00AD36D6" w:rsidRPr="00AD36D6">
        <w:rPr>
          <w:rFonts w:asciiTheme="minorHAnsi" w:hAnsiTheme="minorHAnsi"/>
          <w:b/>
          <w:sz w:val="22"/>
          <w:szCs w:val="22"/>
          <w:lang w:val="fr-FR"/>
        </w:rPr>
        <w:t>chlorpropamide</w:t>
      </w:r>
      <w:proofErr w:type="spellEnd"/>
      <w:r w:rsidR="00AD36D6" w:rsidRPr="00AD36D6">
        <w:rPr>
          <w:rFonts w:asciiTheme="minorHAnsi" w:hAnsiTheme="minorHAnsi"/>
          <w:b/>
          <w:sz w:val="22"/>
          <w:szCs w:val="22"/>
          <w:lang w:val="fr-FR"/>
        </w:rPr>
        <w:t xml:space="preserve"> ne conviennent pas aux patients atteints de diabète de type 2 (risque prolongé d'hypoglycémie).</w:t>
      </w:r>
    </w:p>
    <w:p w14:paraId="11C38558" w14:textId="77777777" w:rsidR="002F3D1A" w:rsidRPr="00E21AE0" w:rsidRDefault="002F3D1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lang w:val="fr-FR"/>
        </w:rPr>
      </w:pPr>
    </w:p>
    <w:p w14:paraId="7282B4CC" w14:textId="77777777" w:rsidR="00AD36D6" w:rsidRDefault="00415CD8"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b/>
          <w:sz w:val="22"/>
          <w:szCs w:val="22"/>
          <w:lang w:val="fr-FR"/>
        </w:rPr>
      </w:pPr>
      <w:r w:rsidRPr="00E21AE0">
        <w:rPr>
          <w:rFonts w:asciiTheme="minorHAnsi" w:hAnsiTheme="minorHAnsi"/>
          <w:b/>
          <w:sz w:val="22"/>
          <w:szCs w:val="22"/>
          <w:lang w:val="fr-FR"/>
        </w:rPr>
        <w:t xml:space="preserve">G5. </w:t>
      </w:r>
      <w:r w:rsidR="00AD36D6" w:rsidRPr="00AD36D6">
        <w:rPr>
          <w:rFonts w:asciiTheme="minorHAnsi" w:hAnsiTheme="minorHAnsi"/>
          <w:b/>
          <w:sz w:val="22"/>
          <w:szCs w:val="22"/>
          <w:lang w:val="fr-FR"/>
        </w:rPr>
        <w:t xml:space="preserve">L'utilisation de </w:t>
      </w:r>
      <w:proofErr w:type="spellStart"/>
      <w:r w:rsidR="00AD36D6" w:rsidRPr="00AD36D6">
        <w:rPr>
          <w:rFonts w:asciiTheme="minorHAnsi" w:hAnsiTheme="minorHAnsi"/>
          <w:b/>
          <w:sz w:val="22"/>
          <w:szCs w:val="22"/>
          <w:lang w:val="fr-FR"/>
        </w:rPr>
        <w:t>thiazolidinediones</w:t>
      </w:r>
      <w:proofErr w:type="spellEnd"/>
      <w:r w:rsidR="00AD36D6" w:rsidRPr="00AD36D6">
        <w:rPr>
          <w:rFonts w:asciiTheme="minorHAnsi" w:hAnsiTheme="minorHAnsi"/>
          <w:b/>
          <w:sz w:val="22"/>
          <w:szCs w:val="22"/>
          <w:lang w:val="fr-FR"/>
        </w:rPr>
        <w:t xml:space="preserve"> (</w:t>
      </w:r>
      <w:proofErr w:type="spellStart"/>
      <w:r w:rsidR="00AD36D6" w:rsidRPr="00AD36D6">
        <w:rPr>
          <w:rFonts w:asciiTheme="minorHAnsi" w:hAnsiTheme="minorHAnsi"/>
          <w:b/>
          <w:sz w:val="22"/>
          <w:szCs w:val="22"/>
          <w:lang w:val="fr-FR"/>
        </w:rPr>
        <w:t>rosiglitazone</w:t>
      </w:r>
      <w:proofErr w:type="spellEnd"/>
      <w:r w:rsidR="00AD36D6" w:rsidRPr="00AD36D6">
        <w:rPr>
          <w:rFonts w:asciiTheme="minorHAnsi" w:hAnsiTheme="minorHAnsi"/>
          <w:b/>
          <w:sz w:val="22"/>
          <w:szCs w:val="22"/>
          <w:lang w:val="fr-FR"/>
        </w:rPr>
        <w:t xml:space="preserve">, </w:t>
      </w:r>
      <w:proofErr w:type="spellStart"/>
      <w:r w:rsidR="00AD36D6" w:rsidRPr="00AD36D6">
        <w:rPr>
          <w:rFonts w:asciiTheme="minorHAnsi" w:hAnsiTheme="minorHAnsi"/>
          <w:b/>
          <w:sz w:val="22"/>
          <w:szCs w:val="22"/>
          <w:lang w:val="fr-FR"/>
        </w:rPr>
        <w:t>pioglitazone</w:t>
      </w:r>
      <w:proofErr w:type="spellEnd"/>
      <w:r w:rsidR="00AD36D6" w:rsidRPr="00AD36D6">
        <w:rPr>
          <w:rFonts w:asciiTheme="minorHAnsi" w:hAnsiTheme="minorHAnsi"/>
          <w:b/>
          <w:sz w:val="22"/>
          <w:szCs w:val="22"/>
          <w:lang w:val="fr-FR"/>
        </w:rPr>
        <w:t xml:space="preserve">) n'est pas appropriée chez les patients ayant une insuffisance cardiaque documentée/antécédents de fracture/risque accru de </w:t>
      </w:r>
      <w:r w:rsidR="00AD36D6" w:rsidRPr="00AD36D6">
        <w:rPr>
          <w:rFonts w:asciiTheme="minorHAnsi" w:hAnsiTheme="minorHAnsi"/>
          <w:b/>
          <w:sz w:val="22"/>
          <w:szCs w:val="22"/>
          <w:lang w:val="fr-FR"/>
        </w:rPr>
        <w:lastRenderedPageBreak/>
        <w:t>fracture/antécédents de cancer de la vessie ou sous insulinothérapie (aggravation de l'insuffisance cardiaque, augmentation du risque de fracture et de cancer de la vessie)</w:t>
      </w:r>
    </w:p>
    <w:p w14:paraId="253EAB42" w14:textId="77777777" w:rsidR="00AD36D6" w:rsidRDefault="00AD36D6"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b/>
          <w:sz w:val="22"/>
          <w:szCs w:val="22"/>
          <w:lang w:val="fr-FR"/>
        </w:rPr>
      </w:pPr>
    </w:p>
    <w:p w14:paraId="48CD0224" w14:textId="77777777" w:rsidR="00730686" w:rsidRPr="00E21AE0" w:rsidRDefault="00730686" w:rsidP="0043334F">
      <w:pPr>
        <w:spacing w:before="100" w:beforeAutospacing="1" w:after="100" w:afterAutospacing="1"/>
        <w:contextualSpacing/>
        <w:jc w:val="both"/>
        <w:rPr>
          <w:rFonts w:asciiTheme="minorHAnsi" w:hAnsiTheme="minorHAnsi"/>
          <w:sz w:val="22"/>
          <w:szCs w:val="22"/>
          <w:vertAlign w:val="superscript"/>
          <w:lang w:val="fr-FR"/>
        </w:rPr>
      </w:pPr>
    </w:p>
    <w:p w14:paraId="298EA8DC" w14:textId="6F4D7616" w:rsidR="002F3D1A" w:rsidRDefault="00730686" w:rsidP="0043334F">
      <w:pPr>
        <w:contextualSpacing/>
        <w:rPr>
          <w:rFonts w:asciiTheme="minorHAnsi" w:hAnsiTheme="minorHAnsi"/>
          <w:b/>
          <w:sz w:val="22"/>
          <w:szCs w:val="22"/>
          <w:lang w:val="fr-FR"/>
        </w:rPr>
      </w:pPr>
      <w:r w:rsidRPr="00E21AE0">
        <w:rPr>
          <w:rFonts w:asciiTheme="minorHAnsi" w:hAnsiTheme="minorHAnsi"/>
          <w:b/>
          <w:sz w:val="22"/>
          <w:szCs w:val="22"/>
          <w:lang w:val="fr-FR"/>
        </w:rPr>
        <w:t xml:space="preserve">G6. </w:t>
      </w:r>
      <w:r w:rsidR="00CB16F7" w:rsidRPr="00CB16F7">
        <w:rPr>
          <w:rFonts w:asciiTheme="minorHAnsi" w:hAnsiTheme="minorHAnsi"/>
          <w:b/>
          <w:sz w:val="22"/>
          <w:szCs w:val="22"/>
          <w:lang w:val="fr-FR"/>
        </w:rPr>
        <w:t xml:space="preserve">L'utilisation de la </w:t>
      </w:r>
      <w:proofErr w:type="spellStart"/>
      <w:r w:rsidR="00CB16F7" w:rsidRPr="00CB16F7">
        <w:rPr>
          <w:rFonts w:asciiTheme="minorHAnsi" w:hAnsiTheme="minorHAnsi"/>
          <w:b/>
          <w:sz w:val="22"/>
          <w:szCs w:val="22"/>
          <w:lang w:val="fr-FR"/>
        </w:rPr>
        <w:t>saxagliptine</w:t>
      </w:r>
      <w:proofErr w:type="spellEnd"/>
      <w:r w:rsidR="00CB16F7" w:rsidRPr="00CB16F7">
        <w:rPr>
          <w:rFonts w:asciiTheme="minorHAnsi" w:hAnsiTheme="minorHAnsi"/>
          <w:b/>
          <w:sz w:val="22"/>
          <w:szCs w:val="22"/>
          <w:lang w:val="fr-FR"/>
        </w:rPr>
        <w:t xml:space="preserve"> n'est pas appropriée chez les patients souffrant d'insuffisance cardiaque.</w:t>
      </w:r>
    </w:p>
    <w:p w14:paraId="09B81824" w14:textId="77777777" w:rsidR="00443260" w:rsidRPr="00E21AE0" w:rsidRDefault="00443260" w:rsidP="0043334F">
      <w:pPr>
        <w:contextualSpacing/>
        <w:rPr>
          <w:rFonts w:asciiTheme="minorHAnsi" w:hAnsiTheme="minorHAnsi"/>
          <w:b/>
          <w:sz w:val="22"/>
          <w:szCs w:val="22"/>
          <w:lang w:val="fr-FR"/>
        </w:rPr>
      </w:pPr>
    </w:p>
    <w:p w14:paraId="7D9C8716" w14:textId="77777777" w:rsidR="00CB16F7" w:rsidRDefault="00730686" w:rsidP="0043334F">
      <w:pPr>
        <w:contextualSpacing/>
        <w:rPr>
          <w:rFonts w:asciiTheme="minorHAnsi" w:hAnsiTheme="minorHAnsi"/>
          <w:b/>
          <w:sz w:val="22"/>
          <w:szCs w:val="22"/>
          <w:lang w:val="fr-FR"/>
        </w:rPr>
      </w:pPr>
      <w:r w:rsidRPr="00E21AE0">
        <w:rPr>
          <w:rFonts w:asciiTheme="minorHAnsi" w:hAnsiTheme="minorHAnsi"/>
          <w:b/>
          <w:sz w:val="22"/>
          <w:szCs w:val="22"/>
          <w:lang w:val="fr-FR"/>
        </w:rPr>
        <w:t>G7.</w:t>
      </w:r>
      <w:r w:rsidR="006C7F78" w:rsidRPr="00E21AE0">
        <w:rPr>
          <w:rFonts w:asciiTheme="minorHAnsi" w:hAnsiTheme="minorHAnsi"/>
          <w:b/>
          <w:sz w:val="22"/>
          <w:szCs w:val="22"/>
          <w:lang w:val="fr-FR"/>
        </w:rPr>
        <w:t xml:space="preserve"> </w:t>
      </w:r>
      <w:r w:rsidR="00CB16F7" w:rsidRPr="00CB16F7">
        <w:rPr>
          <w:rFonts w:asciiTheme="minorHAnsi" w:hAnsiTheme="minorHAnsi"/>
          <w:b/>
          <w:sz w:val="22"/>
          <w:szCs w:val="22"/>
          <w:lang w:val="fr-FR"/>
        </w:rPr>
        <w:t xml:space="preserve">La </w:t>
      </w:r>
      <w:proofErr w:type="spellStart"/>
      <w:r w:rsidR="00CB16F7" w:rsidRPr="00CB16F7">
        <w:rPr>
          <w:rFonts w:asciiTheme="minorHAnsi" w:hAnsiTheme="minorHAnsi"/>
          <w:b/>
          <w:sz w:val="22"/>
          <w:szCs w:val="22"/>
          <w:lang w:val="fr-FR"/>
        </w:rPr>
        <w:t>canagliflozine</w:t>
      </w:r>
      <w:proofErr w:type="spellEnd"/>
      <w:r w:rsidR="00CB16F7" w:rsidRPr="00CB16F7">
        <w:rPr>
          <w:rFonts w:asciiTheme="minorHAnsi" w:hAnsiTheme="minorHAnsi"/>
          <w:b/>
          <w:sz w:val="22"/>
          <w:szCs w:val="22"/>
          <w:lang w:val="fr-FR"/>
        </w:rPr>
        <w:t xml:space="preserve"> ne convient pas aux patients présentant une complication d'amputation des membres inférieurs liée au diabète/une maladie artérielle périphérique grave/une infection urinaire récurrente/une infection génito-urinaire</w:t>
      </w:r>
    </w:p>
    <w:p w14:paraId="35697FBB" w14:textId="77777777" w:rsidR="00DD735B" w:rsidRPr="00DD735B" w:rsidRDefault="00DD735B" w:rsidP="0043334F">
      <w:pPr>
        <w:contextualSpacing/>
        <w:rPr>
          <w:rFonts w:asciiTheme="minorHAnsi" w:hAnsiTheme="minorHAnsi"/>
          <w:i/>
          <w:sz w:val="22"/>
          <w:szCs w:val="22"/>
          <w:lang w:val="fr-FR"/>
        </w:rPr>
      </w:pPr>
      <w:r w:rsidRPr="00DD735B">
        <w:rPr>
          <w:rFonts w:asciiTheme="minorHAnsi" w:hAnsiTheme="minorHAnsi"/>
          <w:i/>
          <w:sz w:val="22"/>
          <w:szCs w:val="22"/>
          <w:lang w:val="fr-FR"/>
        </w:rPr>
        <w:t>*Les inhibiteurs du SGLT-2 doivent généralement être utilisés avec prudence chez les patients âgés, car ils peuvent provoquer une déshydratation, une incontinence par impériosité et une acidocétose diabétique.</w:t>
      </w:r>
    </w:p>
    <w:p w14:paraId="7C6ABA84" w14:textId="77777777" w:rsidR="00457080" w:rsidRPr="00E21AE0" w:rsidRDefault="00457080" w:rsidP="0043334F">
      <w:pPr>
        <w:contextualSpacing/>
        <w:rPr>
          <w:rFonts w:asciiTheme="minorHAnsi" w:hAnsiTheme="minorHAnsi"/>
          <w:i/>
          <w:sz w:val="22"/>
          <w:szCs w:val="22"/>
          <w:lang w:val="fr-FR"/>
        </w:rPr>
      </w:pPr>
    </w:p>
    <w:p w14:paraId="609543F5" w14:textId="77777777" w:rsidR="00457080" w:rsidRPr="00E21AE0" w:rsidRDefault="00457080" w:rsidP="0043334F">
      <w:pPr>
        <w:contextualSpacing/>
        <w:rPr>
          <w:rFonts w:asciiTheme="minorHAnsi" w:hAnsiTheme="minorHAnsi"/>
          <w:i/>
          <w:sz w:val="22"/>
          <w:szCs w:val="22"/>
          <w:lang w:val="fr-FR"/>
        </w:rPr>
      </w:pPr>
    </w:p>
    <w:p w14:paraId="60058F4C" w14:textId="2FE95FD1" w:rsidR="00730686" w:rsidRPr="00E21AE0" w:rsidRDefault="00730686" w:rsidP="0043334F">
      <w:pPr>
        <w:autoSpaceDE w:val="0"/>
        <w:autoSpaceDN w:val="0"/>
        <w:adjustRightInd w:val="0"/>
        <w:contextualSpacing/>
        <w:rPr>
          <w:rFonts w:asciiTheme="minorHAnsi" w:hAnsiTheme="minorHAnsi"/>
          <w:b/>
          <w:sz w:val="22"/>
          <w:szCs w:val="22"/>
          <w:lang w:val="fr-FR"/>
        </w:rPr>
      </w:pPr>
      <w:r w:rsidRPr="00E21AE0">
        <w:rPr>
          <w:rFonts w:asciiTheme="minorHAnsi" w:hAnsiTheme="minorHAnsi"/>
          <w:b/>
          <w:sz w:val="22"/>
          <w:szCs w:val="22"/>
          <w:lang w:val="fr-FR"/>
        </w:rPr>
        <w:t>G8.</w:t>
      </w:r>
      <w:r w:rsidR="00C74D81" w:rsidRPr="00E21AE0">
        <w:rPr>
          <w:rFonts w:asciiTheme="minorHAnsi" w:hAnsiTheme="minorHAnsi"/>
          <w:b/>
          <w:sz w:val="22"/>
          <w:szCs w:val="22"/>
          <w:lang w:val="fr-FR"/>
        </w:rPr>
        <w:t xml:space="preserve"> </w:t>
      </w:r>
      <w:r w:rsidR="00DD735B" w:rsidRPr="00DD735B">
        <w:rPr>
          <w:rFonts w:asciiTheme="minorHAnsi" w:hAnsiTheme="minorHAnsi"/>
          <w:b/>
          <w:sz w:val="22"/>
          <w:szCs w:val="22"/>
          <w:lang w:val="fr-FR"/>
        </w:rPr>
        <w:t xml:space="preserve">Il n'est pas approprié d'utiliser des inhibiteurs du SGLT-2 dans les cas avec un DFG &lt; 45 ml/min/1,73 m2. </w:t>
      </w:r>
    </w:p>
    <w:p w14:paraId="1DBF6AEC" w14:textId="77777777" w:rsidR="00DD735B" w:rsidRDefault="00DD735B" w:rsidP="0043334F">
      <w:pPr>
        <w:autoSpaceDE w:val="0"/>
        <w:autoSpaceDN w:val="0"/>
        <w:adjustRightInd w:val="0"/>
        <w:contextualSpacing/>
        <w:rPr>
          <w:rFonts w:asciiTheme="minorHAnsi" w:hAnsiTheme="minorHAnsi"/>
          <w:i/>
          <w:sz w:val="22"/>
          <w:szCs w:val="22"/>
          <w:lang w:val="fr-FR"/>
        </w:rPr>
      </w:pPr>
      <w:r w:rsidRPr="00DD735B">
        <w:rPr>
          <w:rFonts w:asciiTheme="minorHAnsi" w:hAnsiTheme="minorHAnsi"/>
          <w:i/>
          <w:sz w:val="22"/>
          <w:szCs w:val="22"/>
          <w:lang w:val="fr-FR"/>
        </w:rPr>
        <w:t xml:space="preserve">*La </w:t>
      </w:r>
      <w:proofErr w:type="spellStart"/>
      <w:r w:rsidRPr="00DD735B">
        <w:rPr>
          <w:rFonts w:asciiTheme="minorHAnsi" w:hAnsiTheme="minorHAnsi"/>
          <w:i/>
          <w:sz w:val="22"/>
          <w:szCs w:val="22"/>
          <w:lang w:val="fr-FR"/>
        </w:rPr>
        <w:t>canagliflozine</w:t>
      </w:r>
      <w:proofErr w:type="spellEnd"/>
      <w:r w:rsidRPr="00DD735B">
        <w:rPr>
          <w:rFonts w:asciiTheme="minorHAnsi" w:hAnsiTheme="minorHAnsi"/>
          <w:i/>
          <w:sz w:val="22"/>
          <w:szCs w:val="22"/>
          <w:lang w:val="fr-FR"/>
        </w:rPr>
        <w:t>, l'</w:t>
      </w:r>
      <w:proofErr w:type="spellStart"/>
      <w:r w:rsidRPr="00DD735B">
        <w:rPr>
          <w:rFonts w:asciiTheme="minorHAnsi" w:hAnsiTheme="minorHAnsi"/>
          <w:i/>
          <w:sz w:val="22"/>
          <w:szCs w:val="22"/>
          <w:lang w:val="fr-FR"/>
        </w:rPr>
        <w:t>empagliflozine</w:t>
      </w:r>
      <w:proofErr w:type="spellEnd"/>
      <w:r w:rsidRPr="00DD735B">
        <w:rPr>
          <w:rFonts w:asciiTheme="minorHAnsi" w:hAnsiTheme="minorHAnsi"/>
          <w:i/>
          <w:sz w:val="22"/>
          <w:szCs w:val="22"/>
          <w:lang w:val="fr-FR"/>
        </w:rPr>
        <w:t xml:space="preserve"> et l'</w:t>
      </w:r>
      <w:proofErr w:type="spellStart"/>
      <w:r w:rsidRPr="00DD735B">
        <w:rPr>
          <w:rFonts w:asciiTheme="minorHAnsi" w:hAnsiTheme="minorHAnsi"/>
          <w:i/>
          <w:sz w:val="22"/>
          <w:szCs w:val="22"/>
          <w:lang w:val="fr-FR"/>
        </w:rPr>
        <w:t>ertugliflozine</w:t>
      </w:r>
      <w:proofErr w:type="spellEnd"/>
      <w:r w:rsidRPr="00DD735B">
        <w:rPr>
          <w:rFonts w:asciiTheme="minorHAnsi" w:hAnsiTheme="minorHAnsi"/>
          <w:i/>
          <w:sz w:val="22"/>
          <w:szCs w:val="22"/>
          <w:lang w:val="fr-FR"/>
        </w:rPr>
        <w:t xml:space="preserve"> ne peuvent pas être utilisées dans les cas avec un DFG &lt; 45 ml/min/1,73 m2, principalement en raison d'une efficacité réduite. </w:t>
      </w:r>
    </w:p>
    <w:p w14:paraId="60F38C68" w14:textId="77777777" w:rsidR="00DD735B" w:rsidRDefault="00DD735B" w:rsidP="0043334F">
      <w:pPr>
        <w:autoSpaceDE w:val="0"/>
        <w:autoSpaceDN w:val="0"/>
        <w:adjustRightInd w:val="0"/>
        <w:contextualSpacing/>
        <w:rPr>
          <w:rFonts w:asciiTheme="minorHAnsi" w:hAnsiTheme="minorHAnsi"/>
          <w:i/>
          <w:sz w:val="22"/>
          <w:szCs w:val="22"/>
          <w:lang w:val="fr-FR"/>
        </w:rPr>
      </w:pPr>
      <w:r w:rsidRPr="00DD735B">
        <w:rPr>
          <w:rFonts w:asciiTheme="minorHAnsi" w:hAnsiTheme="minorHAnsi"/>
          <w:i/>
          <w:sz w:val="22"/>
          <w:szCs w:val="22"/>
          <w:lang w:val="fr-FR"/>
        </w:rPr>
        <w:t xml:space="preserve">*La </w:t>
      </w:r>
      <w:proofErr w:type="spellStart"/>
      <w:r w:rsidRPr="00DD735B">
        <w:rPr>
          <w:rFonts w:asciiTheme="minorHAnsi" w:hAnsiTheme="minorHAnsi"/>
          <w:i/>
          <w:sz w:val="22"/>
          <w:szCs w:val="22"/>
          <w:lang w:val="fr-FR"/>
        </w:rPr>
        <w:t>dapagliflozine</w:t>
      </w:r>
      <w:proofErr w:type="spellEnd"/>
      <w:r w:rsidRPr="00DD735B">
        <w:rPr>
          <w:rFonts w:asciiTheme="minorHAnsi" w:hAnsiTheme="minorHAnsi"/>
          <w:i/>
          <w:sz w:val="22"/>
          <w:szCs w:val="22"/>
          <w:lang w:val="fr-FR"/>
        </w:rPr>
        <w:t xml:space="preserve"> ne peut pas être utilisée dans les cas avec un DFG &lt; 60 ml/min/1,73 m2 en raison de son effet réduit. </w:t>
      </w:r>
    </w:p>
    <w:p w14:paraId="799F75D9" w14:textId="53759575" w:rsidR="00DD735B" w:rsidRDefault="00DD735B" w:rsidP="0043334F">
      <w:pPr>
        <w:autoSpaceDE w:val="0"/>
        <w:autoSpaceDN w:val="0"/>
        <w:adjustRightInd w:val="0"/>
        <w:contextualSpacing/>
        <w:rPr>
          <w:rFonts w:asciiTheme="minorHAnsi" w:hAnsiTheme="minorHAnsi"/>
          <w:i/>
          <w:sz w:val="22"/>
          <w:szCs w:val="22"/>
          <w:lang w:val="fr-FR"/>
        </w:rPr>
      </w:pPr>
      <w:r w:rsidRPr="00DD735B">
        <w:rPr>
          <w:rFonts w:asciiTheme="minorHAnsi" w:hAnsiTheme="minorHAnsi"/>
          <w:i/>
          <w:sz w:val="22"/>
          <w:szCs w:val="22"/>
          <w:lang w:val="fr-FR"/>
        </w:rPr>
        <w:t>* L'utilisation d'inhibiteurs du SGLT-2 peut être envisagée pour le traitement de la néphropathie (excrétion urinaire d'albumine &gt; 300 mg/jour) chez les patients avec un DFG de 30 à 60 ml/min/1,73 m2.</w:t>
      </w:r>
    </w:p>
    <w:p w14:paraId="3CC451A5" w14:textId="77777777" w:rsidR="00DD735B" w:rsidRDefault="00DD735B" w:rsidP="0043334F">
      <w:pPr>
        <w:autoSpaceDE w:val="0"/>
        <w:autoSpaceDN w:val="0"/>
        <w:adjustRightInd w:val="0"/>
        <w:contextualSpacing/>
        <w:rPr>
          <w:rFonts w:asciiTheme="minorHAnsi" w:hAnsiTheme="minorHAnsi"/>
          <w:i/>
          <w:sz w:val="22"/>
          <w:szCs w:val="22"/>
          <w:lang w:val="fr-FR"/>
        </w:rPr>
      </w:pPr>
    </w:p>
    <w:p w14:paraId="7E0B2442" w14:textId="77777777" w:rsidR="0047152D" w:rsidRDefault="00EA06A2" w:rsidP="0043334F">
      <w:pPr>
        <w:tabs>
          <w:tab w:val="left" w:pos="708"/>
        </w:tabs>
        <w:contextualSpacing/>
        <w:jc w:val="both"/>
        <w:rPr>
          <w:rFonts w:asciiTheme="minorHAnsi" w:hAnsiTheme="minorHAnsi"/>
          <w:b/>
          <w:sz w:val="22"/>
          <w:szCs w:val="22"/>
          <w:lang w:val="fr-FR"/>
        </w:rPr>
      </w:pPr>
      <w:r w:rsidRPr="00E21AE0">
        <w:rPr>
          <w:rFonts w:asciiTheme="minorHAnsi" w:hAnsiTheme="minorHAnsi"/>
          <w:b/>
          <w:sz w:val="22"/>
          <w:szCs w:val="22"/>
          <w:lang w:val="fr-FR"/>
        </w:rPr>
        <w:t>G</w:t>
      </w:r>
      <w:r w:rsidR="00C5147A" w:rsidRPr="00E21AE0">
        <w:rPr>
          <w:rFonts w:asciiTheme="minorHAnsi" w:hAnsiTheme="minorHAnsi"/>
          <w:b/>
          <w:sz w:val="22"/>
          <w:szCs w:val="22"/>
          <w:lang w:val="fr-FR"/>
        </w:rPr>
        <w:t>9</w:t>
      </w:r>
      <w:r w:rsidRPr="00E21AE0">
        <w:rPr>
          <w:rFonts w:asciiTheme="minorHAnsi" w:hAnsiTheme="minorHAnsi"/>
          <w:b/>
          <w:sz w:val="22"/>
          <w:szCs w:val="22"/>
          <w:lang w:val="fr-FR"/>
        </w:rPr>
        <w:t xml:space="preserve">. </w:t>
      </w:r>
      <w:r w:rsidR="0047152D" w:rsidRPr="0047152D">
        <w:rPr>
          <w:rFonts w:asciiTheme="minorHAnsi" w:hAnsiTheme="minorHAnsi"/>
          <w:b/>
          <w:sz w:val="22"/>
          <w:szCs w:val="22"/>
          <w:lang w:val="fr-FR"/>
        </w:rPr>
        <w:t xml:space="preserve">L'utilisation d'androgènes n'est pas appropriée en présence d'un faible taux de testostérone sérique, qui ne s'accompagne pas de symptômes et de signes associés à une carence en androgènes. </w:t>
      </w:r>
    </w:p>
    <w:p w14:paraId="4BAFA227" w14:textId="77777777" w:rsidR="0047152D" w:rsidRPr="0047152D" w:rsidRDefault="0047152D" w:rsidP="0043334F">
      <w:pPr>
        <w:spacing w:after="100" w:afterAutospacing="1"/>
        <w:contextualSpacing/>
        <w:jc w:val="both"/>
        <w:rPr>
          <w:rFonts w:asciiTheme="minorHAnsi" w:hAnsiTheme="minorHAnsi"/>
          <w:i/>
          <w:sz w:val="22"/>
          <w:szCs w:val="22"/>
          <w:lang w:val="fr-FR"/>
        </w:rPr>
      </w:pPr>
      <w:r w:rsidRPr="0047152D">
        <w:rPr>
          <w:rFonts w:asciiTheme="minorHAnsi" w:hAnsiTheme="minorHAnsi"/>
          <w:i/>
          <w:sz w:val="22"/>
          <w:szCs w:val="22"/>
          <w:lang w:val="fr-FR"/>
        </w:rPr>
        <w:t>*Le diagnostic d'hypogonadisme est posé en présence de taux sériques bas persistants de testostérone avec des symptômes et des signes de déficit androgénique.</w:t>
      </w:r>
    </w:p>
    <w:p w14:paraId="4E4A874F" w14:textId="77777777" w:rsidR="002F3D1A" w:rsidRPr="00E21AE0" w:rsidRDefault="002F3D1A" w:rsidP="0043334F">
      <w:pPr>
        <w:spacing w:before="100" w:beforeAutospacing="1"/>
        <w:contextualSpacing/>
        <w:jc w:val="both"/>
        <w:rPr>
          <w:rFonts w:asciiTheme="minorHAnsi" w:hAnsiTheme="minorHAnsi" w:cstheme="minorHAnsi"/>
          <w:color w:val="000000" w:themeColor="text1"/>
          <w:sz w:val="22"/>
          <w:szCs w:val="22"/>
          <w:lang w:val="fr-FR"/>
        </w:rPr>
      </w:pPr>
    </w:p>
    <w:p w14:paraId="444FC21E" w14:textId="77777777" w:rsidR="00DD735B" w:rsidRDefault="00415CD8" w:rsidP="0043334F">
      <w:pPr>
        <w:spacing w:before="100" w:beforeAutospacing="1"/>
        <w:contextualSpacing/>
        <w:jc w:val="both"/>
        <w:rPr>
          <w:rFonts w:asciiTheme="minorHAnsi" w:hAnsiTheme="minorHAnsi"/>
          <w:b/>
          <w:sz w:val="22"/>
          <w:szCs w:val="22"/>
          <w:lang w:val="fr-FR"/>
        </w:rPr>
      </w:pPr>
      <w:r w:rsidRPr="00E21AE0">
        <w:rPr>
          <w:rFonts w:asciiTheme="minorHAnsi" w:hAnsiTheme="minorHAnsi"/>
          <w:b/>
          <w:sz w:val="22"/>
          <w:szCs w:val="22"/>
          <w:lang w:val="fr-FR"/>
        </w:rPr>
        <w:t>G</w:t>
      </w:r>
      <w:r w:rsidR="00C5147A" w:rsidRPr="00E21AE0">
        <w:rPr>
          <w:rFonts w:asciiTheme="minorHAnsi" w:hAnsiTheme="minorHAnsi"/>
          <w:b/>
          <w:sz w:val="22"/>
          <w:szCs w:val="22"/>
          <w:lang w:val="fr-FR"/>
        </w:rPr>
        <w:t>10</w:t>
      </w:r>
      <w:r w:rsidRPr="00E21AE0">
        <w:rPr>
          <w:rFonts w:asciiTheme="minorHAnsi" w:hAnsiTheme="minorHAnsi"/>
          <w:b/>
          <w:sz w:val="22"/>
          <w:szCs w:val="22"/>
          <w:lang w:val="fr-FR"/>
        </w:rPr>
        <w:t xml:space="preserve">. </w:t>
      </w:r>
      <w:r w:rsidR="00DD735B" w:rsidRPr="00DD735B">
        <w:rPr>
          <w:rFonts w:asciiTheme="minorHAnsi" w:hAnsiTheme="minorHAnsi"/>
          <w:b/>
          <w:sz w:val="22"/>
          <w:szCs w:val="22"/>
          <w:lang w:val="fr-FR"/>
        </w:rPr>
        <w:t xml:space="preserve">L'utilisation systémique d'œstrogènes n'est pas appropriée chez les patientes ayant des antécédents de cancer du sein ou de </w:t>
      </w:r>
      <w:proofErr w:type="spellStart"/>
      <w:r w:rsidR="00DD735B" w:rsidRPr="00DD735B">
        <w:rPr>
          <w:rFonts w:asciiTheme="minorHAnsi" w:hAnsiTheme="minorHAnsi"/>
          <w:b/>
          <w:sz w:val="22"/>
          <w:szCs w:val="22"/>
          <w:lang w:val="fr-FR"/>
        </w:rPr>
        <w:t>thromboembolie</w:t>
      </w:r>
      <w:proofErr w:type="spellEnd"/>
      <w:r w:rsidR="00DD735B" w:rsidRPr="00DD735B">
        <w:rPr>
          <w:rFonts w:asciiTheme="minorHAnsi" w:hAnsiTheme="minorHAnsi"/>
          <w:b/>
          <w:sz w:val="22"/>
          <w:szCs w:val="22"/>
          <w:lang w:val="fr-FR"/>
        </w:rPr>
        <w:t xml:space="preserve"> veineuse. </w:t>
      </w:r>
    </w:p>
    <w:p w14:paraId="3ED956E0" w14:textId="77777777" w:rsidR="00DD735B" w:rsidRDefault="00DD735B" w:rsidP="0043334F">
      <w:pPr>
        <w:spacing w:after="100" w:afterAutospacing="1"/>
        <w:contextualSpacing/>
        <w:jc w:val="both"/>
        <w:rPr>
          <w:rFonts w:asciiTheme="minorHAnsi" w:hAnsiTheme="minorHAnsi"/>
          <w:bCs/>
          <w:i/>
          <w:sz w:val="22"/>
          <w:szCs w:val="22"/>
          <w:lang w:val="fr-FR"/>
        </w:rPr>
      </w:pPr>
      <w:r w:rsidRPr="00DD735B">
        <w:rPr>
          <w:rFonts w:asciiTheme="minorHAnsi" w:hAnsiTheme="minorHAnsi"/>
          <w:bCs/>
          <w:i/>
          <w:sz w:val="22"/>
          <w:szCs w:val="22"/>
          <w:lang w:val="fr-FR"/>
        </w:rPr>
        <w:t>*</w:t>
      </w:r>
      <w:proofErr w:type="spellStart"/>
      <w:r w:rsidRPr="00DD735B">
        <w:rPr>
          <w:rFonts w:asciiTheme="minorHAnsi" w:hAnsiTheme="minorHAnsi"/>
          <w:bCs/>
          <w:i/>
          <w:sz w:val="22"/>
          <w:szCs w:val="22"/>
          <w:lang w:val="fr-FR"/>
        </w:rPr>
        <w:t>Oestrogènes</w:t>
      </w:r>
      <w:proofErr w:type="spellEnd"/>
      <w:r w:rsidRPr="00DD735B">
        <w:rPr>
          <w:rFonts w:asciiTheme="minorHAnsi" w:hAnsiTheme="minorHAnsi"/>
          <w:bCs/>
          <w:i/>
          <w:sz w:val="22"/>
          <w:szCs w:val="22"/>
          <w:lang w:val="fr-FR"/>
        </w:rPr>
        <w:t xml:space="preserve"> vaginaux chez les patientes ayant des antécédents de cancer du sein ou de </w:t>
      </w:r>
      <w:proofErr w:type="spellStart"/>
      <w:r w:rsidRPr="00DD735B">
        <w:rPr>
          <w:rFonts w:asciiTheme="minorHAnsi" w:hAnsiTheme="minorHAnsi"/>
          <w:bCs/>
          <w:i/>
          <w:sz w:val="22"/>
          <w:szCs w:val="22"/>
          <w:lang w:val="fr-FR"/>
        </w:rPr>
        <w:t>thromboembolie</w:t>
      </w:r>
      <w:proofErr w:type="spellEnd"/>
      <w:r w:rsidRPr="00DD735B">
        <w:rPr>
          <w:rFonts w:asciiTheme="minorHAnsi" w:hAnsiTheme="minorHAnsi"/>
          <w:bCs/>
          <w:i/>
          <w:sz w:val="22"/>
          <w:szCs w:val="22"/>
          <w:lang w:val="fr-FR"/>
        </w:rPr>
        <w:t xml:space="preserve"> veineuse ; Dans le traitement des symptômes urogénitaux tels que la vaginite atrophique, il peut être administré après des traitements non hormonaux, en tenant compte du rapport pertes/profits.</w:t>
      </w:r>
    </w:p>
    <w:p w14:paraId="4526C7D4" w14:textId="77777777" w:rsidR="00D360FA" w:rsidRPr="00E21AE0" w:rsidRDefault="00D360FA" w:rsidP="0043334F">
      <w:pPr>
        <w:spacing w:before="100" w:beforeAutospacing="1" w:after="100" w:afterAutospacing="1"/>
        <w:contextualSpacing/>
        <w:jc w:val="both"/>
        <w:rPr>
          <w:rFonts w:asciiTheme="minorHAnsi" w:hAnsiTheme="minorHAnsi"/>
          <w:b/>
          <w:bCs/>
          <w:i/>
          <w:sz w:val="22"/>
          <w:szCs w:val="22"/>
          <w:lang w:val="fr-FR"/>
        </w:rPr>
      </w:pPr>
    </w:p>
    <w:p w14:paraId="0ABC926A" w14:textId="77777777" w:rsidR="00DD735B" w:rsidRDefault="00415CD8" w:rsidP="0043334F">
      <w:pPr>
        <w:spacing w:before="100" w:beforeAutospacing="1" w:after="100" w:afterAutospacing="1"/>
        <w:contextualSpacing/>
        <w:jc w:val="both"/>
        <w:rPr>
          <w:rFonts w:asciiTheme="minorHAnsi" w:hAnsiTheme="minorHAnsi"/>
          <w:b/>
          <w:sz w:val="22"/>
          <w:szCs w:val="22"/>
          <w:lang w:val="fr-FR"/>
        </w:rPr>
      </w:pPr>
      <w:r w:rsidRPr="00E21AE0">
        <w:rPr>
          <w:rFonts w:asciiTheme="minorHAnsi" w:hAnsiTheme="minorHAnsi"/>
          <w:b/>
          <w:sz w:val="22"/>
          <w:szCs w:val="22"/>
          <w:lang w:val="fr-FR"/>
        </w:rPr>
        <w:t>G</w:t>
      </w:r>
      <w:r w:rsidR="00730686" w:rsidRPr="00E21AE0">
        <w:rPr>
          <w:rFonts w:asciiTheme="minorHAnsi" w:hAnsiTheme="minorHAnsi"/>
          <w:b/>
          <w:sz w:val="22"/>
          <w:szCs w:val="22"/>
          <w:lang w:val="fr-FR"/>
        </w:rPr>
        <w:t>1</w:t>
      </w:r>
      <w:r w:rsidR="00C5147A" w:rsidRPr="00E21AE0">
        <w:rPr>
          <w:rFonts w:asciiTheme="minorHAnsi" w:hAnsiTheme="minorHAnsi"/>
          <w:b/>
          <w:sz w:val="22"/>
          <w:szCs w:val="22"/>
          <w:lang w:val="fr-FR"/>
        </w:rPr>
        <w:t>1</w:t>
      </w:r>
      <w:r w:rsidRPr="00E21AE0">
        <w:rPr>
          <w:rFonts w:asciiTheme="minorHAnsi" w:hAnsiTheme="minorHAnsi"/>
          <w:b/>
          <w:sz w:val="22"/>
          <w:szCs w:val="22"/>
          <w:lang w:val="fr-FR"/>
        </w:rPr>
        <w:t xml:space="preserve">. </w:t>
      </w:r>
      <w:r w:rsidR="00DD735B" w:rsidRPr="00DD735B">
        <w:rPr>
          <w:rFonts w:asciiTheme="minorHAnsi" w:hAnsiTheme="minorHAnsi"/>
          <w:b/>
          <w:sz w:val="22"/>
          <w:szCs w:val="22"/>
          <w:lang w:val="fr-FR"/>
        </w:rPr>
        <w:t>L'utilisation d'œstrogènes sans utilisation concomitante de progestérone n'est pas appropriée chez les femmes dont l'utérus est intact (risque de cancer de l'endomètre)</w:t>
      </w:r>
    </w:p>
    <w:p w14:paraId="4F2D16DA" w14:textId="77777777" w:rsidR="002F3D1A" w:rsidRPr="00E21AE0" w:rsidRDefault="002F3D1A" w:rsidP="0043334F">
      <w:pPr>
        <w:pStyle w:val="HTMLncedenBiimlendirilmi"/>
        <w:contextualSpacing/>
        <w:jc w:val="both"/>
        <w:rPr>
          <w:rFonts w:asciiTheme="minorHAnsi" w:hAnsiTheme="minorHAnsi" w:cstheme="minorHAnsi"/>
          <w:color w:val="000000"/>
          <w:sz w:val="22"/>
          <w:szCs w:val="22"/>
          <w:lang w:val="fr-FR"/>
        </w:rPr>
      </w:pPr>
    </w:p>
    <w:p w14:paraId="5F04E202" w14:textId="77777777" w:rsidR="00DD735B" w:rsidRDefault="00415CD8" w:rsidP="0043334F">
      <w:pPr>
        <w:pStyle w:val="HTMLncedenBiimlendirilmi"/>
        <w:contextualSpacing/>
        <w:jc w:val="both"/>
        <w:rPr>
          <w:rFonts w:asciiTheme="minorHAnsi" w:hAnsiTheme="minorHAnsi"/>
          <w:b/>
          <w:color w:val="000000"/>
          <w:sz w:val="22"/>
          <w:szCs w:val="22"/>
          <w:lang w:val="fr-FR"/>
        </w:rPr>
      </w:pPr>
      <w:r w:rsidRPr="00E21AE0">
        <w:rPr>
          <w:rFonts w:asciiTheme="minorHAnsi" w:hAnsiTheme="minorHAnsi"/>
          <w:b/>
          <w:color w:val="000000"/>
          <w:sz w:val="22"/>
          <w:szCs w:val="22"/>
          <w:lang w:val="fr-FR"/>
        </w:rPr>
        <w:t>G</w:t>
      </w:r>
      <w:r w:rsidR="00730686" w:rsidRPr="00E21AE0">
        <w:rPr>
          <w:rFonts w:asciiTheme="minorHAnsi" w:hAnsiTheme="minorHAnsi"/>
          <w:b/>
          <w:color w:val="000000"/>
          <w:sz w:val="22"/>
          <w:szCs w:val="22"/>
          <w:lang w:val="fr-FR"/>
        </w:rPr>
        <w:t>1</w:t>
      </w:r>
      <w:r w:rsidR="00C5147A" w:rsidRPr="00E21AE0">
        <w:rPr>
          <w:rFonts w:asciiTheme="minorHAnsi" w:hAnsiTheme="minorHAnsi"/>
          <w:b/>
          <w:color w:val="000000"/>
          <w:sz w:val="22"/>
          <w:szCs w:val="22"/>
          <w:lang w:val="fr-FR"/>
        </w:rPr>
        <w:t>2</w:t>
      </w:r>
      <w:r w:rsidRPr="00E21AE0">
        <w:rPr>
          <w:rFonts w:asciiTheme="minorHAnsi" w:hAnsiTheme="minorHAnsi"/>
          <w:b/>
          <w:color w:val="000000"/>
          <w:sz w:val="22"/>
          <w:szCs w:val="22"/>
          <w:lang w:val="fr-FR"/>
        </w:rPr>
        <w:t xml:space="preserve">. </w:t>
      </w:r>
      <w:r w:rsidR="00DD735B" w:rsidRPr="00DD735B">
        <w:rPr>
          <w:rFonts w:asciiTheme="minorHAnsi" w:hAnsiTheme="minorHAnsi"/>
          <w:b/>
          <w:color w:val="000000"/>
          <w:sz w:val="22"/>
          <w:szCs w:val="22"/>
          <w:lang w:val="fr-FR"/>
        </w:rPr>
        <w:t xml:space="preserve">L'utilisation du </w:t>
      </w:r>
      <w:proofErr w:type="spellStart"/>
      <w:r w:rsidR="00DD735B" w:rsidRPr="00DD735B">
        <w:rPr>
          <w:rFonts w:asciiTheme="minorHAnsi" w:hAnsiTheme="minorHAnsi"/>
          <w:b/>
          <w:color w:val="000000"/>
          <w:sz w:val="22"/>
          <w:szCs w:val="22"/>
          <w:lang w:val="fr-FR"/>
        </w:rPr>
        <w:t>mégestrol</w:t>
      </w:r>
      <w:proofErr w:type="spellEnd"/>
      <w:r w:rsidR="00DD735B" w:rsidRPr="00DD735B">
        <w:rPr>
          <w:rFonts w:asciiTheme="minorHAnsi" w:hAnsiTheme="minorHAnsi"/>
          <w:b/>
          <w:color w:val="000000"/>
          <w:sz w:val="22"/>
          <w:szCs w:val="22"/>
          <w:lang w:val="fr-FR"/>
        </w:rPr>
        <w:t xml:space="preserve"> comme exhausteur d'appétit n'est pas adaptée (effet minime sur le poids, effets secondaires </w:t>
      </w:r>
      <w:proofErr w:type="spellStart"/>
      <w:r w:rsidR="00DD735B" w:rsidRPr="00DD735B">
        <w:rPr>
          <w:rFonts w:asciiTheme="minorHAnsi" w:hAnsiTheme="minorHAnsi"/>
          <w:b/>
          <w:color w:val="000000"/>
          <w:sz w:val="22"/>
          <w:szCs w:val="22"/>
          <w:lang w:val="fr-FR"/>
        </w:rPr>
        <w:t>prothrombotiques</w:t>
      </w:r>
      <w:proofErr w:type="spellEnd"/>
      <w:r w:rsidR="00DD735B" w:rsidRPr="00DD735B">
        <w:rPr>
          <w:rFonts w:asciiTheme="minorHAnsi" w:hAnsiTheme="minorHAnsi"/>
          <w:b/>
          <w:color w:val="000000"/>
          <w:sz w:val="22"/>
          <w:szCs w:val="22"/>
          <w:lang w:val="fr-FR"/>
        </w:rPr>
        <w:t>)</w:t>
      </w:r>
    </w:p>
    <w:p w14:paraId="3800180B" w14:textId="77777777" w:rsidR="00DD735B" w:rsidRDefault="00DD735B" w:rsidP="0043334F">
      <w:pPr>
        <w:pStyle w:val="HTMLncedenBiimlendirilmi"/>
        <w:contextualSpacing/>
        <w:jc w:val="both"/>
        <w:rPr>
          <w:rFonts w:asciiTheme="minorHAnsi" w:hAnsiTheme="minorHAnsi"/>
          <w:b/>
          <w:color w:val="000000"/>
          <w:sz w:val="22"/>
          <w:szCs w:val="22"/>
          <w:lang w:val="fr-FR"/>
        </w:rPr>
      </w:pPr>
    </w:p>
    <w:p w14:paraId="108E5FDD" w14:textId="77777777" w:rsidR="002F3D1A" w:rsidRPr="00E21AE0" w:rsidRDefault="002F3D1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lang w:val="fr-FR"/>
        </w:rPr>
      </w:pPr>
    </w:p>
    <w:p w14:paraId="22249D06" w14:textId="77777777" w:rsidR="00DD735B" w:rsidRDefault="00415CD8"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b/>
          <w:sz w:val="22"/>
          <w:szCs w:val="22"/>
          <w:shd w:val="clear" w:color="auto" w:fill="FFFFFF"/>
          <w:lang w:val="fr-FR"/>
        </w:rPr>
      </w:pPr>
      <w:r w:rsidRPr="00E21AE0">
        <w:rPr>
          <w:rFonts w:asciiTheme="minorHAnsi" w:hAnsiTheme="minorHAnsi"/>
          <w:b/>
          <w:sz w:val="22"/>
          <w:szCs w:val="22"/>
          <w:shd w:val="clear" w:color="auto" w:fill="FFFFFF"/>
          <w:lang w:val="fr-FR"/>
        </w:rPr>
        <w:t>G</w:t>
      </w:r>
      <w:r w:rsidR="00730686" w:rsidRPr="00E21AE0">
        <w:rPr>
          <w:rFonts w:asciiTheme="minorHAnsi" w:hAnsiTheme="minorHAnsi"/>
          <w:b/>
          <w:sz w:val="22"/>
          <w:szCs w:val="22"/>
          <w:shd w:val="clear" w:color="auto" w:fill="FFFFFF"/>
          <w:lang w:val="fr-FR"/>
        </w:rPr>
        <w:t>1</w:t>
      </w:r>
      <w:r w:rsidR="00C5147A" w:rsidRPr="00E21AE0">
        <w:rPr>
          <w:rFonts w:asciiTheme="minorHAnsi" w:hAnsiTheme="minorHAnsi"/>
          <w:b/>
          <w:sz w:val="22"/>
          <w:szCs w:val="22"/>
          <w:shd w:val="clear" w:color="auto" w:fill="FFFFFF"/>
          <w:lang w:val="fr-FR"/>
        </w:rPr>
        <w:t>3</w:t>
      </w:r>
      <w:r w:rsidRPr="00E21AE0">
        <w:rPr>
          <w:rFonts w:asciiTheme="minorHAnsi" w:hAnsiTheme="minorHAnsi"/>
          <w:b/>
          <w:sz w:val="22"/>
          <w:szCs w:val="22"/>
          <w:shd w:val="clear" w:color="auto" w:fill="FFFFFF"/>
          <w:lang w:val="fr-FR"/>
        </w:rPr>
        <w:t xml:space="preserve">. </w:t>
      </w:r>
      <w:r w:rsidR="00DD735B" w:rsidRPr="00DD735B">
        <w:rPr>
          <w:rFonts w:asciiTheme="minorHAnsi" w:hAnsiTheme="minorHAnsi"/>
          <w:b/>
          <w:sz w:val="22"/>
          <w:szCs w:val="22"/>
          <w:shd w:val="clear" w:color="auto" w:fill="FFFFFF"/>
          <w:lang w:val="fr-FR"/>
        </w:rPr>
        <w:t xml:space="preserve">Chez les personnes âgées présentant une hypothyroïdie </w:t>
      </w:r>
      <w:proofErr w:type="spellStart"/>
      <w:r w:rsidR="00DD735B" w:rsidRPr="00DD735B">
        <w:rPr>
          <w:rFonts w:asciiTheme="minorHAnsi" w:hAnsiTheme="minorHAnsi"/>
          <w:b/>
          <w:sz w:val="22"/>
          <w:szCs w:val="22"/>
          <w:shd w:val="clear" w:color="auto" w:fill="FFFFFF"/>
          <w:lang w:val="fr-FR"/>
        </w:rPr>
        <w:t>infraclinique</w:t>
      </w:r>
      <w:proofErr w:type="spellEnd"/>
      <w:r w:rsidR="00DD735B" w:rsidRPr="00DD735B">
        <w:rPr>
          <w:rFonts w:asciiTheme="minorHAnsi" w:hAnsiTheme="minorHAnsi"/>
          <w:b/>
          <w:sz w:val="22"/>
          <w:szCs w:val="22"/>
          <w:shd w:val="clear" w:color="auto" w:fill="FFFFFF"/>
          <w:lang w:val="fr-FR"/>
        </w:rPr>
        <w:t xml:space="preserve"> (TSH : 4-10 </w:t>
      </w:r>
      <w:proofErr w:type="spellStart"/>
      <w:r w:rsidR="00DD735B" w:rsidRPr="00DD735B">
        <w:rPr>
          <w:rFonts w:asciiTheme="minorHAnsi" w:hAnsiTheme="minorHAnsi"/>
          <w:b/>
          <w:sz w:val="22"/>
          <w:szCs w:val="22"/>
          <w:shd w:val="clear" w:color="auto" w:fill="FFFFFF"/>
          <w:lang w:val="fr-FR"/>
        </w:rPr>
        <w:t>mUI</w:t>
      </w:r>
      <w:proofErr w:type="spellEnd"/>
      <w:r w:rsidR="00DD735B" w:rsidRPr="00DD735B">
        <w:rPr>
          <w:rFonts w:asciiTheme="minorHAnsi" w:hAnsiTheme="minorHAnsi"/>
          <w:b/>
          <w:sz w:val="22"/>
          <w:szCs w:val="22"/>
          <w:shd w:val="clear" w:color="auto" w:fill="FFFFFF"/>
          <w:lang w:val="fr-FR"/>
        </w:rPr>
        <w:t>/L ; fT4 : N), l'utilisation d'hormones thyroïdiennes n'est pas appropriée (pas d'avantage supplémentaire, risque potentiel d'effets secondaires tels que fibrillation auriculaire et ostéoporose).</w:t>
      </w:r>
    </w:p>
    <w:p w14:paraId="7B7E2407" w14:textId="77777777" w:rsidR="002F3D1A" w:rsidRPr="00E21AE0" w:rsidRDefault="002F3D1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themeColor="text1"/>
          <w:sz w:val="22"/>
          <w:szCs w:val="22"/>
          <w:lang w:val="fr-FR"/>
        </w:rPr>
      </w:pPr>
    </w:p>
    <w:p w14:paraId="31391D86" w14:textId="6467091E" w:rsidR="002F3D1A" w:rsidRPr="00E21AE0" w:rsidRDefault="007C70E3"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themeColor="text1"/>
          <w:sz w:val="22"/>
          <w:szCs w:val="22"/>
          <w:lang w:val="fr-FR"/>
        </w:rPr>
      </w:pPr>
      <w:proofErr w:type="gramStart"/>
      <w:r w:rsidRPr="00E21AE0">
        <w:rPr>
          <w:rFonts w:asciiTheme="minorHAnsi" w:hAnsiTheme="minorHAnsi"/>
          <w:b/>
          <w:sz w:val="28"/>
          <w:szCs w:val="28"/>
          <w:lang w:val="fr-FR"/>
        </w:rPr>
        <w:t>H:</w:t>
      </w:r>
      <w:proofErr w:type="gramEnd"/>
      <w:r w:rsidRPr="00E21AE0">
        <w:rPr>
          <w:rFonts w:asciiTheme="minorHAnsi" w:hAnsiTheme="minorHAnsi"/>
          <w:b/>
          <w:sz w:val="28"/>
          <w:szCs w:val="28"/>
          <w:lang w:val="fr-FR"/>
        </w:rPr>
        <w:t xml:space="preserve"> </w:t>
      </w:r>
      <w:r w:rsidR="00443260" w:rsidRPr="00443260">
        <w:rPr>
          <w:rFonts w:asciiTheme="minorHAnsi" w:hAnsiTheme="minorHAnsi"/>
          <w:b/>
          <w:sz w:val="28"/>
          <w:szCs w:val="28"/>
          <w:lang w:val="fr-FR"/>
        </w:rPr>
        <w:t xml:space="preserve">Charge </w:t>
      </w:r>
      <w:proofErr w:type="spellStart"/>
      <w:r w:rsidR="00443260" w:rsidRPr="00443260">
        <w:rPr>
          <w:rFonts w:asciiTheme="minorHAnsi" w:hAnsiTheme="minorHAnsi"/>
          <w:b/>
          <w:sz w:val="28"/>
          <w:szCs w:val="28"/>
          <w:lang w:val="fr-FR"/>
        </w:rPr>
        <w:t>antimuscarinique</w:t>
      </w:r>
      <w:proofErr w:type="spellEnd"/>
      <w:r w:rsidR="00443260" w:rsidRPr="00443260">
        <w:rPr>
          <w:rFonts w:asciiTheme="minorHAnsi" w:hAnsiTheme="minorHAnsi"/>
          <w:b/>
          <w:sz w:val="28"/>
          <w:szCs w:val="28"/>
          <w:lang w:val="fr-FR"/>
        </w:rPr>
        <w:t>-anticholinergique</w:t>
      </w:r>
    </w:p>
    <w:p w14:paraId="772E769E" w14:textId="77777777" w:rsidR="002F3D1A" w:rsidRPr="00E21AE0" w:rsidRDefault="002F3D1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themeColor="text1"/>
          <w:sz w:val="22"/>
          <w:szCs w:val="22"/>
          <w:lang w:val="fr-FR"/>
        </w:rPr>
      </w:pPr>
    </w:p>
    <w:p w14:paraId="37043608" w14:textId="4DD3D028" w:rsidR="00443260" w:rsidRDefault="004816D3"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b/>
          <w:sz w:val="22"/>
          <w:szCs w:val="22"/>
          <w:lang w:val="fr-FR"/>
        </w:rPr>
      </w:pPr>
      <w:r w:rsidRPr="00E21AE0">
        <w:rPr>
          <w:rFonts w:asciiTheme="minorHAnsi" w:hAnsiTheme="minorHAnsi"/>
          <w:b/>
          <w:sz w:val="22"/>
          <w:szCs w:val="22"/>
          <w:lang w:val="fr-FR"/>
        </w:rPr>
        <w:lastRenderedPageBreak/>
        <w:t>H</w:t>
      </w:r>
      <w:r w:rsidR="001E43C4" w:rsidRPr="00E21AE0">
        <w:rPr>
          <w:rFonts w:asciiTheme="minorHAnsi" w:hAnsiTheme="minorHAnsi"/>
          <w:b/>
          <w:sz w:val="22"/>
          <w:szCs w:val="22"/>
          <w:lang w:val="fr-FR"/>
        </w:rPr>
        <w:t>1</w:t>
      </w:r>
      <w:r w:rsidRPr="00E21AE0">
        <w:rPr>
          <w:rFonts w:asciiTheme="minorHAnsi" w:hAnsiTheme="minorHAnsi"/>
          <w:b/>
          <w:sz w:val="22"/>
          <w:szCs w:val="22"/>
          <w:lang w:val="fr-FR"/>
        </w:rPr>
        <w:t xml:space="preserve">. </w:t>
      </w:r>
      <w:r w:rsidR="00443260" w:rsidRPr="00443260">
        <w:rPr>
          <w:rFonts w:asciiTheme="minorHAnsi" w:hAnsiTheme="minorHAnsi"/>
          <w:b/>
          <w:sz w:val="22"/>
          <w:szCs w:val="22"/>
          <w:lang w:val="fr-FR"/>
        </w:rPr>
        <w:t>Médicaments à ef</w:t>
      </w:r>
      <w:r w:rsidR="00443260">
        <w:rPr>
          <w:rFonts w:asciiTheme="minorHAnsi" w:hAnsiTheme="minorHAnsi"/>
          <w:b/>
          <w:sz w:val="22"/>
          <w:szCs w:val="22"/>
          <w:lang w:val="fr-FR"/>
        </w:rPr>
        <w:t xml:space="preserve">fets anticholinergiques élevés </w:t>
      </w:r>
      <w:r w:rsidR="00443260" w:rsidRPr="00E21AE0">
        <w:rPr>
          <w:rFonts w:asciiTheme="minorHAnsi" w:hAnsiTheme="minorHAnsi"/>
          <w:b/>
          <w:sz w:val="22"/>
          <w:szCs w:val="22"/>
          <w:lang w:val="fr-FR"/>
        </w:rPr>
        <w:sym w:font="Symbol" w:char="F05B"/>
      </w:r>
      <w:r w:rsidR="00443260" w:rsidRPr="00443260">
        <w:rPr>
          <w:rFonts w:asciiTheme="minorHAnsi" w:hAnsiTheme="minorHAnsi"/>
          <w:b/>
          <w:sz w:val="22"/>
          <w:szCs w:val="22"/>
          <w:lang w:val="fr-FR"/>
        </w:rPr>
        <w:t xml:space="preserve">antidépresseurs tricycliques, chlorpromazine, </w:t>
      </w:r>
      <w:proofErr w:type="spellStart"/>
      <w:r w:rsidR="00443260" w:rsidRPr="00443260">
        <w:rPr>
          <w:rFonts w:asciiTheme="minorHAnsi" w:hAnsiTheme="minorHAnsi"/>
          <w:b/>
          <w:sz w:val="22"/>
          <w:szCs w:val="22"/>
          <w:lang w:val="fr-FR"/>
        </w:rPr>
        <w:t>thioridazine</w:t>
      </w:r>
      <w:proofErr w:type="spellEnd"/>
      <w:r w:rsidR="00443260" w:rsidRPr="00443260">
        <w:rPr>
          <w:rFonts w:asciiTheme="minorHAnsi" w:hAnsiTheme="minorHAnsi"/>
          <w:b/>
          <w:sz w:val="22"/>
          <w:szCs w:val="22"/>
          <w:lang w:val="fr-FR"/>
        </w:rPr>
        <w:t xml:space="preserve">, </w:t>
      </w:r>
      <w:proofErr w:type="spellStart"/>
      <w:r w:rsidR="00443260" w:rsidRPr="00443260">
        <w:rPr>
          <w:rFonts w:asciiTheme="minorHAnsi" w:hAnsiTheme="minorHAnsi"/>
          <w:b/>
          <w:sz w:val="22"/>
          <w:szCs w:val="22"/>
          <w:lang w:val="fr-FR"/>
        </w:rPr>
        <w:t>clozapine</w:t>
      </w:r>
      <w:proofErr w:type="spellEnd"/>
      <w:r w:rsidR="00443260" w:rsidRPr="00443260">
        <w:rPr>
          <w:rFonts w:asciiTheme="minorHAnsi" w:hAnsiTheme="minorHAnsi"/>
          <w:b/>
          <w:sz w:val="22"/>
          <w:szCs w:val="22"/>
          <w:lang w:val="fr-FR"/>
        </w:rPr>
        <w:t xml:space="preserve">, </w:t>
      </w:r>
      <w:proofErr w:type="spellStart"/>
      <w:r w:rsidR="00443260" w:rsidRPr="00443260">
        <w:rPr>
          <w:rFonts w:asciiTheme="minorHAnsi" w:hAnsiTheme="minorHAnsi"/>
          <w:b/>
          <w:sz w:val="22"/>
          <w:szCs w:val="22"/>
          <w:lang w:val="fr-FR"/>
        </w:rPr>
        <w:t>olanzapine</w:t>
      </w:r>
      <w:proofErr w:type="spellEnd"/>
      <w:r w:rsidR="00443260" w:rsidRPr="00443260">
        <w:rPr>
          <w:rFonts w:asciiTheme="minorHAnsi" w:hAnsiTheme="minorHAnsi"/>
          <w:b/>
          <w:sz w:val="22"/>
          <w:szCs w:val="22"/>
          <w:lang w:val="fr-FR"/>
        </w:rPr>
        <w:t xml:space="preserve">, </w:t>
      </w:r>
      <w:proofErr w:type="spellStart"/>
      <w:r w:rsidR="00443260" w:rsidRPr="00443260">
        <w:rPr>
          <w:rFonts w:asciiTheme="minorHAnsi" w:hAnsiTheme="minorHAnsi"/>
          <w:b/>
          <w:sz w:val="22"/>
          <w:szCs w:val="22"/>
          <w:lang w:val="fr-FR"/>
        </w:rPr>
        <w:t>hyoscine</w:t>
      </w:r>
      <w:proofErr w:type="spellEnd"/>
      <w:r w:rsidR="00443260" w:rsidRPr="00443260">
        <w:rPr>
          <w:rFonts w:asciiTheme="minorHAnsi" w:hAnsiTheme="minorHAnsi"/>
          <w:b/>
          <w:sz w:val="22"/>
          <w:szCs w:val="22"/>
          <w:lang w:val="fr-FR"/>
        </w:rPr>
        <w:t xml:space="preserve">, </w:t>
      </w:r>
      <w:proofErr w:type="spellStart"/>
      <w:r w:rsidR="00443260" w:rsidRPr="00443260">
        <w:rPr>
          <w:rFonts w:asciiTheme="minorHAnsi" w:hAnsiTheme="minorHAnsi"/>
          <w:b/>
          <w:sz w:val="22"/>
          <w:szCs w:val="22"/>
          <w:lang w:val="fr-FR"/>
        </w:rPr>
        <w:t>oxybutynine</w:t>
      </w:r>
      <w:proofErr w:type="spellEnd"/>
      <w:r w:rsidR="00443260" w:rsidRPr="00443260">
        <w:rPr>
          <w:rFonts w:asciiTheme="minorHAnsi" w:hAnsiTheme="minorHAnsi"/>
          <w:b/>
          <w:sz w:val="22"/>
          <w:szCs w:val="22"/>
          <w:lang w:val="fr-FR"/>
        </w:rPr>
        <w:t xml:space="preserve"> orale, antihistaminiques de 1ère génération (</w:t>
      </w:r>
      <w:proofErr w:type="spellStart"/>
      <w:r w:rsidR="00443260" w:rsidRPr="00443260">
        <w:rPr>
          <w:rFonts w:asciiTheme="minorHAnsi" w:hAnsiTheme="minorHAnsi"/>
          <w:b/>
          <w:sz w:val="22"/>
          <w:szCs w:val="22"/>
          <w:lang w:val="fr-FR"/>
        </w:rPr>
        <w:t>phéniramine</w:t>
      </w:r>
      <w:proofErr w:type="spellEnd"/>
      <w:r w:rsidR="00443260" w:rsidRPr="00443260">
        <w:rPr>
          <w:rFonts w:asciiTheme="minorHAnsi" w:hAnsiTheme="minorHAnsi"/>
          <w:b/>
          <w:sz w:val="22"/>
          <w:szCs w:val="22"/>
          <w:lang w:val="fr-FR"/>
        </w:rPr>
        <w:t xml:space="preserve">, </w:t>
      </w:r>
      <w:proofErr w:type="spellStart"/>
      <w:r w:rsidR="00443260" w:rsidRPr="00443260">
        <w:rPr>
          <w:rFonts w:asciiTheme="minorHAnsi" w:hAnsiTheme="minorHAnsi"/>
          <w:b/>
          <w:sz w:val="22"/>
          <w:szCs w:val="22"/>
          <w:lang w:val="fr-FR"/>
        </w:rPr>
        <w:t>chlorphéniramine</w:t>
      </w:r>
      <w:proofErr w:type="spellEnd"/>
      <w:r w:rsidR="00443260" w:rsidRPr="00443260">
        <w:rPr>
          <w:rFonts w:asciiTheme="minorHAnsi" w:hAnsiTheme="minorHAnsi"/>
          <w:b/>
          <w:sz w:val="22"/>
          <w:szCs w:val="22"/>
          <w:lang w:val="fr-FR"/>
        </w:rPr>
        <w:t xml:space="preserve">, </w:t>
      </w:r>
      <w:proofErr w:type="spellStart"/>
      <w:r w:rsidR="00443260" w:rsidRPr="00443260">
        <w:rPr>
          <w:rFonts w:asciiTheme="minorHAnsi" w:hAnsiTheme="minorHAnsi"/>
          <w:b/>
          <w:sz w:val="22"/>
          <w:szCs w:val="22"/>
          <w:lang w:val="fr-FR"/>
        </w:rPr>
        <w:t>hydroxyzine</w:t>
      </w:r>
      <w:proofErr w:type="spellEnd"/>
      <w:r w:rsidR="00443260" w:rsidRPr="00443260">
        <w:rPr>
          <w:rFonts w:asciiTheme="minorHAnsi" w:hAnsiTheme="minorHAnsi"/>
          <w:b/>
          <w:sz w:val="22"/>
          <w:szCs w:val="22"/>
          <w:lang w:val="fr-FR"/>
        </w:rPr>
        <w:t xml:space="preserve">, </w:t>
      </w:r>
      <w:proofErr w:type="spellStart"/>
      <w:r w:rsidR="00443260" w:rsidRPr="00443260">
        <w:rPr>
          <w:rFonts w:asciiTheme="minorHAnsi" w:hAnsiTheme="minorHAnsi"/>
          <w:b/>
          <w:sz w:val="22"/>
          <w:szCs w:val="22"/>
          <w:lang w:val="fr-FR"/>
        </w:rPr>
        <w:t>cyproheptadine</w:t>
      </w:r>
      <w:proofErr w:type="spellEnd"/>
      <w:r w:rsidR="00443260" w:rsidRPr="00443260">
        <w:rPr>
          <w:rFonts w:asciiTheme="minorHAnsi" w:hAnsiTheme="minorHAnsi"/>
          <w:b/>
          <w:sz w:val="22"/>
          <w:szCs w:val="22"/>
          <w:lang w:val="fr-FR"/>
        </w:rPr>
        <w:t xml:space="preserve">, </w:t>
      </w:r>
      <w:proofErr w:type="spellStart"/>
      <w:r w:rsidR="00443260" w:rsidRPr="00443260">
        <w:rPr>
          <w:rFonts w:asciiTheme="minorHAnsi" w:hAnsiTheme="minorHAnsi"/>
          <w:b/>
          <w:sz w:val="22"/>
          <w:szCs w:val="22"/>
          <w:lang w:val="fr-FR"/>
        </w:rPr>
        <w:t>dimenhydrinate</w:t>
      </w:r>
      <w:proofErr w:type="spellEnd"/>
      <w:r w:rsidR="00443260" w:rsidRPr="00443260">
        <w:rPr>
          <w:rFonts w:asciiTheme="minorHAnsi" w:hAnsiTheme="minorHAnsi"/>
          <w:b/>
          <w:sz w:val="22"/>
          <w:szCs w:val="22"/>
          <w:lang w:val="fr-FR"/>
        </w:rPr>
        <w:t xml:space="preserve">, </w:t>
      </w:r>
      <w:proofErr w:type="spellStart"/>
      <w:r w:rsidR="00443260" w:rsidRPr="00443260">
        <w:rPr>
          <w:rFonts w:asciiTheme="minorHAnsi" w:hAnsiTheme="minorHAnsi"/>
          <w:b/>
          <w:sz w:val="22"/>
          <w:szCs w:val="22"/>
          <w:lang w:val="fr-FR"/>
        </w:rPr>
        <w:t>diphenhydramine</w:t>
      </w:r>
      <w:proofErr w:type="spellEnd"/>
      <w:r w:rsidR="00443260" w:rsidRPr="00443260">
        <w:rPr>
          <w:rFonts w:asciiTheme="minorHAnsi" w:hAnsiTheme="minorHAnsi"/>
          <w:b/>
          <w:sz w:val="22"/>
          <w:szCs w:val="22"/>
          <w:lang w:val="fr-FR"/>
        </w:rPr>
        <w:t xml:space="preserve">, </w:t>
      </w:r>
      <w:proofErr w:type="spellStart"/>
      <w:r w:rsidR="00443260" w:rsidRPr="00443260">
        <w:rPr>
          <w:rFonts w:asciiTheme="minorHAnsi" w:hAnsiTheme="minorHAnsi"/>
          <w:b/>
          <w:sz w:val="22"/>
          <w:szCs w:val="22"/>
          <w:lang w:val="fr-FR"/>
        </w:rPr>
        <w:t>méclizine</w:t>
      </w:r>
      <w:proofErr w:type="spellEnd"/>
      <w:r w:rsidR="00443260">
        <w:rPr>
          <w:rFonts w:asciiTheme="minorHAnsi" w:hAnsiTheme="minorHAnsi"/>
          <w:b/>
          <w:sz w:val="22"/>
          <w:szCs w:val="22"/>
          <w:lang w:val="fr-FR"/>
        </w:rPr>
        <w:t xml:space="preserve"> etc.</w:t>
      </w:r>
      <w:r w:rsidR="00443260" w:rsidRPr="00443260">
        <w:rPr>
          <w:rFonts w:asciiTheme="minorHAnsi" w:hAnsiTheme="minorHAnsi"/>
          <w:b/>
          <w:sz w:val="22"/>
          <w:szCs w:val="22"/>
          <w:lang w:val="fr-FR"/>
        </w:rPr>
        <w:t>) ne sont pas</w:t>
      </w:r>
      <w:r w:rsidR="00443260">
        <w:rPr>
          <w:rFonts w:asciiTheme="minorHAnsi" w:hAnsiTheme="minorHAnsi"/>
          <w:b/>
          <w:sz w:val="22"/>
          <w:szCs w:val="22"/>
          <w:lang w:val="fr-FR"/>
        </w:rPr>
        <w:t xml:space="preserve"> appropriés dans les cas suivants : </w:t>
      </w:r>
    </w:p>
    <w:p w14:paraId="155A53A9" w14:textId="77777777" w:rsidR="00443260" w:rsidRDefault="00443260" w:rsidP="0044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b/>
          <w:sz w:val="22"/>
          <w:szCs w:val="22"/>
          <w:lang w:val="fr-FR"/>
        </w:rPr>
      </w:pPr>
      <w:r w:rsidRPr="00443260">
        <w:rPr>
          <w:rFonts w:asciiTheme="minorHAnsi" w:hAnsiTheme="minorHAnsi"/>
          <w:b/>
          <w:sz w:val="22"/>
          <w:szCs w:val="22"/>
          <w:lang w:val="fr-FR"/>
        </w:rPr>
        <w:t>Chute/constipation/glaucome à angle fermé/démence/délire/rétention urinaire/symptômes obstructifs des SBAU chez l'homme/utilisation concomitante de médicaments ayant des effets anticholinergiques élevés</w:t>
      </w:r>
    </w:p>
    <w:p w14:paraId="1F428FA1" w14:textId="77777777" w:rsidR="00443260" w:rsidRDefault="00443260" w:rsidP="0043334F">
      <w:pPr>
        <w:contextualSpacing/>
        <w:jc w:val="both"/>
        <w:rPr>
          <w:rFonts w:asciiTheme="minorHAnsi" w:hAnsiTheme="minorHAnsi"/>
          <w:i/>
          <w:sz w:val="22"/>
          <w:szCs w:val="22"/>
          <w:shd w:val="clear" w:color="auto" w:fill="FFFFFF"/>
          <w:lang w:val="fr-FR"/>
        </w:rPr>
      </w:pPr>
      <w:r w:rsidRPr="00443260">
        <w:rPr>
          <w:rFonts w:asciiTheme="minorHAnsi" w:hAnsiTheme="minorHAnsi"/>
          <w:i/>
          <w:sz w:val="22"/>
          <w:szCs w:val="22"/>
          <w:shd w:val="clear" w:color="auto" w:fill="FFFFFF"/>
          <w:lang w:val="fr-FR"/>
        </w:rPr>
        <w:t>*En général, l'utilisation de médicaments à fort effet anticholinergique ne d</w:t>
      </w:r>
      <w:r>
        <w:rPr>
          <w:rFonts w:asciiTheme="minorHAnsi" w:hAnsiTheme="minorHAnsi"/>
          <w:i/>
          <w:sz w:val="22"/>
          <w:szCs w:val="22"/>
          <w:shd w:val="clear" w:color="auto" w:fill="FFFFFF"/>
          <w:lang w:val="fr-FR"/>
        </w:rPr>
        <w:t>oit pas être privilégiée chez les personnes âgées</w:t>
      </w:r>
      <w:r w:rsidRPr="00443260">
        <w:rPr>
          <w:rFonts w:asciiTheme="minorHAnsi" w:hAnsiTheme="minorHAnsi"/>
          <w:i/>
          <w:sz w:val="22"/>
          <w:szCs w:val="22"/>
          <w:shd w:val="clear" w:color="auto" w:fill="FFFFFF"/>
          <w:lang w:val="fr-FR"/>
        </w:rPr>
        <w:t xml:space="preserve"> ; En cas de nécessité clinique, il doit être suivi attentivement en termes d'effets secondaires. </w:t>
      </w:r>
    </w:p>
    <w:p w14:paraId="466BE41F" w14:textId="7BDE6E83" w:rsidR="00443260" w:rsidRDefault="00443260" w:rsidP="0043334F">
      <w:pPr>
        <w:contextualSpacing/>
        <w:jc w:val="both"/>
        <w:rPr>
          <w:rFonts w:asciiTheme="minorHAnsi" w:hAnsiTheme="minorHAnsi"/>
          <w:i/>
          <w:sz w:val="22"/>
          <w:szCs w:val="22"/>
          <w:shd w:val="clear" w:color="auto" w:fill="FFFFFF"/>
          <w:lang w:val="fr-FR"/>
        </w:rPr>
      </w:pPr>
      <w:r w:rsidRPr="00443260">
        <w:rPr>
          <w:rFonts w:asciiTheme="minorHAnsi" w:hAnsiTheme="minorHAnsi"/>
          <w:i/>
          <w:sz w:val="22"/>
          <w:szCs w:val="22"/>
          <w:shd w:val="clear" w:color="auto" w:fill="FFFFFF"/>
          <w:lang w:val="fr-FR"/>
        </w:rPr>
        <w:t>*L'utilisation parentérale d'antihistaminiques de 1ère génération est appropriée en présence d'une réaction allergique aiguë.</w:t>
      </w:r>
    </w:p>
    <w:p w14:paraId="13327121" w14:textId="77777777" w:rsidR="002F3D1A" w:rsidRPr="00E21AE0" w:rsidRDefault="002F3D1A" w:rsidP="0043334F">
      <w:pPr>
        <w:spacing w:after="100" w:afterAutospacing="1"/>
        <w:contextualSpacing/>
        <w:jc w:val="both"/>
        <w:rPr>
          <w:rFonts w:asciiTheme="minorHAnsi" w:hAnsiTheme="minorHAnsi"/>
          <w:i/>
          <w:sz w:val="22"/>
          <w:szCs w:val="22"/>
          <w:lang w:val="fr-FR"/>
        </w:rPr>
      </w:pPr>
    </w:p>
    <w:p w14:paraId="0A81567C" w14:textId="77777777" w:rsidR="002F3D1A" w:rsidRPr="00E21AE0" w:rsidRDefault="002F3D1A" w:rsidP="0043334F">
      <w:pPr>
        <w:contextualSpacing/>
        <w:jc w:val="both"/>
        <w:rPr>
          <w:rFonts w:asciiTheme="minorHAnsi" w:hAnsiTheme="minorHAnsi" w:cstheme="minorHAnsi"/>
          <w:color w:val="000000"/>
          <w:sz w:val="22"/>
          <w:szCs w:val="22"/>
          <w:lang w:val="fr-FR"/>
        </w:rPr>
      </w:pPr>
    </w:p>
    <w:p w14:paraId="33205FE6" w14:textId="74AA6979" w:rsidR="002F3D1A" w:rsidRPr="00E21AE0" w:rsidRDefault="007C70E3" w:rsidP="0043334F">
      <w:pPr>
        <w:contextualSpacing/>
        <w:jc w:val="both"/>
        <w:rPr>
          <w:rFonts w:asciiTheme="minorHAnsi" w:hAnsiTheme="minorHAnsi"/>
          <w:b/>
          <w:sz w:val="28"/>
          <w:szCs w:val="28"/>
          <w:lang w:val="fr-FR"/>
        </w:rPr>
      </w:pPr>
      <w:proofErr w:type="gramStart"/>
      <w:r w:rsidRPr="00E21AE0">
        <w:rPr>
          <w:rFonts w:asciiTheme="minorHAnsi" w:hAnsiTheme="minorHAnsi"/>
          <w:b/>
          <w:sz w:val="28"/>
          <w:szCs w:val="28"/>
          <w:lang w:val="fr-FR"/>
        </w:rPr>
        <w:t>J:</w:t>
      </w:r>
      <w:proofErr w:type="gramEnd"/>
      <w:r w:rsidRPr="00E21AE0">
        <w:rPr>
          <w:rFonts w:asciiTheme="minorHAnsi" w:hAnsiTheme="minorHAnsi"/>
          <w:b/>
          <w:sz w:val="28"/>
          <w:szCs w:val="28"/>
          <w:lang w:val="fr-FR"/>
        </w:rPr>
        <w:t xml:space="preserve"> </w:t>
      </w:r>
      <w:r w:rsidR="00443260">
        <w:rPr>
          <w:rFonts w:asciiTheme="minorHAnsi" w:hAnsiTheme="minorHAnsi"/>
          <w:b/>
          <w:sz w:val="28"/>
          <w:szCs w:val="28"/>
          <w:lang w:val="fr-FR"/>
        </w:rPr>
        <w:t>Les suppléments</w:t>
      </w:r>
      <w:r w:rsidRPr="00E21AE0">
        <w:rPr>
          <w:rFonts w:asciiTheme="minorHAnsi" w:hAnsiTheme="minorHAnsi"/>
          <w:b/>
          <w:sz w:val="28"/>
          <w:szCs w:val="28"/>
          <w:lang w:val="fr-FR"/>
        </w:rPr>
        <w:t>.</w:t>
      </w:r>
    </w:p>
    <w:p w14:paraId="6C41EAFA" w14:textId="77777777" w:rsidR="002F3D1A" w:rsidRPr="00E21AE0" w:rsidRDefault="002F3D1A" w:rsidP="0043334F">
      <w:pPr>
        <w:contextualSpacing/>
        <w:jc w:val="both"/>
        <w:rPr>
          <w:rFonts w:asciiTheme="minorHAnsi" w:hAnsiTheme="minorHAnsi"/>
          <w:b/>
          <w:sz w:val="28"/>
          <w:szCs w:val="28"/>
          <w:lang w:val="fr-FR"/>
        </w:rPr>
      </w:pPr>
    </w:p>
    <w:p w14:paraId="37E05D73" w14:textId="58AB4EE9" w:rsidR="00D21A73" w:rsidRPr="00E21AE0" w:rsidRDefault="004816D3" w:rsidP="0043334F">
      <w:pPr>
        <w:contextualSpacing/>
        <w:jc w:val="both"/>
        <w:rPr>
          <w:rFonts w:asciiTheme="minorHAnsi" w:hAnsiTheme="minorHAnsi"/>
          <w:b/>
          <w:sz w:val="28"/>
          <w:szCs w:val="28"/>
          <w:lang w:val="fr-FR"/>
        </w:rPr>
      </w:pPr>
      <w:r w:rsidRPr="00E21AE0">
        <w:rPr>
          <w:rFonts w:asciiTheme="minorHAnsi" w:hAnsiTheme="minorHAnsi"/>
          <w:b/>
          <w:sz w:val="22"/>
          <w:szCs w:val="22"/>
          <w:lang w:val="fr-FR"/>
        </w:rPr>
        <w:t xml:space="preserve">J1. </w:t>
      </w:r>
      <w:r w:rsidR="00443260" w:rsidRPr="00443260">
        <w:rPr>
          <w:rFonts w:asciiTheme="minorHAnsi" w:hAnsiTheme="minorHAnsi"/>
          <w:b/>
          <w:sz w:val="22"/>
          <w:szCs w:val="22"/>
          <w:lang w:val="fr-FR"/>
        </w:rPr>
        <w:t xml:space="preserve">L'utilisation d'extrait de </w:t>
      </w:r>
      <w:proofErr w:type="spellStart"/>
      <w:r w:rsidR="00443260" w:rsidRPr="00443260">
        <w:rPr>
          <w:rFonts w:asciiTheme="minorHAnsi" w:hAnsiTheme="minorHAnsi"/>
          <w:b/>
          <w:sz w:val="22"/>
          <w:szCs w:val="22"/>
          <w:lang w:val="fr-FR"/>
        </w:rPr>
        <w:t>gingko</w:t>
      </w:r>
      <w:proofErr w:type="spellEnd"/>
      <w:r w:rsidR="00443260" w:rsidRPr="00443260">
        <w:rPr>
          <w:rFonts w:asciiTheme="minorHAnsi" w:hAnsiTheme="minorHAnsi"/>
          <w:b/>
          <w:sz w:val="22"/>
          <w:szCs w:val="22"/>
          <w:lang w:val="fr-FR"/>
        </w:rPr>
        <w:t xml:space="preserve"> </w:t>
      </w:r>
      <w:proofErr w:type="spellStart"/>
      <w:r w:rsidR="00443260" w:rsidRPr="00443260">
        <w:rPr>
          <w:rFonts w:asciiTheme="minorHAnsi" w:hAnsiTheme="minorHAnsi"/>
          <w:b/>
          <w:sz w:val="22"/>
          <w:szCs w:val="22"/>
          <w:lang w:val="fr-FR"/>
        </w:rPr>
        <w:t>biloba</w:t>
      </w:r>
      <w:proofErr w:type="spellEnd"/>
      <w:r w:rsidR="00443260" w:rsidRPr="00443260">
        <w:rPr>
          <w:rFonts w:asciiTheme="minorHAnsi" w:hAnsiTheme="minorHAnsi"/>
          <w:b/>
          <w:sz w:val="22"/>
          <w:szCs w:val="22"/>
          <w:lang w:val="fr-FR"/>
        </w:rPr>
        <w:t xml:space="preserve"> n'est pas appropriée en cas de risque hémorragique (utilisation d'anticoagulants, utilisation d'AINS, antécédents hémorragiques importants).</w:t>
      </w:r>
    </w:p>
    <w:p w14:paraId="73A606D5" w14:textId="5B588E06" w:rsidR="00443260" w:rsidRPr="00443260" w:rsidRDefault="00443260" w:rsidP="0043334F">
      <w:pPr>
        <w:shd w:val="clear" w:color="auto" w:fill="FFFFFF"/>
        <w:spacing w:after="100" w:afterAutospacing="1"/>
        <w:contextualSpacing/>
        <w:jc w:val="both"/>
        <w:rPr>
          <w:rFonts w:asciiTheme="minorHAnsi" w:hAnsiTheme="minorHAnsi"/>
          <w:i/>
          <w:color w:val="000000"/>
          <w:sz w:val="22"/>
          <w:szCs w:val="22"/>
          <w:lang w:val="fr-FR"/>
        </w:rPr>
      </w:pPr>
      <w:r>
        <w:rPr>
          <w:rFonts w:asciiTheme="minorHAnsi" w:hAnsiTheme="minorHAnsi"/>
          <w:i/>
          <w:color w:val="000000"/>
          <w:sz w:val="22"/>
          <w:szCs w:val="22"/>
          <w:lang w:val="fr-FR"/>
        </w:rPr>
        <w:t xml:space="preserve">*Le risque d’hémorragie </w:t>
      </w:r>
      <w:r w:rsidRPr="00443260">
        <w:rPr>
          <w:rFonts w:asciiTheme="minorHAnsi" w:hAnsiTheme="minorHAnsi"/>
          <w:i/>
          <w:color w:val="000000"/>
          <w:sz w:val="22"/>
          <w:szCs w:val="22"/>
          <w:lang w:val="fr-FR"/>
        </w:rPr>
        <w:t xml:space="preserve">augmente avec l'utilisation d'aspirine avec le </w:t>
      </w:r>
      <w:proofErr w:type="spellStart"/>
      <w:r w:rsidRPr="00443260">
        <w:rPr>
          <w:rFonts w:asciiTheme="minorHAnsi" w:hAnsiTheme="minorHAnsi"/>
          <w:i/>
          <w:color w:val="000000"/>
          <w:sz w:val="22"/>
          <w:szCs w:val="22"/>
          <w:lang w:val="fr-FR"/>
        </w:rPr>
        <w:t>gingko</w:t>
      </w:r>
      <w:proofErr w:type="spellEnd"/>
      <w:r w:rsidRPr="00443260">
        <w:rPr>
          <w:rFonts w:asciiTheme="minorHAnsi" w:hAnsiTheme="minorHAnsi"/>
          <w:i/>
          <w:color w:val="000000"/>
          <w:sz w:val="22"/>
          <w:szCs w:val="22"/>
          <w:lang w:val="fr-FR"/>
        </w:rPr>
        <w:t xml:space="preserve"> </w:t>
      </w:r>
      <w:proofErr w:type="spellStart"/>
      <w:r w:rsidRPr="00443260">
        <w:rPr>
          <w:rFonts w:asciiTheme="minorHAnsi" w:hAnsiTheme="minorHAnsi"/>
          <w:i/>
          <w:color w:val="000000"/>
          <w:sz w:val="22"/>
          <w:szCs w:val="22"/>
          <w:lang w:val="fr-FR"/>
        </w:rPr>
        <w:t>biloba</w:t>
      </w:r>
      <w:proofErr w:type="spellEnd"/>
      <w:r w:rsidRPr="00443260">
        <w:rPr>
          <w:rFonts w:asciiTheme="minorHAnsi" w:hAnsiTheme="minorHAnsi"/>
          <w:i/>
          <w:color w:val="000000"/>
          <w:sz w:val="22"/>
          <w:szCs w:val="22"/>
          <w:lang w:val="fr-FR"/>
        </w:rPr>
        <w:t xml:space="preserve"> ; Il </w:t>
      </w:r>
      <w:r>
        <w:rPr>
          <w:rFonts w:asciiTheme="minorHAnsi" w:hAnsiTheme="minorHAnsi"/>
          <w:i/>
          <w:color w:val="000000"/>
          <w:sz w:val="22"/>
          <w:szCs w:val="22"/>
          <w:lang w:val="fr-FR"/>
        </w:rPr>
        <w:t>pourrait être</w:t>
      </w:r>
      <w:r w:rsidRPr="00443260">
        <w:rPr>
          <w:rFonts w:asciiTheme="minorHAnsi" w:hAnsiTheme="minorHAnsi"/>
          <w:i/>
          <w:color w:val="000000"/>
          <w:sz w:val="22"/>
          <w:szCs w:val="22"/>
          <w:lang w:val="fr-FR"/>
        </w:rPr>
        <w:t xml:space="preserve"> plus approprié </w:t>
      </w:r>
      <w:r>
        <w:rPr>
          <w:rFonts w:asciiTheme="minorHAnsi" w:hAnsiTheme="minorHAnsi"/>
          <w:i/>
          <w:color w:val="000000"/>
          <w:sz w:val="22"/>
          <w:szCs w:val="22"/>
          <w:lang w:val="fr-FR"/>
        </w:rPr>
        <w:t>d’éviter une utilisation combinée</w:t>
      </w:r>
    </w:p>
    <w:p w14:paraId="0055ACEA" w14:textId="77777777" w:rsidR="00443260" w:rsidRDefault="00443260" w:rsidP="0043334F">
      <w:pPr>
        <w:shd w:val="clear" w:color="auto" w:fill="FFFFFF"/>
        <w:spacing w:after="100" w:afterAutospacing="1"/>
        <w:contextualSpacing/>
        <w:jc w:val="both"/>
        <w:rPr>
          <w:rFonts w:asciiTheme="minorHAnsi" w:hAnsiTheme="minorHAnsi"/>
          <w:color w:val="000000"/>
          <w:sz w:val="22"/>
          <w:szCs w:val="22"/>
          <w:lang w:val="fr-FR"/>
        </w:rPr>
      </w:pPr>
    </w:p>
    <w:p w14:paraId="0A0F5D4E" w14:textId="796B3C97" w:rsidR="005C3DED" w:rsidRDefault="004816D3" w:rsidP="0043334F">
      <w:pPr>
        <w:shd w:val="clear" w:color="auto" w:fill="FFFFFF"/>
        <w:spacing w:before="100" w:beforeAutospacing="1" w:after="100" w:afterAutospacing="1"/>
        <w:contextualSpacing/>
        <w:jc w:val="both"/>
        <w:rPr>
          <w:rFonts w:asciiTheme="minorHAnsi" w:hAnsiTheme="minorHAnsi"/>
          <w:b/>
          <w:sz w:val="22"/>
          <w:szCs w:val="22"/>
          <w:lang w:val="fr-FR"/>
        </w:rPr>
      </w:pPr>
      <w:r w:rsidRPr="00E21AE0">
        <w:rPr>
          <w:rFonts w:asciiTheme="minorHAnsi" w:hAnsiTheme="minorHAnsi"/>
          <w:b/>
          <w:sz w:val="22"/>
          <w:szCs w:val="22"/>
          <w:lang w:val="fr-FR"/>
        </w:rPr>
        <w:t xml:space="preserve">J2. </w:t>
      </w:r>
      <w:r w:rsidR="005C3DED" w:rsidRPr="005C3DED">
        <w:rPr>
          <w:rFonts w:asciiTheme="minorHAnsi" w:hAnsiTheme="minorHAnsi"/>
          <w:b/>
          <w:sz w:val="22"/>
          <w:szCs w:val="22"/>
          <w:lang w:val="fr-FR"/>
        </w:rPr>
        <w:t xml:space="preserve">Le millepertuis </w:t>
      </w:r>
      <w:r w:rsidR="005C3DED" w:rsidRPr="00E21AE0">
        <w:rPr>
          <w:rFonts w:ascii="Calibri" w:eastAsia="Calibri" w:hAnsi="Calibri" w:cs="Calibri"/>
          <w:b/>
          <w:sz w:val="22"/>
          <w:szCs w:val="22"/>
          <w:lang w:val="fr-FR"/>
        </w:rPr>
        <w:t xml:space="preserve">(St. John’s </w:t>
      </w:r>
      <w:proofErr w:type="spellStart"/>
      <w:r w:rsidR="005C3DED" w:rsidRPr="00E21AE0">
        <w:rPr>
          <w:rFonts w:ascii="Calibri" w:eastAsia="Calibri" w:hAnsi="Calibri" w:cs="Calibri"/>
          <w:b/>
          <w:sz w:val="22"/>
          <w:szCs w:val="22"/>
          <w:lang w:val="fr-FR"/>
        </w:rPr>
        <w:t>Wort</w:t>
      </w:r>
      <w:proofErr w:type="spellEnd"/>
      <w:r w:rsidR="005C3DED" w:rsidRPr="00E21AE0">
        <w:rPr>
          <w:rFonts w:ascii="Calibri" w:eastAsia="Calibri" w:hAnsi="Calibri" w:cs="Calibri"/>
          <w:b/>
          <w:sz w:val="22"/>
          <w:szCs w:val="22"/>
          <w:lang w:val="fr-FR"/>
        </w:rPr>
        <w:t xml:space="preserve">) </w:t>
      </w:r>
      <w:r w:rsidR="005C3DED" w:rsidRPr="005C3DED">
        <w:rPr>
          <w:rFonts w:asciiTheme="minorHAnsi" w:hAnsiTheme="minorHAnsi"/>
          <w:b/>
          <w:sz w:val="22"/>
          <w:szCs w:val="22"/>
          <w:lang w:val="fr-FR"/>
        </w:rPr>
        <w:t xml:space="preserve">ne convient pas pour une utilisation systémique chez les patients utilisant des antidépresseurs (en particulier le risque de syndrome sérotoninergique avec les ISRS) et chez les patients utilisant des médicaments métabolisés par le cytochrome p450 (par exemple </w:t>
      </w:r>
      <w:proofErr w:type="spellStart"/>
      <w:r w:rsidR="005C3DED" w:rsidRPr="005C3DED">
        <w:rPr>
          <w:rFonts w:asciiTheme="minorHAnsi" w:hAnsiTheme="minorHAnsi"/>
          <w:b/>
          <w:sz w:val="22"/>
          <w:szCs w:val="22"/>
          <w:lang w:val="fr-FR"/>
        </w:rPr>
        <w:t>digoxine</w:t>
      </w:r>
      <w:proofErr w:type="spellEnd"/>
      <w:r w:rsidR="005C3DED" w:rsidRPr="005C3DED">
        <w:rPr>
          <w:rFonts w:asciiTheme="minorHAnsi" w:hAnsiTheme="minorHAnsi"/>
          <w:b/>
          <w:sz w:val="22"/>
          <w:szCs w:val="22"/>
          <w:lang w:val="fr-FR"/>
        </w:rPr>
        <w:t xml:space="preserve">, théophylline, </w:t>
      </w:r>
      <w:proofErr w:type="spellStart"/>
      <w:r w:rsidR="005C3DED" w:rsidRPr="005C3DED">
        <w:rPr>
          <w:rFonts w:asciiTheme="minorHAnsi" w:hAnsiTheme="minorHAnsi"/>
          <w:b/>
          <w:sz w:val="22"/>
          <w:szCs w:val="22"/>
          <w:lang w:val="fr-FR"/>
        </w:rPr>
        <w:t>warfarine</w:t>
      </w:r>
      <w:proofErr w:type="spellEnd"/>
      <w:r w:rsidR="005C3DED" w:rsidRPr="005C3DED">
        <w:rPr>
          <w:rFonts w:asciiTheme="minorHAnsi" w:hAnsiTheme="minorHAnsi"/>
          <w:b/>
          <w:sz w:val="22"/>
          <w:szCs w:val="22"/>
          <w:lang w:val="fr-FR"/>
        </w:rPr>
        <w:t xml:space="preserve">, carbamazépine, </w:t>
      </w:r>
      <w:proofErr w:type="spellStart"/>
      <w:r w:rsidR="005C3DED" w:rsidRPr="005C3DED">
        <w:rPr>
          <w:rFonts w:asciiTheme="minorHAnsi" w:hAnsiTheme="minorHAnsi"/>
          <w:b/>
          <w:sz w:val="22"/>
          <w:szCs w:val="22"/>
          <w:lang w:val="fr-FR"/>
        </w:rPr>
        <w:t>phénytoïne</w:t>
      </w:r>
      <w:proofErr w:type="spellEnd"/>
      <w:r w:rsidR="005C3DED" w:rsidRPr="005C3DED">
        <w:rPr>
          <w:rFonts w:asciiTheme="minorHAnsi" w:hAnsiTheme="minorHAnsi"/>
          <w:b/>
          <w:sz w:val="22"/>
          <w:szCs w:val="22"/>
          <w:lang w:val="fr-FR"/>
        </w:rPr>
        <w:t>, phénobarbital) (Le millepertuis active le cytochrome p450)</w:t>
      </w:r>
      <w:r w:rsidR="005C3DED">
        <w:rPr>
          <w:rFonts w:asciiTheme="minorHAnsi" w:hAnsiTheme="minorHAnsi"/>
          <w:b/>
          <w:sz w:val="22"/>
          <w:szCs w:val="22"/>
          <w:lang w:val="fr-FR"/>
        </w:rPr>
        <w:t>.</w:t>
      </w:r>
    </w:p>
    <w:p w14:paraId="321CBD1E" w14:textId="77777777" w:rsidR="005C3DED" w:rsidRDefault="005C3DED" w:rsidP="0043334F">
      <w:pPr>
        <w:shd w:val="clear" w:color="auto" w:fill="FFFFFF"/>
        <w:spacing w:before="100" w:beforeAutospacing="1" w:after="100" w:afterAutospacing="1"/>
        <w:contextualSpacing/>
        <w:jc w:val="both"/>
        <w:rPr>
          <w:rFonts w:asciiTheme="minorHAnsi" w:hAnsiTheme="minorHAnsi"/>
          <w:b/>
          <w:sz w:val="22"/>
          <w:szCs w:val="22"/>
          <w:lang w:val="fr-FR"/>
        </w:rPr>
      </w:pPr>
    </w:p>
    <w:p w14:paraId="1D884A31" w14:textId="77777777" w:rsidR="005C3DED" w:rsidRDefault="00C6392A" w:rsidP="0043334F">
      <w:pPr>
        <w:contextualSpacing/>
        <w:jc w:val="both"/>
        <w:rPr>
          <w:rFonts w:asciiTheme="minorHAnsi" w:hAnsiTheme="minorHAnsi"/>
          <w:b/>
          <w:color w:val="000000" w:themeColor="text1"/>
          <w:sz w:val="22"/>
          <w:szCs w:val="22"/>
          <w:lang w:val="fr-FR"/>
        </w:rPr>
      </w:pPr>
      <w:r w:rsidRPr="00E21AE0">
        <w:rPr>
          <w:rFonts w:ascii="Calibri" w:hAnsi="Calibri" w:cs="Calibri"/>
          <w:b/>
          <w:sz w:val="22"/>
          <w:szCs w:val="22"/>
          <w:lang w:val="fr-FR"/>
        </w:rPr>
        <w:t>#</w:t>
      </w:r>
      <w:r w:rsidR="00552087" w:rsidRPr="00E21AE0">
        <w:rPr>
          <w:rFonts w:asciiTheme="minorHAnsi" w:hAnsiTheme="minorHAnsi"/>
          <w:b/>
          <w:color w:val="000000" w:themeColor="text1"/>
          <w:sz w:val="22"/>
          <w:szCs w:val="22"/>
          <w:lang w:val="fr-FR"/>
        </w:rPr>
        <w:t>J3.</w:t>
      </w:r>
      <w:r w:rsidR="006C7F78" w:rsidRPr="00E21AE0">
        <w:rPr>
          <w:rFonts w:asciiTheme="minorHAnsi" w:hAnsiTheme="minorHAnsi"/>
          <w:b/>
          <w:color w:val="000000" w:themeColor="text1"/>
          <w:sz w:val="22"/>
          <w:szCs w:val="22"/>
          <w:lang w:val="fr-FR"/>
        </w:rPr>
        <w:t xml:space="preserve"> </w:t>
      </w:r>
      <w:r w:rsidR="005C3DED" w:rsidRPr="005C3DED">
        <w:rPr>
          <w:rFonts w:asciiTheme="minorHAnsi" w:hAnsiTheme="minorHAnsi"/>
          <w:b/>
          <w:color w:val="000000" w:themeColor="text1"/>
          <w:sz w:val="22"/>
          <w:szCs w:val="22"/>
          <w:lang w:val="fr-FR"/>
        </w:rPr>
        <w:t xml:space="preserve">La supplémentation n'est pas appropriée chez les patients prenant de la </w:t>
      </w:r>
      <w:proofErr w:type="spellStart"/>
      <w:r w:rsidR="005C3DED" w:rsidRPr="005C3DED">
        <w:rPr>
          <w:rFonts w:asciiTheme="minorHAnsi" w:hAnsiTheme="minorHAnsi"/>
          <w:b/>
          <w:color w:val="000000" w:themeColor="text1"/>
          <w:sz w:val="22"/>
          <w:szCs w:val="22"/>
          <w:lang w:val="fr-FR"/>
        </w:rPr>
        <w:t>warfarine</w:t>
      </w:r>
      <w:proofErr w:type="spellEnd"/>
      <w:r w:rsidR="005C3DED" w:rsidRPr="005C3DED">
        <w:rPr>
          <w:rFonts w:asciiTheme="minorHAnsi" w:hAnsiTheme="minorHAnsi"/>
          <w:b/>
          <w:color w:val="000000" w:themeColor="text1"/>
          <w:sz w:val="22"/>
          <w:szCs w:val="22"/>
          <w:lang w:val="fr-FR"/>
        </w:rPr>
        <w:t xml:space="preserve"> (en raison d'un risque accru de saignement)</w:t>
      </w:r>
    </w:p>
    <w:p w14:paraId="0AF2C744" w14:textId="51247A5E" w:rsidR="005C3DED" w:rsidRPr="005C3DED" w:rsidRDefault="005C3DED" w:rsidP="0043334F">
      <w:pPr>
        <w:contextualSpacing/>
        <w:jc w:val="both"/>
        <w:rPr>
          <w:rFonts w:asciiTheme="minorHAnsi" w:hAnsiTheme="minorHAnsi"/>
          <w:i/>
          <w:color w:val="000000" w:themeColor="text1"/>
          <w:sz w:val="22"/>
          <w:szCs w:val="22"/>
          <w:lang w:val="fr-FR"/>
        </w:rPr>
      </w:pPr>
      <w:r w:rsidRPr="005C3DED">
        <w:rPr>
          <w:rFonts w:asciiTheme="minorHAnsi" w:hAnsiTheme="minorHAnsi"/>
          <w:i/>
          <w:color w:val="000000" w:themeColor="text1"/>
          <w:sz w:val="22"/>
          <w:szCs w:val="22"/>
          <w:lang w:val="fr-FR"/>
        </w:rPr>
        <w:t xml:space="preserve">*De nombreux suppléments pris par voie orale (par exemple, ginseng, ail, curcuma, gingembre, </w:t>
      </w:r>
      <w:r w:rsidR="00720475">
        <w:rPr>
          <w:rFonts w:asciiTheme="minorHAnsi" w:hAnsiTheme="minorHAnsi"/>
          <w:i/>
          <w:color w:val="000000" w:themeColor="text1"/>
          <w:sz w:val="22"/>
          <w:szCs w:val="22"/>
          <w:lang w:val="fr-FR"/>
        </w:rPr>
        <w:t>l’</w:t>
      </w:r>
      <w:proofErr w:type="spellStart"/>
      <w:r w:rsidR="00720475" w:rsidRPr="00720475">
        <w:rPr>
          <w:rFonts w:asciiTheme="minorHAnsi" w:hAnsiTheme="minorHAnsi"/>
          <w:i/>
          <w:color w:val="000000" w:themeColor="text1"/>
          <w:sz w:val="22"/>
          <w:szCs w:val="22"/>
          <w:lang w:val="fr-FR"/>
        </w:rPr>
        <w:t>harpagophyto</w:t>
      </w:r>
      <w:r w:rsidR="00720475">
        <w:rPr>
          <w:rFonts w:asciiTheme="minorHAnsi" w:hAnsiTheme="minorHAnsi"/>
          <w:i/>
          <w:color w:val="000000" w:themeColor="text1"/>
          <w:sz w:val="22"/>
          <w:szCs w:val="22"/>
          <w:lang w:val="fr-FR"/>
        </w:rPr>
        <w:t>n</w:t>
      </w:r>
      <w:proofErr w:type="spellEnd"/>
      <w:r w:rsidRPr="005C3DED">
        <w:rPr>
          <w:rFonts w:asciiTheme="minorHAnsi" w:hAnsiTheme="minorHAnsi"/>
          <w:i/>
          <w:color w:val="000000" w:themeColor="text1"/>
          <w:sz w:val="22"/>
          <w:szCs w:val="22"/>
          <w:lang w:val="fr-FR"/>
        </w:rPr>
        <w:t xml:space="preserve">, millepertuis, coenzyme Q10, thé vert, etc.) peuvent augmenter le risque de saignement en augmentant l'effet anticoagulant de la </w:t>
      </w:r>
      <w:proofErr w:type="spellStart"/>
      <w:r w:rsidRPr="005C3DED">
        <w:rPr>
          <w:rFonts w:asciiTheme="minorHAnsi" w:hAnsiTheme="minorHAnsi"/>
          <w:i/>
          <w:color w:val="000000" w:themeColor="text1"/>
          <w:sz w:val="22"/>
          <w:szCs w:val="22"/>
          <w:lang w:val="fr-FR"/>
        </w:rPr>
        <w:t>warfarine</w:t>
      </w:r>
      <w:proofErr w:type="spellEnd"/>
      <w:r w:rsidRPr="005C3DED">
        <w:rPr>
          <w:rFonts w:asciiTheme="minorHAnsi" w:hAnsiTheme="minorHAnsi"/>
          <w:i/>
          <w:color w:val="000000" w:themeColor="text1"/>
          <w:sz w:val="22"/>
          <w:szCs w:val="22"/>
          <w:lang w:val="fr-FR"/>
        </w:rPr>
        <w:t>.</w:t>
      </w:r>
    </w:p>
    <w:p w14:paraId="2569F908" w14:textId="77777777" w:rsidR="005C3DED" w:rsidRDefault="005C3DED" w:rsidP="0043334F">
      <w:pPr>
        <w:contextualSpacing/>
        <w:jc w:val="both"/>
        <w:rPr>
          <w:rFonts w:asciiTheme="minorHAnsi" w:hAnsiTheme="minorHAnsi"/>
          <w:color w:val="000000" w:themeColor="text1"/>
          <w:sz w:val="22"/>
          <w:szCs w:val="22"/>
          <w:lang w:val="fr-FR"/>
        </w:rPr>
      </w:pPr>
    </w:p>
    <w:p w14:paraId="15625C03" w14:textId="6DE4B627" w:rsidR="00FC26A6" w:rsidRDefault="00720475"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bCs/>
          <w:color w:val="000000"/>
          <w:shd w:val="clear" w:color="auto" w:fill="FFFFFF"/>
          <w:lang w:val="fr-FR"/>
        </w:rPr>
      </w:pPr>
      <w:r w:rsidRPr="00E21AE0">
        <w:rPr>
          <w:rFonts w:asciiTheme="minorHAnsi" w:hAnsiTheme="minorHAnsi" w:cstheme="minorHAnsi"/>
          <w:bCs/>
          <w:lang w:val="fr-FR"/>
        </w:rPr>
        <w:t>#</w:t>
      </w:r>
      <w:r w:rsidRPr="00720475">
        <w:rPr>
          <w:rFonts w:asciiTheme="minorHAnsi" w:hAnsiTheme="minorHAnsi" w:cstheme="minorHAnsi"/>
          <w:bCs/>
          <w:color w:val="000000"/>
          <w:shd w:val="clear" w:color="auto" w:fill="FFFFFF"/>
          <w:lang w:val="fr-FR"/>
        </w:rPr>
        <w:t xml:space="preserve">Critères </w:t>
      </w:r>
      <w:r>
        <w:rPr>
          <w:rFonts w:asciiTheme="minorHAnsi" w:hAnsiTheme="minorHAnsi" w:cstheme="minorHAnsi"/>
          <w:bCs/>
          <w:color w:val="000000"/>
          <w:shd w:val="clear" w:color="auto" w:fill="FFFFFF"/>
          <w:lang w:val="fr-FR"/>
        </w:rPr>
        <w:t>sur lesquels il n’y a pas eu</w:t>
      </w:r>
      <w:r w:rsidRPr="00720475">
        <w:rPr>
          <w:rFonts w:asciiTheme="minorHAnsi" w:hAnsiTheme="minorHAnsi" w:cstheme="minorHAnsi"/>
          <w:bCs/>
          <w:color w:val="000000"/>
          <w:shd w:val="clear" w:color="auto" w:fill="FFFFFF"/>
          <w:lang w:val="fr-FR"/>
        </w:rPr>
        <w:t xml:space="preserve"> consensus </w:t>
      </w:r>
      <w:r>
        <w:rPr>
          <w:rFonts w:asciiTheme="minorHAnsi" w:hAnsiTheme="minorHAnsi" w:cstheme="minorHAnsi"/>
          <w:bCs/>
          <w:color w:val="000000"/>
          <w:shd w:val="clear" w:color="auto" w:fill="FFFFFF"/>
          <w:lang w:val="fr-FR"/>
        </w:rPr>
        <w:t>au cours</w:t>
      </w:r>
      <w:r w:rsidRPr="00720475">
        <w:rPr>
          <w:rFonts w:asciiTheme="minorHAnsi" w:hAnsiTheme="minorHAnsi" w:cstheme="minorHAnsi"/>
          <w:bCs/>
          <w:color w:val="000000"/>
          <w:shd w:val="clear" w:color="auto" w:fill="FFFFFF"/>
          <w:lang w:val="fr-FR"/>
        </w:rPr>
        <w:t xml:space="preserve"> du panel </w:t>
      </w:r>
      <w:r>
        <w:rPr>
          <w:rFonts w:asciiTheme="minorHAnsi" w:hAnsiTheme="minorHAnsi" w:cstheme="minorHAnsi"/>
          <w:bCs/>
          <w:color w:val="000000"/>
          <w:shd w:val="clear" w:color="auto" w:fill="FFFFFF"/>
          <w:lang w:val="fr-FR"/>
        </w:rPr>
        <w:t xml:space="preserve">international </w:t>
      </w:r>
      <w:r w:rsidRPr="00720475">
        <w:rPr>
          <w:rFonts w:asciiTheme="minorHAnsi" w:hAnsiTheme="minorHAnsi" w:cstheme="minorHAnsi"/>
          <w:bCs/>
          <w:color w:val="000000"/>
          <w:shd w:val="clear" w:color="auto" w:fill="FFFFFF"/>
          <w:lang w:val="fr-FR"/>
        </w:rPr>
        <w:t>Delphi</w:t>
      </w:r>
    </w:p>
    <w:p w14:paraId="7A2CE0A3" w14:textId="26B2D1C4" w:rsidR="00720475" w:rsidRDefault="00720475"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bCs/>
          <w:color w:val="000000"/>
          <w:shd w:val="clear" w:color="auto" w:fill="FFFFFF"/>
          <w:lang w:val="fr-FR"/>
        </w:rPr>
      </w:pPr>
    </w:p>
    <w:p w14:paraId="35260C1E" w14:textId="77777777" w:rsidR="00720475" w:rsidRPr="00E21AE0" w:rsidRDefault="00720475"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lang w:val="fr-FR"/>
        </w:rPr>
      </w:pPr>
    </w:p>
    <w:p w14:paraId="1F9DFF4B" w14:textId="77777777" w:rsidR="00720475" w:rsidRDefault="00720475">
      <w:pPr>
        <w:spacing w:after="160" w:line="259" w:lineRule="auto"/>
        <w:rPr>
          <w:rFonts w:asciiTheme="minorHAnsi" w:hAnsiTheme="minorHAnsi" w:cstheme="minorHAnsi"/>
          <w:bCs/>
          <w:i/>
          <w:lang w:val="fr-FR"/>
        </w:rPr>
      </w:pPr>
      <w:r>
        <w:rPr>
          <w:rFonts w:asciiTheme="minorHAnsi" w:hAnsiTheme="minorHAnsi" w:cstheme="minorHAnsi"/>
          <w:bCs/>
          <w:i/>
          <w:lang w:val="fr-FR"/>
        </w:rPr>
        <w:br w:type="page"/>
      </w:r>
    </w:p>
    <w:p w14:paraId="3EF25685" w14:textId="71EDF9F0" w:rsidR="00720475" w:rsidRDefault="00720475" w:rsidP="00121BFE">
      <w:pPr>
        <w:contextualSpacing/>
        <w:jc w:val="both"/>
        <w:rPr>
          <w:rFonts w:asciiTheme="minorHAnsi" w:hAnsiTheme="minorHAnsi" w:cstheme="minorHAnsi"/>
          <w:bCs/>
          <w:lang w:val="fr-FR"/>
        </w:rPr>
      </w:pPr>
      <w:r w:rsidRPr="002E082A">
        <w:rPr>
          <w:rFonts w:asciiTheme="minorHAnsi" w:hAnsiTheme="minorHAnsi" w:cstheme="minorHAnsi"/>
          <w:b/>
          <w:bCs/>
          <w:lang w:val="fr-FR"/>
        </w:rPr>
        <w:lastRenderedPageBreak/>
        <w:t>Abréviations</w:t>
      </w:r>
      <w:r w:rsidRPr="00720475">
        <w:rPr>
          <w:rFonts w:asciiTheme="minorHAnsi" w:hAnsiTheme="minorHAnsi" w:cstheme="minorHAnsi"/>
          <w:bCs/>
          <w:lang w:val="fr-FR"/>
        </w:rPr>
        <w:t xml:space="preserve"> : </w:t>
      </w:r>
    </w:p>
    <w:p w14:paraId="519A7348" w14:textId="77777777" w:rsidR="00720475" w:rsidRPr="00720475" w:rsidRDefault="00720475" w:rsidP="00121BFE">
      <w:pPr>
        <w:contextualSpacing/>
        <w:jc w:val="both"/>
        <w:rPr>
          <w:rFonts w:asciiTheme="minorHAnsi" w:hAnsiTheme="minorHAnsi" w:cstheme="minorHAnsi"/>
          <w:bCs/>
          <w:lang w:val="fr-FR"/>
        </w:rPr>
      </w:pPr>
    </w:p>
    <w:p w14:paraId="5E066933" w14:textId="36FEB619" w:rsidR="00720475" w:rsidRDefault="00720475" w:rsidP="00121BFE">
      <w:pPr>
        <w:contextualSpacing/>
        <w:jc w:val="both"/>
        <w:rPr>
          <w:rFonts w:asciiTheme="minorHAnsi" w:hAnsiTheme="minorHAnsi" w:cstheme="minorHAnsi"/>
          <w:bCs/>
          <w:lang w:val="fr-FR"/>
        </w:rPr>
      </w:pPr>
      <w:r w:rsidRPr="00720475">
        <w:rPr>
          <w:rFonts w:asciiTheme="minorHAnsi" w:hAnsiTheme="minorHAnsi" w:cstheme="minorHAnsi"/>
          <w:bCs/>
          <w:lang w:val="fr-FR"/>
        </w:rPr>
        <w:t xml:space="preserve">FA : </w:t>
      </w:r>
      <w:r>
        <w:rPr>
          <w:rFonts w:asciiTheme="minorHAnsi" w:hAnsiTheme="minorHAnsi" w:cstheme="minorHAnsi"/>
          <w:bCs/>
          <w:lang w:val="fr-FR"/>
        </w:rPr>
        <w:tab/>
      </w:r>
      <w:r w:rsidRPr="00720475">
        <w:rPr>
          <w:rFonts w:asciiTheme="minorHAnsi" w:hAnsiTheme="minorHAnsi" w:cstheme="minorHAnsi"/>
          <w:bCs/>
          <w:lang w:val="fr-FR"/>
        </w:rPr>
        <w:t xml:space="preserve">fibrillation auriculaire </w:t>
      </w:r>
    </w:p>
    <w:p w14:paraId="1FC82F21" w14:textId="12B11E61" w:rsidR="00720475" w:rsidRDefault="00A308BF" w:rsidP="00121BFE">
      <w:pPr>
        <w:contextualSpacing/>
        <w:jc w:val="both"/>
        <w:rPr>
          <w:rFonts w:asciiTheme="minorHAnsi" w:hAnsiTheme="minorHAnsi" w:cstheme="minorHAnsi"/>
          <w:bCs/>
          <w:lang w:val="fr-FR"/>
        </w:rPr>
      </w:pPr>
      <w:r>
        <w:rPr>
          <w:rFonts w:asciiTheme="minorHAnsi" w:hAnsiTheme="minorHAnsi" w:cstheme="minorHAnsi"/>
          <w:bCs/>
          <w:lang w:val="fr-FR"/>
        </w:rPr>
        <w:t>IECA</w:t>
      </w:r>
      <w:r w:rsidR="00720475" w:rsidRPr="00720475">
        <w:rPr>
          <w:rFonts w:asciiTheme="minorHAnsi" w:hAnsiTheme="minorHAnsi" w:cstheme="minorHAnsi"/>
          <w:bCs/>
          <w:lang w:val="fr-FR"/>
        </w:rPr>
        <w:t xml:space="preserve"> : </w:t>
      </w:r>
      <w:r w:rsidR="00720475">
        <w:rPr>
          <w:rFonts w:asciiTheme="minorHAnsi" w:hAnsiTheme="minorHAnsi" w:cstheme="minorHAnsi"/>
          <w:bCs/>
          <w:lang w:val="fr-FR"/>
        </w:rPr>
        <w:tab/>
      </w:r>
      <w:r w:rsidR="00720475" w:rsidRPr="00720475">
        <w:rPr>
          <w:rFonts w:asciiTheme="minorHAnsi" w:hAnsiTheme="minorHAnsi" w:cstheme="minorHAnsi"/>
          <w:bCs/>
          <w:lang w:val="fr-FR"/>
        </w:rPr>
        <w:t xml:space="preserve">inhibiteurs de l'enzyme de conversion de l'angiotensine </w:t>
      </w:r>
    </w:p>
    <w:p w14:paraId="4613D6D2" w14:textId="77777777" w:rsidR="00720475" w:rsidRDefault="00720475" w:rsidP="00121BFE">
      <w:pPr>
        <w:contextualSpacing/>
        <w:jc w:val="both"/>
        <w:rPr>
          <w:rFonts w:asciiTheme="minorHAnsi" w:hAnsiTheme="minorHAnsi" w:cstheme="minorHAnsi"/>
          <w:bCs/>
          <w:lang w:val="fr-FR"/>
        </w:rPr>
      </w:pPr>
      <w:r w:rsidRPr="00720475">
        <w:rPr>
          <w:rFonts w:asciiTheme="minorHAnsi" w:hAnsiTheme="minorHAnsi" w:cstheme="minorHAnsi"/>
          <w:bCs/>
          <w:lang w:val="fr-FR"/>
        </w:rPr>
        <w:t xml:space="preserve">ARA : </w:t>
      </w:r>
      <w:r>
        <w:rPr>
          <w:rFonts w:asciiTheme="minorHAnsi" w:hAnsiTheme="minorHAnsi" w:cstheme="minorHAnsi"/>
          <w:bCs/>
          <w:lang w:val="fr-FR"/>
        </w:rPr>
        <w:tab/>
      </w:r>
      <w:r w:rsidRPr="00720475">
        <w:rPr>
          <w:rFonts w:asciiTheme="minorHAnsi" w:hAnsiTheme="minorHAnsi" w:cstheme="minorHAnsi"/>
          <w:bCs/>
          <w:lang w:val="fr-FR"/>
        </w:rPr>
        <w:t xml:space="preserve">bloqueurs des récepteurs de l'angiotensine </w:t>
      </w:r>
    </w:p>
    <w:p w14:paraId="63AEEABC" w14:textId="50AD7B70" w:rsidR="00720475" w:rsidRDefault="004E7AFF" w:rsidP="00121BFE">
      <w:pPr>
        <w:contextualSpacing/>
        <w:jc w:val="both"/>
        <w:rPr>
          <w:rFonts w:asciiTheme="minorHAnsi" w:hAnsiTheme="minorHAnsi" w:cstheme="minorHAnsi"/>
          <w:bCs/>
          <w:lang w:val="fr-FR"/>
        </w:rPr>
      </w:pPr>
      <w:proofErr w:type="spellStart"/>
      <w:r>
        <w:rPr>
          <w:rFonts w:asciiTheme="minorHAnsi" w:hAnsiTheme="minorHAnsi" w:cstheme="minorHAnsi"/>
          <w:bCs/>
          <w:lang w:val="fr-FR"/>
        </w:rPr>
        <w:t>ChEI</w:t>
      </w:r>
      <w:proofErr w:type="spellEnd"/>
      <w:r w:rsidR="00720475" w:rsidRPr="00720475">
        <w:rPr>
          <w:rFonts w:asciiTheme="minorHAnsi" w:hAnsiTheme="minorHAnsi" w:cstheme="minorHAnsi"/>
          <w:bCs/>
          <w:lang w:val="fr-FR"/>
        </w:rPr>
        <w:t xml:space="preserve"> : inhibiteurs de l'acétylcholinestérase </w:t>
      </w:r>
    </w:p>
    <w:p w14:paraId="43804566" w14:textId="77777777" w:rsidR="00720475" w:rsidRDefault="00720475" w:rsidP="00121BFE">
      <w:pPr>
        <w:contextualSpacing/>
        <w:jc w:val="both"/>
        <w:rPr>
          <w:rFonts w:asciiTheme="minorHAnsi" w:hAnsiTheme="minorHAnsi" w:cstheme="minorHAnsi"/>
          <w:bCs/>
          <w:lang w:val="fr-FR"/>
        </w:rPr>
      </w:pPr>
      <w:r w:rsidRPr="00720475">
        <w:rPr>
          <w:rFonts w:asciiTheme="minorHAnsi" w:hAnsiTheme="minorHAnsi" w:cstheme="minorHAnsi"/>
          <w:bCs/>
          <w:lang w:val="fr-FR"/>
        </w:rPr>
        <w:t xml:space="preserve">DM : </w:t>
      </w:r>
      <w:r>
        <w:rPr>
          <w:rFonts w:asciiTheme="minorHAnsi" w:hAnsiTheme="minorHAnsi" w:cstheme="minorHAnsi"/>
          <w:bCs/>
          <w:lang w:val="fr-FR"/>
        </w:rPr>
        <w:tab/>
      </w:r>
      <w:r w:rsidRPr="00720475">
        <w:rPr>
          <w:rFonts w:asciiTheme="minorHAnsi" w:hAnsiTheme="minorHAnsi" w:cstheme="minorHAnsi"/>
          <w:bCs/>
          <w:lang w:val="fr-FR"/>
        </w:rPr>
        <w:t xml:space="preserve">diabète sucré </w:t>
      </w:r>
    </w:p>
    <w:p w14:paraId="7E909116" w14:textId="77777777" w:rsidR="00720475" w:rsidRDefault="00720475" w:rsidP="00121BFE">
      <w:pPr>
        <w:contextualSpacing/>
        <w:jc w:val="both"/>
        <w:rPr>
          <w:rFonts w:asciiTheme="minorHAnsi" w:hAnsiTheme="minorHAnsi" w:cstheme="minorHAnsi"/>
          <w:bCs/>
          <w:lang w:val="fr-FR"/>
        </w:rPr>
      </w:pPr>
      <w:r w:rsidRPr="00720475">
        <w:rPr>
          <w:rFonts w:asciiTheme="minorHAnsi" w:hAnsiTheme="minorHAnsi" w:cstheme="minorHAnsi"/>
          <w:bCs/>
          <w:lang w:val="fr-FR"/>
        </w:rPr>
        <w:t xml:space="preserve">FE : </w:t>
      </w:r>
      <w:r>
        <w:rPr>
          <w:rFonts w:asciiTheme="minorHAnsi" w:hAnsiTheme="minorHAnsi" w:cstheme="minorHAnsi"/>
          <w:bCs/>
          <w:lang w:val="fr-FR"/>
        </w:rPr>
        <w:tab/>
      </w:r>
      <w:r w:rsidRPr="00720475">
        <w:rPr>
          <w:rFonts w:asciiTheme="minorHAnsi" w:hAnsiTheme="minorHAnsi" w:cstheme="minorHAnsi"/>
          <w:bCs/>
          <w:lang w:val="fr-FR"/>
        </w:rPr>
        <w:t xml:space="preserve">Fraction d'éjection </w:t>
      </w:r>
    </w:p>
    <w:p w14:paraId="485EB3D6" w14:textId="461E8D3E" w:rsidR="00720475" w:rsidRDefault="00B96586" w:rsidP="00121BFE">
      <w:pPr>
        <w:contextualSpacing/>
        <w:jc w:val="both"/>
        <w:rPr>
          <w:rFonts w:asciiTheme="minorHAnsi" w:hAnsiTheme="minorHAnsi" w:cstheme="minorHAnsi"/>
          <w:bCs/>
          <w:lang w:val="fr-FR"/>
        </w:rPr>
      </w:pPr>
      <w:proofErr w:type="gramStart"/>
      <w:r>
        <w:rPr>
          <w:rFonts w:asciiTheme="minorHAnsi" w:hAnsiTheme="minorHAnsi" w:cstheme="minorHAnsi"/>
          <w:bCs/>
          <w:lang w:val="fr-FR"/>
        </w:rPr>
        <w:t>DFG</w:t>
      </w:r>
      <w:r w:rsidR="00720475" w:rsidRPr="00720475">
        <w:rPr>
          <w:rFonts w:asciiTheme="minorHAnsi" w:hAnsiTheme="minorHAnsi" w:cstheme="minorHAnsi"/>
          <w:bCs/>
          <w:lang w:val="fr-FR"/>
        </w:rPr>
        <w:t>:</w:t>
      </w:r>
      <w:proofErr w:type="gramEnd"/>
      <w:r w:rsidR="00720475" w:rsidRPr="00720475">
        <w:rPr>
          <w:rFonts w:asciiTheme="minorHAnsi" w:hAnsiTheme="minorHAnsi" w:cstheme="minorHAnsi"/>
          <w:bCs/>
          <w:lang w:val="fr-FR"/>
        </w:rPr>
        <w:t xml:space="preserve"> </w:t>
      </w:r>
      <w:r w:rsidR="00720475">
        <w:rPr>
          <w:rFonts w:asciiTheme="minorHAnsi" w:hAnsiTheme="minorHAnsi" w:cstheme="minorHAnsi"/>
          <w:bCs/>
          <w:lang w:val="fr-FR"/>
        </w:rPr>
        <w:tab/>
      </w:r>
      <w:r w:rsidR="00720475" w:rsidRPr="00720475">
        <w:rPr>
          <w:rFonts w:asciiTheme="minorHAnsi" w:hAnsiTheme="minorHAnsi" w:cstheme="minorHAnsi"/>
          <w:bCs/>
          <w:lang w:val="fr-FR"/>
        </w:rPr>
        <w:t xml:space="preserve">taux de filtration glomérulaire estimé </w:t>
      </w:r>
    </w:p>
    <w:p w14:paraId="6E974C9A" w14:textId="77777777" w:rsidR="00720475" w:rsidRDefault="00720475" w:rsidP="00121BFE">
      <w:pPr>
        <w:contextualSpacing/>
        <w:jc w:val="both"/>
        <w:rPr>
          <w:rFonts w:asciiTheme="minorHAnsi" w:hAnsiTheme="minorHAnsi" w:cstheme="minorHAnsi"/>
          <w:bCs/>
          <w:lang w:val="fr-FR"/>
        </w:rPr>
      </w:pPr>
      <w:r w:rsidRPr="00720475">
        <w:rPr>
          <w:rFonts w:asciiTheme="minorHAnsi" w:hAnsiTheme="minorHAnsi" w:cstheme="minorHAnsi"/>
          <w:bCs/>
          <w:lang w:val="fr-FR"/>
        </w:rPr>
        <w:t xml:space="preserve">FDA : </w:t>
      </w:r>
      <w:r>
        <w:rPr>
          <w:rFonts w:asciiTheme="minorHAnsi" w:hAnsiTheme="minorHAnsi" w:cstheme="minorHAnsi"/>
          <w:bCs/>
          <w:lang w:val="fr-FR"/>
        </w:rPr>
        <w:tab/>
      </w:r>
      <w:r w:rsidRPr="00720475">
        <w:rPr>
          <w:rFonts w:asciiTheme="minorHAnsi" w:hAnsiTheme="minorHAnsi" w:cstheme="minorHAnsi"/>
          <w:bCs/>
          <w:lang w:val="fr-FR"/>
        </w:rPr>
        <w:t xml:space="preserve">Administration des aliments et des médicaments </w:t>
      </w:r>
    </w:p>
    <w:p w14:paraId="03726D2E" w14:textId="77777777" w:rsidR="00720475" w:rsidRDefault="00720475" w:rsidP="00121BFE">
      <w:pPr>
        <w:contextualSpacing/>
        <w:jc w:val="both"/>
        <w:rPr>
          <w:rFonts w:asciiTheme="minorHAnsi" w:hAnsiTheme="minorHAnsi" w:cstheme="minorHAnsi"/>
          <w:bCs/>
          <w:lang w:val="fr-FR"/>
        </w:rPr>
      </w:pPr>
      <w:r w:rsidRPr="00720475">
        <w:rPr>
          <w:rFonts w:asciiTheme="minorHAnsi" w:hAnsiTheme="minorHAnsi" w:cstheme="minorHAnsi"/>
          <w:bCs/>
          <w:lang w:val="fr-FR"/>
        </w:rPr>
        <w:t xml:space="preserve">SIG : </w:t>
      </w:r>
      <w:r>
        <w:rPr>
          <w:rFonts w:asciiTheme="minorHAnsi" w:hAnsiTheme="minorHAnsi" w:cstheme="minorHAnsi"/>
          <w:bCs/>
          <w:lang w:val="fr-FR"/>
        </w:rPr>
        <w:tab/>
      </w:r>
      <w:r w:rsidRPr="00720475">
        <w:rPr>
          <w:rFonts w:asciiTheme="minorHAnsi" w:hAnsiTheme="minorHAnsi" w:cstheme="minorHAnsi"/>
          <w:bCs/>
          <w:lang w:val="fr-FR"/>
        </w:rPr>
        <w:t xml:space="preserve">Système gastro-intestinal </w:t>
      </w:r>
    </w:p>
    <w:p w14:paraId="1FEB2E37" w14:textId="77777777" w:rsidR="00720475" w:rsidRDefault="00720475" w:rsidP="00121BFE">
      <w:pPr>
        <w:contextualSpacing/>
        <w:jc w:val="both"/>
        <w:rPr>
          <w:rFonts w:asciiTheme="minorHAnsi" w:hAnsiTheme="minorHAnsi" w:cstheme="minorHAnsi"/>
          <w:bCs/>
          <w:lang w:val="fr-FR"/>
        </w:rPr>
      </w:pPr>
      <w:r w:rsidRPr="00720475">
        <w:rPr>
          <w:rFonts w:asciiTheme="minorHAnsi" w:hAnsiTheme="minorHAnsi" w:cstheme="minorHAnsi"/>
          <w:bCs/>
          <w:lang w:val="fr-FR"/>
        </w:rPr>
        <w:t xml:space="preserve">TIA : </w:t>
      </w:r>
      <w:r>
        <w:rPr>
          <w:rFonts w:asciiTheme="minorHAnsi" w:hAnsiTheme="minorHAnsi" w:cstheme="minorHAnsi"/>
          <w:bCs/>
          <w:lang w:val="fr-FR"/>
        </w:rPr>
        <w:tab/>
      </w:r>
      <w:r w:rsidRPr="00720475">
        <w:rPr>
          <w:rFonts w:asciiTheme="minorHAnsi" w:hAnsiTheme="minorHAnsi" w:cstheme="minorHAnsi"/>
          <w:bCs/>
          <w:lang w:val="fr-FR"/>
        </w:rPr>
        <w:t xml:space="preserve">Attaque ischémique transitoire </w:t>
      </w:r>
    </w:p>
    <w:p w14:paraId="0D798842" w14:textId="77777777" w:rsidR="004E7AFF" w:rsidRDefault="00720475" w:rsidP="00121BFE">
      <w:pPr>
        <w:contextualSpacing/>
        <w:jc w:val="both"/>
        <w:rPr>
          <w:rFonts w:asciiTheme="minorHAnsi" w:hAnsiTheme="minorHAnsi" w:cstheme="minorHAnsi"/>
          <w:bCs/>
          <w:lang w:val="fr-FR"/>
        </w:rPr>
      </w:pPr>
      <w:r w:rsidRPr="00720475">
        <w:rPr>
          <w:rFonts w:asciiTheme="minorHAnsi" w:hAnsiTheme="minorHAnsi" w:cstheme="minorHAnsi"/>
          <w:bCs/>
          <w:lang w:val="fr-FR"/>
        </w:rPr>
        <w:t xml:space="preserve">RGO : </w:t>
      </w:r>
      <w:r>
        <w:rPr>
          <w:rFonts w:asciiTheme="minorHAnsi" w:hAnsiTheme="minorHAnsi" w:cstheme="minorHAnsi"/>
          <w:bCs/>
          <w:lang w:val="fr-FR"/>
        </w:rPr>
        <w:tab/>
      </w:r>
      <w:r w:rsidRPr="00720475">
        <w:rPr>
          <w:rFonts w:asciiTheme="minorHAnsi" w:hAnsiTheme="minorHAnsi" w:cstheme="minorHAnsi"/>
          <w:bCs/>
          <w:lang w:val="fr-FR"/>
        </w:rPr>
        <w:t xml:space="preserve">reflux gastro-œsophagien </w:t>
      </w:r>
    </w:p>
    <w:p w14:paraId="4FBB3B4C" w14:textId="2A655BA5" w:rsidR="007C383C" w:rsidRDefault="00720475" w:rsidP="00121BFE">
      <w:pPr>
        <w:contextualSpacing/>
        <w:jc w:val="both"/>
        <w:rPr>
          <w:rFonts w:asciiTheme="minorHAnsi" w:hAnsiTheme="minorHAnsi" w:cstheme="minorHAnsi"/>
          <w:bCs/>
          <w:lang w:val="fr-FR"/>
        </w:rPr>
      </w:pPr>
      <w:r w:rsidRPr="00720475">
        <w:rPr>
          <w:rFonts w:asciiTheme="minorHAnsi" w:hAnsiTheme="minorHAnsi" w:cstheme="minorHAnsi"/>
          <w:bCs/>
          <w:lang w:val="fr-FR"/>
        </w:rPr>
        <w:t xml:space="preserve">Récepteur H1 : récepteur de l'histamine 1 </w:t>
      </w:r>
    </w:p>
    <w:p w14:paraId="286AF934" w14:textId="77777777" w:rsidR="007C383C" w:rsidRDefault="00720475" w:rsidP="00121BFE">
      <w:pPr>
        <w:contextualSpacing/>
        <w:jc w:val="both"/>
        <w:rPr>
          <w:rFonts w:asciiTheme="minorHAnsi" w:hAnsiTheme="minorHAnsi" w:cstheme="minorHAnsi"/>
          <w:bCs/>
          <w:lang w:val="fr-FR"/>
        </w:rPr>
      </w:pPr>
      <w:r w:rsidRPr="00720475">
        <w:rPr>
          <w:rFonts w:asciiTheme="minorHAnsi" w:hAnsiTheme="minorHAnsi" w:cstheme="minorHAnsi"/>
          <w:bCs/>
          <w:lang w:val="fr-FR"/>
        </w:rPr>
        <w:t>HT</w:t>
      </w:r>
      <w:r w:rsidR="007C383C">
        <w:rPr>
          <w:rFonts w:asciiTheme="minorHAnsi" w:hAnsiTheme="minorHAnsi" w:cstheme="minorHAnsi"/>
          <w:bCs/>
          <w:lang w:val="fr-FR"/>
        </w:rPr>
        <w:t>A</w:t>
      </w:r>
      <w:r w:rsidRPr="00720475">
        <w:rPr>
          <w:rFonts w:asciiTheme="minorHAnsi" w:hAnsiTheme="minorHAnsi" w:cstheme="minorHAnsi"/>
          <w:bCs/>
          <w:lang w:val="fr-FR"/>
        </w:rPr>
        <w:t xml:space="preserve"> : </w:t>
      </w:r>
      <w:r w:rsidR="007C383C">
        <w:rPr>
          <w:rFonts w:asciiTheme="minorHAnsi" w:hAnsiTheme="minorHAnsi" w:cstheme="minorHAnsi"/>
          <w:bCs/>
          <w:lang w:val="fr-FR"/>
        </w:rPr>
        <w:tab/>
      </w:r>
      <w:r w:rsidRPr="00720475">
        <w:rPr>
          <w:rFonts w:asciiTheme="minorHAnsi" w:hAnsiTheme="minorHAnsi" w:cstheme="minorHAnsi"/>
          <w:bCs/>
          <w:lang w:val="fr-FR"/>
        </w:rPr>
        <w:t xml:space="preserve">Hypertension </w:t>
      </w:r>
    </w:p>
    <w:p w14:paraId="315FB266" w14:textId="77777777" w:rsidR="007C383C" w:rsidRDefault="00720475" w:rsidP="00121BFE">
      <w:pPr>
        <w:contextualSpacing/>
        <w:jc w:val="both"/>
        <w:rPr>
          <w:rFonts w:asciiTheme="minorHAnsi" w:hAnsiTheme="minorHAnsi" w:cstheme="minorHAnsi"/>
          <w:bCs/>
          <w:lang w:val="fr-FR"/>
        </w:rPr>
      </w:pPr>
      <w:r w:rsidRPr="00720475">
        <w:rPr>
          <w:rFonts w:asciiTheme="minorHAnsi" w:hAnsiTheme="minorHAnsi" w:cstheme="minorHAnsi"/>
          <w:bCs/>
          <w:lang w:val="fr-FR"/>
        </w:rPr>
        <w:t xml:space="preserve">INR : </w:t>
      </w:r>
      <w:r w:rsidR="007C383C">
        <w:rPr>
          <w:rFonts w:asciiTheme="minorHAnsi" w:hAnsiTheme="minorHAnsi" w:cstheme="minorHAnsi"/>
          <w:bCs/>
          <w:lang w:val="fr-FR"/>
        </w:rPr>
        <w:tab/>
      </w:r>
      <w:r w:rsidRPr="00720475">
        <w:rPr>
          <w:rFonts w:asciiTheme="minorHAnsi" w:hAnsiTheme="minorHAnsi" w:cstheme="minorHAnsi"/>
          <w:bCs/>
          <w:lang w:val="fr-FR"/>
        </w:rPr>
        <w:t xml:space="preserve">Ratio International Normalisé </w:t>
      </w:r>
    </w:p>
    <w:p w14:paraId="2BA7812E" w14:textId="54138F09" w:rsidR="007C383C" w:rsidRDefault="007C383C" w:rsidP="00121BFE">
      <w:pPr>
        <w:contextualSpacing/>
        <w:jc w:val="both"/>
        <w:rPr>
          <w:rFonts w:asciiTheme="minorHAnsi" w:hAnsiTheme="minorHAnsi" w:cstheme="minorHAnsi"/>
          <w:bCs/>
          <w:lang w:val="fr-FR"/>
        </w:rPr>
      </w:pPr>
      <w:proofErr w:type="gramStart"/>
      <w:r>
        <w:rPr>
          <w:rFonts w:asciiTheme="minorHAnsi" w:hAnsiTheme="minorHAnsi" w:cstheme="minorHAnsi"/>
          <w:bCs/>
          <w:lang w:val="fr-FR"/>
        </w:rPr>
        <w:t>BPCO</w:t>
      </w:r>
      <w:r w:rsidR="00720475" w:rsidRPr="00720475">
        <w:rPr>
          <w:rFonts w:asciiTheme="minorHAnsi" w:hAnsiTheme="minorHAnsi" w:cstheme="minorHAnsi"/>
          <w:bCs/>
          <w:lang w:val="fr-FR"/>
        </w:rPr>
        <w:t>:</w:t>
      </w:r>
      <w:proofErr w:type="gramEnd"/>
      <w:r w:rsidR="00720475" w:rsidRPr="00720475">
        <w:rPr>
          <w:rFonts w:asciiTheme="minorHAnsi" w:hAnsiTheme="minorHAnsi" w:cstheme="minorHAnsi"/>
          <w:bCs/>
          <w:lang w:val="fr-FR"/>
        </w:rPr>
        <w:t xml:space="preserve"> </w:t>
      </w:r>
      <w:r>
        <w:rPr>
          <w:rFonts w:asciiTheme="minorHAnsi" w:hAnsiTheme="minorHAnsi" w:cstheme="minorHAnsi"/>
          <w:bCs/>
          <w:lang w:val="fr-FR"/>
        </w:rPr>
        <w:tab/>
      </w:r>
      <w:r w:rsidR="00720475" w:rsidRPr="00720475">
        <w:rPr>
          <w:rFonts w:asciiTheme="minorHAnsi" w:hAnsiTheme="minorHAnsi" w:cstheme="minorHAnsi"/>
          <w:bCs/>
          <w:lang w:val="fr-FR"/>
        </w:rPr>
        <w:t xml:space="preserve">maladie pulmonaire obstructive chronique </w:t>
      </w:r>
    </w:p>
    <w:p w14:paraId="22A329BF" w14:textId="77777777" w:rsidR="007C383C" w:rsidRDefault="007C383C" w:rsidP="00121BFE">
      <w:pPr>
        <w:contextualSpacing/>
        <w:jc w:val="both"/>
        <w:rPr>
          <w:rFonts w:asciiTheme="minorHAnsi" w:hAnsiTheme="minorHAnsi" w:cstheme="minorHAnsi"/>
          <w:bCs/>
          <w:lang w:val="fr-FR"/>
        </w:rPr>
      </w:pPr>
      <w:proofErr w:type="gramStart"/>
      <w:r>
        <w:rPr>
          <w:rFonts w:asciiTheme="minorHAnsi" w:hAnsiTheme="minorHAnsi" w:cstheme="minorHAnsi"/>
          <w:bCs/>
          <w:lang w:val="fr-FR"/>
        </w:rPr>
        <w:t>TUBA:</w:t>
      </w:r>
      <w:proofErr w:type="gramEnd"/>
      <w:r>
        <w:rPr>
          <w:rFonts w:asciiTheme="minorHAnsi" w:hAnsiTheme="minorHAnsi" w:cstheme="minorHAnsi"/>
          <w:bCs/>
          <w:lang w:val="fr-FR"/>
        </w:rPr>
        <w:tab/>
      </w:r>
      <w:r w:rsidR="00720475" w:rsidRPr="00720475">
        <w:rPr>
          <w:rFonts w:asciiTheme="minorHAnsi" w:hAnsiTheme="minorHAnsi" w:cstheme="minorHAnsi"/>
          <w:bCs/>
          <w:lang w:val="fr-FR"/>
        </w:rPr>
        <w:t xml:space="preserve">symptômes des voies urinaires inférieures </w:t>
      </w:r>
    </w:p>
    <w:p w14:paraId="468E911D" w14:textId="77777777" w:rsidR="007C383C" w:rsidRDefault="00720475" w:rsidP="00121BFE">
      <w:pPr>
        <w:contextualSpacing/>
        <w:jc w:val="both"/>
        <w:rPr>
          <w:rFonts w:asciiTheme="minorHAnsi" w:hAnsiTheme="minorHAnsi" w:cstheme="minorHAnsi"/>
          <w:bCs/>
          <w:lang w:val="fr-FR"/>
        </w:rPr>
      </w:pPr>
      <w:r w:rsidRPr="00720475">
        <w:rPr>
          <w:rFonts w:asciiTheme="minorHAnsi" w:hAnsiTheme="minorHAnsi" w:cstheme="minorHAnsi"/>
          <w:bCs/>
          <w:lang w:val="fr-FR"/>
        </w:rPr>
        <w:t xml:space="preserve">IM : </w:t>
      </w:r>
      <w:r w:rsidR="007C383C">
        <w:rPr>
          <w:rFonts w:asciiTheme="minorHAnsi" w:hAnsiTheme="minorHAnsi" w:cstheme="minorHAnsi"/>
          <w:bCs/>
          <w:lang w:val="fr-FR"/>
        </w:rPr>
        <w:tab/>
      </w:r>
      <w:r w:rsidRPr="00720475">
        <w:rPr>
          <w:rFonts w:asciiTheme="minorHAnsi" w:hAnsiTheme="minorHAnsi" w:cstheme="minorHAnsi"/>
          <w:bCs/>
          <w:lang w:val="fr-FR"/>
        </w:rPr>
        <w:t xml:space="preserve">infarctus du myocarde </w:t>
      </w:r>
    </w:p>
    <w:p w14:paraId="2E458BB9" w14:textId="77777777" w:rsidR="007C383C" w:rsidRDefault="00720475" w:rsidP="00121BFE">
      <w:pPr>
        <w:contextualSpacing/>
        <w:jc w:val="both"/>
        <w:rPr>
          <w:rFonts w:asciiTheme="minorHAnsi" w:hAnsiTheme="minorHAnsi" w:cstheme="minorHAnsi"/>
          <w:bCs/>
          <w:lang w:val="fr-FR"/>
        </w:rPr>
      </w:pPr>
      <w:r w:rsidRPr="00720475">
        <w:rPr>
          <w:rFonts w:asciiTheme="minorHAnsi" w:hAnsiTheme="minorHAnsi" w:cstheme="minorHAnsi"/>
          <w:bCs/>
          <w:lang w:val="fr-FR"/>
        </w:rPr>
        <w:t xml:space="preserve">SNC : </w:t>
      </w:r>
      <w:r w:rsidR="007C383C">
        <w:rPr>
          <w:rFonts w:asciiTheme="minorHAnsi" w:hAnsiTheme="minorHAnsi" w:cstheme="minorHAnsi"/>
          <w:bCs/>
          <w:lang w:val="fr-FR"/>
        </w:rPr>
        <w:tab/>
      </w:r>
      <w:r w:rsidRPr="00720475">
        <w:rPr>
          <w:rFonts w:asciiTheme="minorHAnsi" w:hAnsiTheme="minorHAnsi" w:cstheme="minorHAnsi"/>
          <w:bCs/>
          <w:lang w:val="fr-FR"/>
        </w:rPr>
        <w:t xml:space="preserve">système nerveux central </w:t>
      </w:r>
    </w:p>
    <w:p w14:paraId="61FB5D98" w14:textId="77777777" w:rsidR="007C383C" w:rsidRDefault="00720475" w:rsidP="00121BFE">
      <w:pPr>
        <w:contextualSpacing/>
        <w:jc w:val="both"/>
        <w:rPr>
          <w:rFonts w:asciiTheme="minorHAnsi" w:hAnsiTheme="minorHAnsi" w:cstheme="minorHAnsi"/>
          <w:bCs/>
          <w:lang w:val="fr-FR"/>
        </w:rPr>
      </w:pPr>
      <w:r w:rsidRPr="00720475">
        <w:rPr>
          <w:rFonts w:asciiTheme="minorHAnsi" w:hAnsiTheme="minorHAnsi" w:cstheme="minorHAnsi"/>
          <w:bCs/>
          <w:lang w:val="fr-FR"/>
        </w:rPr>
        <w:t xml:space="preserve">AINS : </w:t>
      </w:r>
      <w:r w:rsidR="007C383C">
        <w:rPr>
          <w:rFonts w:asciiTheme="minorHAnsi" w:hAnsiTheme="minorHAnsi" w:cstheme="minorHAnsi"/>
          <w:bCs/>
          <w:lang w:val="fr-FR"/>
        </w:rPr>
        <w:tab/>
      </w:r>
      <w:r w:rsidRPr="00720475">
        <w:rPr>
          <w:rFonts w:asciiTheme="minorHAnsi" w:hAnsiTheme="minorHAnsi" w:cstheme="minorHAnsi"/>
          <w:bCs/>
          <w:lang w:val="fr-FR"/>
        </w:rPr>
        <w:t xml:space="preserve">anti-inflammatoires non stéroïdiens </w:t>
      </w:r>
    </w:p>
    <w:p w14:paraId="26980B5D" w14:textId="77777777" w:rsidR="007C383C" w:rsidRDefault="00720475" w:rsidP="00121BFE">
      <w:pPr>
        <w:contextualSpacing/>
        <w:jc w:val="both"/>
        <w:rPr>
          <w:rFonts w:asciiTheme="minorHAnsi" w:hAnsiTheme="minorHAnsi" w:cstheme="minorHAnsi"/>
          <w:bCs/>
          <w:lang w:val="fr-FR"/>
        </w:rPr>
      </w:pPr>
      <w:r w:rsidRPr="00720475">
        <w:rPr>
          <w:rFonts w:asciiTheme="minorHAnsi" w:hAnsiTheme="minorHAnsi" w:cstheme="minorHAnsi"/>
          <w:bCs/>
          <w:lang w:val="fr-FR"/>
        </w:rPr>
        <w:t xml:space="preserve">NYHA : Association de cardiologie de New York </w:t>
      </w:r>
    </w:p>
    <w:p w14:paraId="44BDE061" w14:textId="77777777" w:rsidR="007C383C" w:rsidRDefault="00720475" w:rsidP="00121BFE">
      <w:pPr>
        <w:contextualSpacing/>
        <w:jc w:val="both"/>
        <w:rPr>
          <w:rFonts w:asciiTheme="minorHAnsi" w:hAnsiTheme="minorHAnsi" w:cstheme="minorHAnsi"/>
          <w:bCs/>
          <w:lang w:val="fr-FR"/>
        </w:rPr>
      </w:pPr>
      <w:r w:rsidRPr="00720475">
        <w:rPr>
          <w:rFonts w:asciiTheme="minorHAnsi" w:hAnsiTheme="minorHAnsi" w:cstheme="minorHAnsi"/>
          <w:bCs/>
          <w:lang w:val="fr-FR"/>
        </w:rPr>
        <w:t xml:space="preserve">OAC : </w:t>
      </w:r>
      <w:r w:rsidR="007C383C">
        <w:rPr>
          <w:rFonts w:asciiTheme="minorHAnsi" w:hAnsiTheme="minorHAnsi" w:cstheme="minorHAnsi"/>
          <w:bCs/>
          <w:lang w:val="fr-FR"/>
        </w:rPr>
        <w:tab/>
      </w:r>
      <w:r w:rsidRPr="00720475">
        <w:rPr>
          <w:rFonts w:asciiTheme="minorHAnsi" w:hAnsiTheme="minorHAnsi" w:cstheme="minorHAnsi"/>
          <w:bCs/>
          <w:lang w:val="fr-FR"/>
        </w:rPr>
        <w:t xml:space="preserve">Anticoagulant oral </w:t>
      </w:r>
    </w:p>
    <w:p w14:paraId="162C4F4F" w14:textId="77777777" w:rsidR="007C383C" w:rsidRDefault="00720475" w:rsidP="00121BFE">
      <w:pPr>
        <w:contextualSpacing/>
        <w:jc w:val="both"/>
        <w:rPr>
          <w:rFonts w:asciiTheme="minorHAnsi" w:hAnsiTheme="minorHAnsi" w:cstheme="minorHAnsi"/>
          <w:bCs/>
          <w:lang w:val="fr-FR"/>
        </w:rPr>
      </w:pPr>
      <w:r w:rsidRPr="00720475">
        <w:rPr>
          <w:rFonts w:asciiTheme="minorHAnsi" w:hAnsiTheme="minorHAnsi" w:cstheme="minorHAnsi"/>
          <w:bCs/>
          <w:lang w:val="fr-FR"/>
        </w:rPr>
        <w:t xml:space="preserve">PMR : </w:t>
      </w:r>
      <w:r w:rsidR="007C383C">
        <w:rPr>
          <w:rFonts w:asciiTheme="minorHAnsi" w:hAnsiTheme="minorHAnsi" w:cstheme="minorHAnsi"/>
          <w:bCs/>
          <w:lang w:val="fr-FR"/>
        </w:rPr>
        <w:tab/>
      </w:r>
      <w:r w:rsidRPr="00720475">
        <w:rPr>
          <w:rFonts w:asciiTheme="minorHAnsi" w:hAnsiTheme="minorHAnsi" w:cstheme="minorHAnsi"/>
          <w:bCs/>
          <w:lang w:val="fr-FR"/>
        </w:rPr>
        <w:t xml:space="preserve">Résidu post-mictionnel </w:t>
      </w:r>
    </w:p>
    <w:p w14:paraId="234A43C1" w14:textId="77777777" w:rsidR="007C383C" w:rsidRDefault="00720475" w:rsidP="00121BFE">
      <w:pPr>
        <w:contextualSpacing/>
        <w:jc w:val="both"/>
        <w:rPr>
          <w:rFonts w:asciiTheme="minorHAnsi" w:hAnsiTheme="minorHAnsi" w:cstheme="minorHAnsi"/>
          <w:bCs/>
          <w:lang w:val="fr-FR"/>
        </w:rPr>
      </w:pPr>
      <w:proofErr w:type="gramStart"/>
      <w:r w:rsidRPr="00720475">
        <w:rPr>
          <w:rFonts w:asciiTheme="minorHAnsi" w:hAnsiTheme="minorHAnsi" w:cstheme="minorHAnsi"/>
          <w:bCs/>
          <w:lang w:val="fr-FR"/>
        </w:rPr>
        <w:t>pO</w:t>
      </w:r>
      <w:proofErr w:type="gramEnd"/>
      <w:r w:rsidRPr="00720475">
        <w:rPr>
          <w:rFonts w:asciiTheme="minorHAnsi" w:hAnsiTheme="minorHAnsi" w:cstheme="minorHAnsi"/>
          <w:bCs/>
          <w:lang w:val="fr-FR"/>
        </w:rPr>
        <w:t xml:space="preserve">2 : </w:t>
      </w:r>
      <w:r w:rsidR="007C383C">
        <w:rPr>
          <w:rFonts w:asciiTheme="minorHAnsi" w:hAnsiTheme="minorHAnsi" w:cstheme="minorHAnsi"/>
          <w:bCs/>
          <w:lang w:val="fr-FR"/>
        </w:rPr>
        <w:tab/>
      </w:r>
      <w:r w:rsidRPr="00720475">
        <w:rPr>
          <w:rFonts w:asciiTheme="minorHAnsi" w:hAnsiTheme="minorHAnsi" w:cstheme="minorHAnsi"/>
          <w:bCs/>
          <w:lang w:val="fr-FR"/>
        </w:rPr>
        <w:t xml:space="preserve">pression partielle d'oxygène </w:t>
      </w:r>
    </w:p>
    <w:p w14:paraId="02169B46" w14:textId="77777777" w:rsidR="007C383C" w:rsidRDefault="00720475" w:rsidP="00121BFE">
      <w:pPr>
        <w:contextualSpacing/>
        <w:jc w:val="both"/>
        <w:rPr>
          <w:rFonts w:asciiTheme="minorHAnsi" w:hAnsiTheme="minorHAnsi" w:cstheme="minorHAnsi"/>
          <w:bCs/>
          <w:lang w:val="fr-FR"/>
        </w:rPr>
      </w:pPr>
      <w:r w:rsidRPr="00720475">
        <w:rPr>
          <w:rFonts w:asciiTheme="minorHAnsi" w:hAnsiTheme="minorHAnsi" w:cstheme="minorHAnsi"/>
          <w:bCs/>
          <w:lang w:val="fr-FR"/>
        </w:rPr>
        <w:t xml:space="preserve">IPP : </w:t>
      </w:r>
      <w:r w:rsidR="007C383C">
        <w:rPr>
          <w:rFonts w:asciiTheme="minorHAnsi" w:hAnsiTheme="minorHAnsi" w:cstheme="minorHAnsi"/>
          <w:bCs/>
          <w:lang w:val="fr-FR"/>
        </w:rPr>
        <w:tab/>
      </w:r>
      <w:r w:rsidRPr="00720475">
        <w:rPr>
          <w:rFonts w:asciiTheme="minorHAnsi" w:hAnsiTheme="minorHAnsi" w:cstheme="minorHAnsi"/>
          <w:bCs/>
          <w:lang w:val="fr-FR"/>
        </w:rPr>
        <w:t xml:space="preserve">Inhibiteurs de la pompe à protons </w:t>
      </w:r>
    </w:p>
    <w:p w14:paraId="66CDFD15" w14:textId="77777777" w:rsidR="007C383C" w:rsidRDefault="00720475" w:rsidP="00121BFE">
      <w:pPr>
        <w:contextualSpacing/>
        <w:jc w:val="both"/>
        <w:rPr>
          <w:rFonts w:asciiTheme="minorHAnsi" w:hAnsiTheme="minorHAnsi" w:cstheme="minorHAnsi"/>
          <w:bCs/>
          <w:lang w:val="fr-FR"/>
        </w:rPr>
      </w:pPr>
      <w:proofErr w:type="spellStart"/>
      <w:r w:rsidRPr="00720475">
        <w:rPr>
          <w:rFonts w:asciiTheme="minorHAnsi" w:hAnsiTheme="minorHAnsi" w:cstheme="minorHAnsi"/>
          <w:bCs/>
          <w:lang w:val="fr-FR"/>
        </w:rPr>
        <w:t>QTc</w:t>
      </w:r>
      <w:proofErr w:type="spellEnd"/>
      <w:r w:rsidRPr="00720475">
        <w:rPr>
          <w:rFonts w:asciiTheme="minorHAnsi" w:hAnsiTheme="minorHAnsi" w:cstheme="minorHAnsi"/>
          <w:bCs/>
          <w:lang w:val="fr-FR"/>
        </w:rPr>
        <w:t xml:space="preserve"> : </w:t>
      </w:r>
      <w:r w:rsidR="007C383C">
        <w:rPr>
          <w:rFonts w:asciiTheme="minorHAnsi" w:hAnsiTheme="minorHAnsi" w:cstheme="minorHAnsi"/>
          <w:bCs/>
          <w:lang w:val="fr-FR"/>
        </w:rPr>
        <w:tab/>
      </w:r>
      <w:r w:rsidRPr="00720475">
        <w:rPr>
          <w:rFonts w:asciiTheme="minorHAnsi" w:hAnsiTheme="minorHAnsi" w:cstheme="minorHAnsi"/>
          <w:bCs/>
          <w:lang w:val="fr-FR"/>
        </w:rPr>
        <w:t xml:space="preserve">intervalle QT corrigé </w:t>
      </w:r>
    </w:p>
    <w:p w14:paraId="1E22F7B8" w14:textId="63B6DB5A" w:rsidR="007C383C" w:rsidRDefault="004E7AFF" w:rsidP="00121BFE">
      <w:pPr>
        <w:contextualSpacing/>
        <w:jc w:val="both"/>
        <w:rPr>
          <w:rFonts w:asciiTheme="minorHAnsi" w:hAnsiTheme="minorHAnsi" w:cstheme="minorHAnsi"/>
          <w:bCs/>
          <w:lang w:val="fr-FR"/>
        </w:rPr>
      </w:pPr>
      <w:proofErr w:type="gramStart"/>
      <w:r>
        <w:rPr>
          <w:rFonts w:asciiTheme="minorHAnsi" w:hAnsiTheme="minorHAnsi" w:cstheme="minorHAnsi"/>
          <w:bCs/>
          <w:lang w:val="fr-FR"/>
        </w:rPr>
        <w:t>SRA</w:t>
      </w:r>
      <w:r w:rsidR="00720475" w:rsidRPr="00720475">
        <w:rPr>
          <w:rFonts w:asciiTheme="minorHAnsi" w:hAnsiTheme="minorHAnsi" w:cstheme="minorHAnsi"/>
          <w:bCs/>
          <w:lang w:val="fr-FR"/>
        </w:rPr>
        <w:t>:</w:t>
      </w:r>
      <w:proofErr w:type="gramEnd"/>
      <w:r w:rsidR="00720475" w:rsidRPr="00720475">
        <w:rPr>
          <w:rFonts w:asciiTheme="minorHAnsi" w:hAnsiTheme="minorHAnsi" w:cstheme="minorHAnsi"/>
          <w:bCs/>
          <w:lang w:val="fr-FR"/>
        </w:rPr>
        <w:t xml:space="preserve"> </w:t>
      </w:r>
      <w:r w:rsidR="007C383C">
        <w:rPr>
          <w:rFonts w:asciiTheme="minorHAnsi" w:hAnsiTheme="minorHAnsi" w:cstheme="minorHAnsi"/>
          <w:bCs/>
          <w:lang w:val="fr-FR"/>
        </w:rPr>
        <w:tab/>
      </w:r>
      <w:r w:rsidR="00720475" w:rsidRPr="00720475">
        <w:rPr>
          <w:rFonts w:asciiTheme="minorHAnsi" w:hAnsiTheme="minorHAnsi" w:cstheme="minorHAnsi"/>
          <w:bCs/>
          <w:lang w:val="fr-FR"/>
        </w:rPr>
        <w:t xml:space="preserve">système rénine-angiotensine </w:t>
      </w:r>
    </w:p>
    <w:p w14:paraId="38C7979D" w14:textId="77777777" w:rsidR="007C383C" w:rsidRDefault="00720475" w:rsidP="00121BFE">
      <w:pPr>
        <w:contextualSpacing/>
        <w:jc w:val="both"/>
        <w:rPr>
          <w:rFonts w:asciiTheme="minorHAnsi" w:hAnsiTheme="minorHAnsi" w:cstheme="minorHAnsi"/>
          <w:bCs/>
          <w:lang w:val="fr-FR"/>
        </w:rPr>
      </w:pPr>
      <w:r w:rsidRPr="00720475">
        <w:rPr>
          <w:rFonts w:asciiTheme="minorHAnsi" w:hAnsiTheme="minorHAnsi" w:cstheme="minorHAnsi"/>
          <w:bCs/>
          <w:lang w:val="fr-FR"/>
        </w:rPr>
        <w:t xml:space="preserve">SGLT-2 : </w:t>
      </w:r>
      <w:proofErr w:type="spellStart"/>
      <w:r w:rsidRPr="00720475">
        <w:rPr>
          <w:rFonts w:asciiTheme="minorHAnsi" w:hAnsiTheme="minorHAnsi" w:cstheme="minorHAnsi"/>
          <w:bCs/>
          <w:lang w:val="fr-FR"/>
        </w:rPr>
        <w:t>cotransporteur</w:t>
      </w:r>
      <w:proofErr w:type="spellEnd"/>
      <w:r w:rsidRPr="00720475">
        <w:rPr>
          <w:rFonts w:asciiTheme="minorHAnsi" w:hAnsiTheme="minorHAnsi" w:cstheme="minorHAnsi"/>
          <w:bCs/>
          <w:lang w:val="fr-FR"/>
        </w:rPr>
        <w:t xml:space="preserve"> sodium-glucose-2 </w:t>
      </w:r>
    </w:p>
    <w:p w14:paraId="7420E5B4" w14:textId="77777777" w:rsidR="007C383C" w:rsidRDefault="00720475" w:rsidP="00121BFE">
      <w:pPr>
        <w:contextualSpacing/>
        <w:jc w:val="both"/>
        <w:rPr>
          <w:rFonts w:asciiTheme="minorHAnsi" w:hAnsiTheme="minorHAnsi" w:cstheme="minorHAnsi"/>
          <w:bCs/>
          <w:lang w:val="fr-FR"/>
        </w:rPr>
      </w:pPr>
      <w:r w:rsidRPr="00720475">
        <w:rPr>
          <w:rFonts w:asciiTheme="minorHAnsi" w:hAnsiTheme="minorHAnsi" w:cstheme="minorHAnsi"/>
          <w:bCs/>
          <w:lang w:val="fr-FR"/>
        </w:rPr>
        <w:t xml:space="preserve">IRSN : inhibiteurs de la recapture de la sérotonine et de la noradrénaline </w:t>
      </w:r>
    </w:p>
    <w:p w14:paraId="6D3AE013" w14:textId="5C10307C" w:rsidR="00720475" w:rsidRPr="00720475" w:rsidRDefault="00720475" w:rsidP="00121BFE">
      <w:pPr>
        <w:contextualSpacing/>
        <w:jc w:val="both"/>
        <w:rPr>
          <w:rFonts w:asciiTheme="minorHAnsi" w:hAnsiTheme="minorHAnsi" w:cstheme="minorHAnsi"/>
          <w:bCs/>
          <w:lang w:val="fr-FR"/>
        </w:rPr>
        <w:sectPr w:rsidR="00720475" w:rsidRPr="00720475" w:rsidSect="003E168B">
          <w:pgSz w:w="11906" w:h="16838"/>
          <w:pgMar w:top="1417" w:right="1417" w:bottom="1417" w:left="1417" w:header="708" w:footer="708" w:gutter="0"/>
          <w:cols w:space="708"/>
          <w:docGrid w:linePitch="360"/>
        </w:sectPr>
      </w:pPr>
      <w:r w:rsidRPr="00720475">
        <w:rPr>
          <w:rFonts w:asciiTheme="minorHAnsi" w:hAnsiTheme="minorHAnsi" w:cstheme="minorHAnsi"/>
          <w:bCs/>
          <w:lang w:val="fr-FR"/>
        </w:rPr>
        <w:t>ISRS : inhibiteurs sélectifs de la recapture de la sérotonine</w:t>
      </w:r>
    </w:p>
    <w:tbl>
      <w:tblPr>
        <w:tblpPr w:leftFromText="141" w:rightFromText="141" w:vertAnchor="text" w:horzAnchor="margin" w:tblpY="-1030"/>
        <w:tblW w:w="6877" w:type="dxa"/>
        <w:tblCellMar>
          <w:left w:w="70" w:type="dxa"/>
          <w:right w:w="70" w:type="dxa"/>
        </w:tblCellMar>
        <w:tblLook w:val="04A0" w:firstRow="1" w:lastRow="0" w:firstColumn="1" w:lastColumn="0" w:noHBand="0" w:noVBand="1"/>
      </w:tblPr>
      <w:tblGrid>
        <w:gridCol w:w="6877"/>
      </w:tblGrid>
      <w:tr w:rsidR="00FC26A6" w:rsidRPr="00E21AE0" w14:paraId="6FF6A4F9" w14:textId="77777777" w:rsidTr="00720475">
        <w:trPr>
          <w:trHeight w:val="269"/>
        </w:trPr>
        <w:tc>
          <w:tcPr>
            <w:tcW w:w="6877" w:type="dxa"/>
            <w:tcBorders>
              <w:top w:val="nil"/>
              <w:left w:val="nil"/>
              <w:bottom w:val="nil"/>
              <w:right w:val="nil"/>
            </w:tcBorders>
            <w:shd w:val="clear" w:color="auto" w:fill="auto"/>
            <w:noWrap/>
            <w:vAlign w:val="bottom"/>
          </w:tcPr>
          <w:p w14:paraId="4C518F63" w14:textId="7FCDEAE9" w:rsidR="00FC26A6" w:rsidRPr="00E21AE0" w:rsidRDefault="00FC26A6" w:rsidP="00FC26A6">
            <w:pPr>
              <w:rPr>
                <w:rFonts w:ascii="Calibri" w:hAnsi="Calibri"/>
                <w:lang w:val="fr-FR"/>
              </w:rPr>
            </w:pPr>
          </w:p>
        </w:tc>
      </w:tr>
      <w:tr w:rsidR="00FC26A6" w:rsidRPr="00E21AE0" w14:paraId="50587585" w14:textId="77777777" w:rsidTr="00720475">
        <w:trPr>
          <w:trHeight w:val="269"/>
        </w:trPr>
        <w:tc>
          <w:tcPr>
            <w:tcW w:w="6877" w:type="dxa"/>
            <w:tcBorders>
              <w:top w:val="nil"/>
              <w:left w:val="nil"/>
              <w:bottom w:val="nil"/>
              <w:right w:val="nil"/>
            </w:tcBorders>
            <w:shd w:val="clear" w:color="auto" w:fill="auto"/>
            <w:noWrap/>
            <w:vAlign w:val="bottom"/>
          </w:tcPr>
          <w:p w14:paraId="6423E6C1" w14:textId="19B9FAF0" w:rsidR="00FC26A6" w:rsidRPr="00E21AE0" w:rsidRDefault="00FC26A6" w:rsidP="00FC26A6">
            <w:pPr>
              <w:rPr>
                <w:rFonts w:ascii="Calibri" w:hAnsi="Calibri"/>
                <w:lang w:val="fr-FR"/>
              </w:rPr>
            </w:pPr>
          </w:p>
        </w:tc>
      </w:tr>
      <w:tr w:rsidR="00FC26A6" w:rsidRPr="00E21AE0" w14:paraId="5125DA48" w14:textId="77777777" w:rsidTr="00720475">
        <w:trPr>
          <w:trHeight w:val="269"/>
        </w:trPr>
        <w:tc>
          <w:tcPr>
            <w:tcW w:w="6877" w:type="dxa"/>
            <w:tcBorders>
              <w:top w:val="nil"/>
              <w:left w:val="nil"/>
              <w:bottom w:val="nil"/>
              <w:right w:val="nil"/>
            </w:tcBorders>
            <w:shd w:val="clear" w:color="auto" w:fill="auto"/>
            <w:noWrap/>
            <w:vAlign w:val="bottom"/>
          </w:tcPr>
          <w:p w14:paraId="036EEA79" w14:textId="0EDC7A45" w:rsidR="00FC26A6" w:rsidRPr="00E21AE0" w:rsidRDefault="00FC26A6" w:rsidP="00FC26A6">
            <w:pPr>
              <w:rPr>
                <w:rFonts w:ascii="Calibri" w:hAnsi="Calibri"/>
                <w:lang w:val="fr-FR"/>
              </w:rPr>
            </w:pPr>
          </w:p>
        </w:tc>
      </w:tr>
      <w:tr w:rsidR="00FC26A6" w:rsidRPr="00E21AE0" w14:paraId="41DC5DDF" w14:textId="77777777" w:rsidTr="00720475">
        <w:trPr>
          <w:trHeight w:val="269"/>
        </w:trPr>
        <w:tc>
          <w:tcPr>
            <w:tcW w:w="6877" w:type="dxa"/>
            <w:tcBorders>
              <w:top w:val="nil"/>
              <w:left w:val="nil"/>
              <w:bottom w:val="nil"/>
              <w:right w:val="nil"/>
            </w:tcBorders>
            <w:shd w:val="clear" w:color="auto" w:fill="auto"/>
            <w:noWrap/>
            <w:vAlign w:val="bottom"/>
          </w:tcPr>
          <w:p w14:paraId="3433CA15" w14:textId="3B4B5B92" w:rsidR="00FC26A6" w:rsidRPr="00E21AE0" w:rsidRDefault="00FC26A6" w:rsidP="00FC26A6">
            <w:pPr>
              <w:rPr>
                <w:rFonts w:ascii="Calibri" w:hAnsi="Calibri"/>
                <w:lang w:val="fr-FR"/>
              </w:rPr>
            </w:pPr>
          </w:p>
        </w:tc>
      </w:tr>
      <w:tr w:rsidR="00FC26A6" w:rsidRPr="00E21AE0" w14:paraId="2326D158" w14:textId="77777777" w:rsidTr="00720475">
        <w:trPr>
          <w:trHeight w:val="269"/>
        </w:trPr>
        <w:tc>
          <w:tcPr>
            <w:tcW w:w="6877" w:type="dxa"/>
            <w:tcBorders>
              <w:top w:val="nil"/>
              <w:left w:val="nil"/>
              <w:bottom w:val="nil"/>
              <w:right w:val="nil"/>
            </w:tcBorders>
            <w:shd w:val="clear" w:color="auto" w:fill="auto"/>
            <w:noWrap/>
            <w:vAlign w:val="bottom"/>
          </w:tcPr>
          <w:p w14:paraId="3E0A1079" w14:textId="5504B3D9" w:rsidR="00FC26A6" w:rsidRPr="00E21AE0" w:rsidRDefault="00FC26A6" w:rsidP="00FC26A6">
            <w:pPr>
              <w:rPr>
                <w:rFonts w:ascii="Calibri" w:hAnsi="Calibri"/>
                <w:lang w:val="fr-FR"/>
              </w:rPr>
            </w:pPr>
          </w:p>
        </w:tc>
      </w:tr>
      <w:tr w:rsidR="00FC26A6" w:rsidRPr="00E21AE0" w14:paraId="7D4EC7F4" w14:textId="77777777" w:rsidTr="00720475">
        <w:trPr>
          <w:trHeight w:val="269"/>
        </w:trPr>
        <w:tc>
          <w:tcPr>
            <w:tcW w:w="6877" w:type="dxa"/>
            <w:tcBorders>
              <w:top w:val="nil"/>
              <w:left w:val="nil"/>
              <w:bottom w:val="nil"/>
              <w:right w:val="nil"/>
            </w:tcBorders>
            <w:shd w:val="clear" w:color="auto" w:fill="auto"/>
            <w:noWrap/>
            <w:vAlign w:val="bottom"/>
          </w:tcPr>
          <w:p w14:paraId="2339D937" w14:textId="3074746F" w:rsidR="00FC26A6" w:rsidRPr="00E21AE0" w:rsidRDefault="00FC26A6" w:rsidP="00FC26A6">
            <w:pPr>
              <w:rPr>
                <w:rFonts w:ascii="Calibri" w:hAnsi="Calibri"/>
                <w:lang w:val="fr-FR"/>
              </w:rPr>
            </w:pPr>
          </w:p>
        </w:tc>
      </w:tr>
      <w:tr w:rsidR="00FC26A6" w:rsidRPr="00E21AE0" w14:paraId="58FE05B3" w14:textId="77777777" w:rsidTr="00720475">
        <w:trPr>
          <w:trHeight w:val="269"/>
        </w:trPr>
        <w:tc>
          <w:tcPr>
            <w:tcW w:w="6877" w:type="dxa"/>
            <w:tcBorders>
              <w:top w:val="nil"/>
              <w:left w:val="nil"/>
              <w:bottom w:val="nil"/>
              <w:right w:val="nil"/>
            </w:tcBorders>
            <w:shd w:val="clear" w:color="auto" w:fill="auto"/>
            <w:noWrap/>
            <w:vAlign w:val="bottom"/>
          </w:tcPr>
          <w:p w14:paraId="5259C597" w14:textId="7EA38FAD" w:rsidR="00FC26A6" w:rsidRPr="00E21AE0" w:rsidRDefault="00FC26A6" w:rsidP="00FC26A6">
            <w:pPr>
              <w:rPr>
                <w:rFonts w:ascii="Calibri" w:hAnsi="Calibri"/>
                <w:lang w:val="fr-FR"/>
              </w:rPr>
            </w:pPr>
          </w:p>
        </w:tc>
      </w:tr>
      <w:tr w:rsidR="00FC26A6" w:rsidRPr="00E21AE0" w14:paraId="002375DC" w14:textId="77777777" w:rsidTr="00720475">
        <w:trPr>
          <w:trHeight w:val="269"/>
        </w:trPr>
        <w:tc>
          <w:tcPr>
            <w:tcW w:w="6877" w:type="dxa"/>
            <w:tcBorders>
              <w:top w:val="nil"/>
              <w:left w:val="nil"/>
              <w:bottom w:val="nil"/>
              <w:right w:val="nil"/>
            </w:tcBorders>
            <w:shd w:val="clear" w:color="auto" w:fill="auto"/>
            <w:noWrap/>
            <w:vAlign w:val="bottom"/>
          </w:tcPr>
          <w:p w14:paraId="01BB0E62" w14:textId="63CBD961" w:rsidR="00FC26A6" w:rsidRPr="00E21AE0" w:rsidRDefault="00FC26A6" w:rsidP="00FC26A6">
            <w:pPr>
              <w:rPr>
                <w:rFonts w:ascii="Calibri" w:hAnsi="Calibri"/>
                <w:lang w:val="fr-FR"/>
              </w:rPr>
            </w:pPr>
          </w:p>
        </w:tc>
      </w:tr>
      <w:tr w:rsidR="00FC26A6" w:rsidRPr="00E21AE0" w14:paraId="3E930219" w14:textId="77777777" w:rsidTr="00720475">
        <w:trPr>
          <w:trHeight w:val="269"/>
        </w:trPr>
        <w:tc>
          <w:tcPr>
            <w:tcW w:w="6877" w:type="dxa"/>
            <w:tcBorders>
              <w:top w:val="nil"/>
              <w:left w:val="nil"/>
              <w:bottom w:val="nil"/>
              <w:right w:val="nil"/>
            </w:tcBorders>
            <w:shd w:val="clear" w:color="auto" w:fill="auto"/>
            <w:noWrap/>
            <w:vAlign w:val="bottom"/>
          </w:tcPr>
          <w:p w14:paraId="562AAF46" w14:textId="1E5F500F" w:rsidR="00FC26A6" w:rsidRPr="00E21AE0" w:rsidRDefault="00FC26A6" w:rsidP="00FC26A6">
            <w:pPr>
              <w:rPr>
                <w:rFonts w:ascii="Calibri" w:hAnsi="Calibri"/>
                <w:lang w:val="fr-FR"/>
              </w:rPr>
            </w:pPr>
          </w:p>
        </w:tc>
      </w:tr>
      <w:tr w:rsidR="00FC26A6" w:rsidRPr="00E21AE0" w14:paraId="0C15F749" w14:textId="77777777" w:rsidTr="00720475">
        <w:trPr>
          <w:trHeight w:val="269"/>
        </w:trPr>
        <w:tc>
          <w:tcPr>
            <w:tcW w:w="6877" w:type="dxa"/>
            <w:tcBorders>
              <w:top w:val="nil"/>
              <w:left w:val="nil"/>
              <w:bottom w:val="nil"/>
              <w:right w:val="nil"/>
            </w:tcBorders>
            <w:shd w:val="clear" w:color="auto" w:fill="auto"/>
            <w:noWrap/>
            <w:vAlign w:val="bottom"/>
          </w:tcPr>
          <w:p w14:paraId="28C4419D" w14:textId="498EFF8E" w:rsidR="00FC26A6" w:rsidRPr="00E21AE0" w:rsidRDefault="00FC26A6" w:rsidP="00FC26A6">
            <w:pPr>
              <w:rPr>
                <w:rFonts w:ascii="Calibri" w:hAnsi="Calibri"/>
                <w:lang w:val="fr-FR"/>
              </w:rPr>
            </w:pPr>
          </w:p>
        </w:tc>
      </w:tr>
      <w:tr w:rsidR="00FC26A6" w:rsidRPr="00E21AE0" w14:paraId="7172DB5E" w14:textId="77777777" w:rsidTr="00720475">
        <w:trPr>
          <w:trHeight w:val="269"/>
        </w:trPr>
        <w:tc>
          <w:tcPr>
            <w:tcW w:w="6877" w:type="dxa"/>
            <w:tcBorders>
              <w:top w:val="nil"/>
              <w:left w:val="nil"/>
              <w:bottom w:val="nil"/>
              <w:right w:val="nil"/>
            </w:tcBorders>
            <w:shd w:val="clear" w:color="auto" w:fill="auto"/>
            <w:noWrap/>
            <w:vAlign w:val="bottom"/>
          </w:tcPr>
          <w:p w14:paraId="41BC576E" w14:textId="0DEEB598" w:rsidR="00FC26A6" w:rsidRPr="00E21AE0" w:rsidRDefault="00FC26A6" w:rsidP="00FC26A6">
            <w:pPr>
              <w:rPr>
                <w:rFonts w:ascii="Calibri" w:hAnsi="Calibri"/>
                <w:lang w:val="fr-FR"/>
              </w:rPr>
            </w:pPr>
          </w:p>
        </w:tc>
      </w:tr>
      <w:tr w:rsidR="00FC26A6" w:rsidRPr="00E21AE0" w14:paraId="3C23AA1A" w14:textId="77777777" w:rsidTr="00720475">
        <w:trPr>
          <w:trHeight w:val="269"/>
        </w:trPr>
        <w:tc>
          <w:tcPr>
            <w:tcW w:w="6877" w:type="dxa"/>
            <w:tcBorders>
              <w:top w:val="nil"/>
              <w:left w:val="nil"/>
              <w:bottom w:val="nil"/>
              <w:right w:val="nil"/>
            </w:tcBorders>
            <w:shd w:val="clear" w:color="auto" w:fill="auto"/>
            <w:noWrap/>
            <w:vAlign w:val="bottom"/>
          </w:tcPr>
          <w:p w14:paraId="5E569F21" w14:textId="19B934E1" w:rsidR="00FC26A6" w:rsidRPr="00E21AE0" w:rsidRDefault="00FC26A6" w:rsidP="00FC26A6">
            <w:pPr>
              <w:rPr>
                <w:rFonts w:ascii="Calibri" w:hAnsi="Calibri"/>
                <w:lang w:val="fr-FR"/>
              </w:rPr>
            </w:pPr>
          </w:p>
        </w:tc>
      </w:tr>
      <w:tr w:rsidR="00FC26A6" w:rsidRPr="00E21AE0" w14:paraId="23B2AF8D" w14:textId="77777777" w:rsidTr="00720475">
        <w:trPr>
          <w:trHeight w:val="269"/>
        </w:trPr>
        <w:tc>
          <w:tcPr>
            <w:tcW w:w="6877" w:type="dxa"/>
            <w:tcBorders>
              <w:top w:val="nil"/>
              <w:left w:val="nil"/>
              <w:bottom w:val="nil"/>
              <w:right w:val="nil"/>
            </w:tcBorders>
            <w:shd w:val="clear" w:color="auto" w:fill="auto"/>
            <w:noWrap/>
            <w:vAlign w:val="bottom"/>
          </w:tcPr>
          <w:p w14:paraId="4E7CC587" w14:textId="712E591A" w:rsidR="00FC26A6" w:rsidRPr="00E21AE0" w:rsidRDefault="00FC26A6" w:rsidP="00FC26A6">
            <w:pPr>
              <w:rPr>
                <w:rFonts w:ascii="Calibri" w:hAnsi="Calibri"/>
                <w:lang w:val="fr-FR"/>
              </w:rPr>
            </w:pPr>
          </w:p>
        </w:tc>
      </w:tr>
      <w:tr w:rsidR="00FC26A6" w:rsidRPr="00E21AE0" w14:paraId="00AA0138" w14:textId="77777777" w:rsidTr="00720475">
        <w:trPr>
          <w:trHeight w:val="269"/>
        </w:trPr>
        <w:tc>
          <w:tcPr>
            <w:tcW w:w="6877" w:type="dxa"/>
            <w:tcBorders>
              <w:top w:val="nil"/>
              <w:left w:val="nil"/>
              <w:bottom w:val="nil"/>
              <w:right w:val="nil"/>
            </w:tcBorders>
            <w:shd w:val="clear" w:color="auto" w:fill="auto"/>
            <w:noWrap/>
            <w:vAlign w:val="bottom"/>
          </w:tcPr>
          <w:p w14:paraId="19057018" w14:textId="1A1D3195" w:rsidR="00FC26A6" w:rsidRPr="00E21AE0" w:rsidRDefault="00FC26A6" w:rsidP="00FC26A6">
            <w:pPr>
              <w:rPr>
                <w:rFonts w:ascii="Calibri" w:hAnsi="Calibri"/>
                <w:lang w:val="fr-FR"/>
              </w:rPr>
            </w:pPr>
          </w:p>
        </w:tc>
      </w:tr>
      <w:tr w:rsidR="00FC26A6" w:rsidRPr="00E21AE0" w14:paraId="5A3830CE" w14:textId="77777777" w:rsidTr="00720475">
        <w:trPr>
          <w:trHeight w:val="269"/>
        </w:trPr>
        <w:tc>
          <w:tcPr>
            <w:tcW w:w="6877" w:type="dxa"/>
            <w:tcBorders>
              <w:top w:val="nil"/>
              <w:left w:val="nil"/>
              <w:bottom w:val="nil"/>
              <w:right w:val="nil"/>
            </w:tcBorders>
            <w:shd w:val="clear" w:color="auto" w:fill="auto"/>
            <w:noWrap/>
            <w:vAlign w:val="bottom"/>
          </w:tcPr>
          <w:p w14:paraId="14FD732D" w14:textId="6D03F3C6" w:rsidR="00FC26A6" w:rsidRPr="00E21AE0" w:rsidRDefault="00FC26A6" w:rsidP="00FC26A6">
            <w:pPr>
              <w:rPr>
                <w:rFonts w:ascii="Calibri" w:hAnsi="Calibri"/>
                <w:lang w:val="fr-FR"/>
              </w:rPr>
            </w:pPr>
          </w:p>
        </w:tc>
      </w:tr>
      <w:tr w:rsidR="00FC26A6" w:rsidRPr="00E21AE0" w14:paraId="1CA4EB6E" w14:textId="77777777" w:rsidTr="00720475">
        <w:trPr>
          <w:trHeight w:val="269"/>
        </w:trPr>
        <w:tc>
          <w:tcPr>
            <w:tcW w:w="6877" w:type="dxa"/>
            <w:tcBorders>
              <w:top w:val="nil"/>
              <w:left w:val="nil"/>
              <w:bottom w:val="nil"/>
              <w:right w:val="nil"/>
            </w:tcBorders>
            <w:shd w:val="clear" w:color="auto" w:fill="auto"/>
            <w:noWrap/>
            <w:vAlign w:val="bottom"/>
          </w:tcPr>
          <w:p w14:paraId="38B541AA" w14:textId="4BABDA2E" w:rsidR="00FC26A6" w:rsidRPr="00E21AE0" w:rsidRDefault="00FC26A6" w:rsidP="00FC26A6">
            <w:pPr>
              <w:rPr>
                <w:rFonts w:ascii="Calibri" w:hAnsi="Calibri"/>
                <w:lang w:val="fr-FR"/>
              </w:rPr>
            </w:pPr>
          </w:p>
        </w:tc>
      </w:tr>
      <w:tr w:rsidR="00FC26A6" w:rsidRPr="00E21AE0" w14:paraId="5F22DF8C" w14:textId="77777777" w:rsidTr="00720475">
        <w:trPr>
          <w:trHeight w:val="269"/>
        </w:trPr>
        <w:tc>
          <w:tcPr>
            <w:tcW w:w="6877" w:type="dxa"/>
            <w:tcBorders>
              <w:top w:val="nil"/>
              <w:left w:val="nil"/>
              <w:bottom w:val="nil"/>
              <w:right w:val="nil"/>
            </w:tcBorders>
            <w:shd w:val="clear" w:color="auto" w:fill="auto"/>
            <w:noWrap/>
            <w:vAlign w:val="bottom"/>
          </w:tcPr>
          <w:p w14:paraId="7DE8982D" w14:textId="1ADDFC3E" w:rsidR="00FC26A6" w:rsidRPr="00E21AE0" w:rsidRDefault="00FC26A6" w:rsidP="00FC26A6">
            <w:pPr>
              <w:rPr>
                <w:rFonts w:ascii="Calibri" w:hAnsi="Calibri"/>
                <w:lang w:val="fr-FR"/>
              </w:rPr>
            </w:pPr>
          </w:p>
        </w:tc>
      </w:tr>
      <w:tr w:rsidR="00FC26A6" w:rsidRPr="00E21AE0" w14:paraId="4E103E26" w14:textId="77777777" w:rsidTr="00720475">
        <w:trPr>
          <w:trHeight w:val="269"/>
        </w:trPr>
        <w:tc>
          <w:tcPr>
            <w:tcW w:w="6877" w:type="dxa"/>
            <w:tcBorders>
              <w:top w:val="nil"/>
              <w:left w:val="nil"/>
              <w:bottom w:val="nil"/>
              <w:right w:val="nil"/>
            </w:tcBorders>
            <w:shd w:val="clear" w:color="auto" w:fill="auto"/>
            <w:noWrap/>
            <w:vAlign w:val="bottom"/>
          </w:tcPr>
          <w:p w14:paraId="57E6D899" w14:textId="51228EB8" w:rsidR="00FC26A6" w:rsidRPr="00E21AE0" w:rsidRDefault="00FC26A6" w:rsidP="00FC26A6">
            <w:pPr>
              <w:rPr>
                <w:rFonts w:ascii="Calibri" w:hAnsi="Calibri"/>
                <w:lang w:val="fr-FR"/>
              </w:rPr>
            </w:pPr>
          </w:p>
        </w:tc>
      </w:tr>
      <w:tr w:rsidR="00FC26A6" w:rsidRPr="00E21AE0" w14:paraId="3A500C88" w14:textId="77777777" w:rsidTr="00720475">
        <w:trPr>
          <w:trHeight w:val="269"/>
        </w:trPr>
        <w:tc>
          <w:tcPr>
            <w:tcW w:w="6877" w:type="dxa"/>
            <w:tcBorders>
              <w:top w:val="nil"/>
              <w:left w:val="nil"/>
              <w:bottom w:val="nil"/>
              <w:right w:val="nil"/>
            </w:tcBorders>
            <w:shd w:val="clear" w:color="auto" w:fill="auto"/>
            <w:noWrap/>
            <w:vAlign w:val="bottom"/>
          </w:tcPr>
          <w:p w14:paraId="602D061A" w14:textId="74D82E42" w:rsidR="00FC26A6" w:rsidRPr="00E21AE0" w:rsidRDefault="00FC26A6" w:rsidP="00FC26A6">
            <w:pPr>
              <w:rPr>
                <w:rFonts w:ascii="Calibri" w:hAnsi="Calibri"/>
                <w:lang w:val="fr-FR"/>
              </w:rPr>
            </w:pPr>
          </w:p>
        </w:tc>
      </w:tr>
      <w:tr w:rsidR="00FC26A6" w:rsidRPr="00E21AE0" w14:paraId="37EE3C99" w14:textId="77777777" w:rsidTr="00720475">
        <w:trPr>
          <w:trHeight w:val="269"/>
        </w:trPr>
        <w:tc>
          <w:tcPr>
            <w:tcW w:w="6877" w:type="dxa"/>
            <w:tcBorders>
              <w:top w:val="nil"/>
              <w:left w:val="nil"/>
              <w:bottom w:val="nil"/>
              <w:right w:val="nil"/>
            </w:tcBorders>
            <w:shd w:val="clear" w:color="auto" w:fill="auto"/>
            <w:noWrap/>
            <w:vAlign w:val="bottom"/>
          </w:tcPr>
          <w:p w14:paraId="2BFD8544" w14:textId="24738BB8" w:rsidR="00FC26A6" w:rsidRPr="00E21AE0" w:rsidRDefault="00FC26A6" w:rsidP="00FC26A6">
            <w:pPr>
              <w:rPr>
                <w:rFonts w:ascii="Calibri" w:hAnsi="Calibri"/>
                <w:lang w:val="fr-FR"/>
              </w:rPr>
            </w:pPr>
          </w:p>
        </w:tc>
      </w:tr>
      <w:tr w:rsidR="00FC26A6" w:rsidRPr="00E21AE0" w14:paraId="55AC372A" w14:textId="77777777" w:rsidTr="00720475">
        <w:trPr>
          <w:trHeight w:val="269"/>
        </w:trPr>
        <w:tc>
          <w:tcPr>
            <w:tcW w:w="6877" w:type="dxa"/>
            <w:tcBorders>
              <w:top w:val="nil"/>
              <w:left w:val="nil"/>
              <w:bottom w:val="nil"/>
              <w:right w:val="nil"/>
            </w:tcBorders>
            <w:shd w:val="clear" w:color="auto" w:fill="auto"/>
            <w:noWrap/>
            <w:vAlign w:val="bottom"/>
          </w:tcPr>
          <w:p w14:paraId="49978A94" w14:textId="7FC3E17D" w:rsidR="00FC26A6" w:rsidRPr="00E21AE0" w:rsidRDefault="00FC26A6" w:rsidP="00FC26A6">
            <w:pPr>
              <w:rPr>
                <w:rFonts w:ascii="Calibri" w:hAnsi="Calibri"/>
                <w:lang w:val="fr-FR"/>
              </w:rPr>
            </w:pPr>
          </w:p>
        </w:tc>
      </w:tr>
      <w:tr w:rsidR="00FC26A6" w:rsidRPr="00E21AE0" w14:paraId="3E2684C9" w14:textId="77777777" w:rsidTr="00720475">
        <w:trPr>
          <w:trHeight w:val="269"/>
        </w:trPr>
        <w:tc>
          <w:tcPr>
            <w:tcW w:w="6877" w:type="dxa"/>
            <w:tcBorders>
              <w:top w:val="nil"/>
              <w:left w:val="nil"/>
              <w:bottom w:val="nil"/>
              <w:right w:val="nil"/>
            </w:tcBorders>
            <w:shd w:val="clear" w:color="auto" w:fill="auto"/>
            <w:noWrap/>
            <w:vAlign w:val="bottom"/>
          </w:tcPr>
          <w:p w14:paraId="4ACD3992" w14:textId="18AE7BD6" w:rsidR="00FC26A6" w:rsidRPr="00E21AE0" w:rsidRDefault="00FC26A6" w:rsidP="00FC26A6">
            <w:pPr>
              <w:rPr>
                <w:rFonts w:ascii="Calibri" w:hAnsi="Calibri"/>
                <w:lang w:val="fr-FR"/>
              </w:rPr>
            </w:pPr>
          </w:p>
        </w:tc>
      </w:tr>
      <w:tr w:rsidR="00FC26A6" w:rsidRPr="00E21AE0" w14:paraId="0F37E908" w14:textId="77777777" w:rsidTr="00720475">
        <w:trPr>
          <w:trHeight w:val="269"/>
        </w:trPr>
        <w:tc>
          <w:tcPr>
            <w:tcW w:w="6877" w:type="dxa"/>
            <w:tcBorders>
              <w:top w:val="nil"/>
              <w:left w:val="nil"/>
              <w:bottom w:val="nil"/>
              <w:right w:val="nil"/>
            </w:tcBorders>
            <w:shd w:val="clear" w:color="auto" w:fill="auto"/>
            <w:noWrap/>
            <w:vAlign w:val="bottom"/>
          </w:tcPr>
          <w:p w14:paraId="66C0D853" w14:textId="78D18B4B" w:rsidR="00FC26A6" w:rsidRPr="00E21AE0" w:rsidRDefault="00FC26A6" w:rsidP="00FC26A6">
            <w:pPr>
              <w:rPr>
                <w:rFonts w:ascii="Calibri" w:hAnsi="Calibri"/>
                <w:lang w:val="fr-FR"/>
              </w:rPr>
            </w:pPr>
          </w:p>
        </w:tc>
      </w:tr>
      <w:tr w:rsidR="00FC26A6" w:rsidRPr="00E21AE0" w14:paraId="12A3E458" w14:textId="77777777" w:rsidTr="00720475">
        <w:trPr>
          <w:trHeight w:val="269"/>
        </w:trPr>
        <w:tc>
          <w:tcPr>
            <w:tcW w:w="6877" w:type="dxa"/>
            <w:tcBorders>
              <w:top w:val="nil"/>
              <w:left w:val="nil"/>
              <w:bottom w:val="nil"/>
              <w:right w:val="nil"/>
            </w:tcBorders>
            <w:shd w:val="clear" w:color="auto" w:fill="auto"/>
            <w:noWrap/>
            <w:vAlign w:val="bottom"/>
          </w:tcPr>
          <w:p w14:paraId="6EF39B90" w14:textId="19D9B230" w:rsidR="00FC26A6" w:rsidRPr="00E21AE0" w:rsidRDefault="00FC26A6" w:rsidP="00FC26A6">
            <w:pPr>
              <w:rPr>
                <w:rFonts w:ascii="Calibri" w:hAnsi="Calibri"/>
                <w:lang w:val="fr-FR"/>
              </w:rPr>
            </w:pPr>
          </w:p>
        </w:tc>
      </w:tr>
    </w:tbl>
    <w:p w14:paraId="06848E3F" w14:textId="77777777" w:rsidR="004F6EEC" w:rsidRPr="00E21AE0" w:rsidRDefault="004F6EEC" w:rsidP="0043334F">
      <w:pPr>
        <w:spacing w:after="160"/>
        <w:contextualSpacing/>
        <w:rPr>
          <w:rFonts w:asciiTheme="minorHAnsi" w:hAnsiTheme="minorHAnsi"/>
          <w:color w:val="000000" w:themeColor="text1"/>
          <w:sz w:val="22"/>
          <w:szCs w:val="22"/>
          <w:vertAlign w:val="superscript"/>
          <w:lang w:val="fr-FR"/>
        </w:rPr>
      </w:pPr>
    </w:p>
    <w:sectPr w:rsidR="004F6EEC" w:rsidRPr="00E21AE0" w:rsidSect="003E1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Helvetica Neue">
    <w:altName w:val="Times New Roma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1976"/>
    <w:multiLevelType w:val="multilevel"/>
    <w:tmpl w:val="002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B64D1"/>
    <w:multiLevelType w:val="hybridMultilevel"/>
    <w:tmpl w:val="CD9A3100"/>
    <w:lvl w:ilvl="0" w:tplc="C5BA260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D57070F"/>
    <w:multiLevelType w:val="hybridMultilevel"/>
    <w:tmpl w:val="EC44731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5956F4"/>
    <w:multiLevelType w:val="hybridMultilevel"/>
    <w:tmpl w:val="E4D8DB2A"/>
    <w:lvl w:ilvl="0" w:tplc="36FE1B8A">
      <w:start w:val="8"/>
      <w:numFmt w:val="bullet"/>
      <w:lvlText w:val=""/>
      <w:lvlJc w:val="left"/>
      <w:pPr>
        <w:ind w:left="720" w:hanging="360"/>
      </w:pPr>
      <w:rPr>
        <w:rFonts w:ascii="Symbol" w:eastAsiaTheme="minorEastAsia"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2006E8"/>
    <w:multiLevelType w:val="multilevel"/>
    <w:tmpl w:val="332A1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E24521"/>
    <w:multiLevelType w:val="multilevel"/>
    <w:tmpl w:val="67E09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CA1603"/>
    <w:multiLevelType w:val="multilevel"/>
    <w:tmpl w:val="2F2E4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741A2D"/>
    <w:multiLevelType w:val="hybridMultilevel"/>
    <w:tmpl w:val="ED102BF2"/>
    <w:lvl w:ilvl="0" w:tplc="16A4F3C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EB33A2"/>
    <w:multiLevelType w:val="multilevel"/>
    <w:tmpl w:val="20E08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AF30FB"/>
    <w:multiLevelType w:val="hybridMultilevel"/>
    <w:tmpl w:val="73306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410C3D"/>
    <w:multiLevelType w:val="multilevel"/>
    <w:tmpl w:val="6C322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985B02"/>
    <w:multiLevelType w:val="multilevel"/>
    <w:tmpl w:val="43543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6C1E43"/>
    <w:multiLevelType w:val="multilevel"/>
    <w:tmpl w:val="4E683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900095"/>
    <w:multiLevelType w:val="multilevel"/>
    <w:tmpl w:val="E7928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EE6178"/>
    <w:multiLevelType w:val="multilevel"/>
    <w:tmpl w:val="E7F66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E734F2"/>
    <w:multiLevelType w:val="hybridMultilevel"/>
    <w:tmpl w:val="7D688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36123C"/>
    <w:multiLevelType w:val="multilevel"/>
    <w:tmpl w:val="8346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491A2A"/>
    <w:multiLevelType w:val="multilevel"/>
    <w:tmpl w:val="F24E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041E0B"/>
    <w:multiLevelType w:val="multilevel"/>
    <w:tmpl w:val="9914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2E40DB"/>
    <w:multiLevelType w:val="multilevel"/>
    <w:tmpl w:val="99CCD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28752C"/>
    <w:multiLevelType w:val="multilevel"/>
    <w:tmpl w:val="D310B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872E55"/>
    <w:multiLevelType w:val="multilevel"/>
    <w:tmpl w:val="6B761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D30F27"/>
    <w:multiLevelType w:val="hybridMultilevel"/>
    <w:tmpl w:val="F7E6D4B6"/>
    <w:lvl w:ilvl="0" w:tplc="041F0001">
      <w:start w:val="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96E54DA"/>
    <w:multiLevelType w:val="multilevel"/>
    <w:tmpl w:val="EB7A6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131156"/>
    <w:multiLevelType w:val="multilevel"/>
    <w:tmpl w:val="A1A24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AE1825"/>
    <w:multiLevelType w:val="multilevel"/>
    <w:tmpl w:val="04323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C465DE"/>
    <w:multiLevelType w:val="hybridMultilevel"/>
    <w:tmpl w:val="382413DE"/>
    <w:lvl w:ilvl="0" w:tplc="000AFE02">
      <w:start w:val="2011"/>
      <w:numFmt w:val="bullet"/>
      <w:lvlText w:val=""/>
      <w:lvlJc w:val="left"/>
      <w:pPr>
        <w:ind w:left="720" w:hanging="360"/>
      </w:pPr>
      <w:rPr>
        <w:rFonts w:ascii="Symbol" w:eastAsiaTheme="minorEastAsia"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D173396"/>
    <w:multiLevelType w:val="hybridMultilevel"/>
    <w:tmpl w:val="A2F6568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15:restartNumberingAfterBreak="0">
    <w:nsid w:val="4FFE0002"/>
    <w:multiLevelType w:val="hybridMultilevel"/>
    <w:tmpl w:val="2A2E86BE"/>
    <w:lvl w:ilvl="0" w:tplc="D1F07BDC">
      <w:start w:val="8"/>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22F1B2C"/>
    <w:multiLevelType w:val="multilevel"/>
    <w:tmpl w:val="5DF4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384945"/>
    <w:multiLevelType w:val="hybridMultilevel"/>
    <w:tmpl w:val="E5AC8848"/>
    <w:lvl w:ilvl="0" w:tplc="FEA21AC2">
      <w:start w:val="30"/>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45049EF"/>
    <w:multiLevelType w:val="multilevel"/>
    <w:tmpl w:val="16CE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D37E79"/>
    <w:multiLevelType w:val="hybridMultilevel"/>
    <w:tmpl w:val="C714D806"/>
    <w:lvl w:ilvl="0" w:tplc="041F0001">
      <w:start w:val="1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C5622A8"/>
    <w:multiLevelType w:val="hybridMultilevel"/>
    <w:tmpl w:val="BFDE55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DCC20DA"/>
    <w:multiLevelType w:val="hybridMultilevel"/>
    <w:tmpl w:val="12EC57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FC43D0B"/>
    <w:multiLevelType w:val="hybridMultilevel"/>
    <w:tmpl w:val="936AF22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0CF2E18"/>
    <w:multiLevelType w:val="multilevel"/>
    <w:tmpl w:val="1EBEC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A22571"/>
    <w:multiLevelType w:val="multilevel"/>
    <w:tmpl w:val="54BC0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0870A7"/>
    <w:multiLevelType w:val="hybridMultilevel"/>
    <w:tmpl w:val="2A7E90CE"/>
    <w:lvl w:ilvl="0" w:tplc="CC382E9C">
      <w:start w:val="1"/>
      <w:numFmt w:val="bullet"/>
      <w:lvlText w:val="•"/>
      <w:lvlJc w:val="left"/>
      <w:pPr>
        <w:tabs>
          <w:tab w:val="num" w:pos="720"/>
        </w:tabs>
        <w:ind w:left="720" w:hanging="360"/>
      </w:pPr>
      <w:rPr>
        <w:rFonts w:ascii="Arial" w:hAnsi="Arial" w:hint="default"/>
      </w:rPr>
    </w:lvl>
    <w:lvl w:ilvl="1" w:tplc="7CD8C6BC" w:tentative="1">
      <w:start w:val="1"/>
      <w:numFmt w:val="bullet"/>
      <w:lvlText w:val="•"/>
      <w:lvlJc w:val="left"/>
      <w:pPr>
        <w:tabs>
          <w:tab w:val="num" w:pos="1440"/>
        </w:tabs>
        <w:ind w:left="1440" w:hanging="360"/>
      </w:pPr>
      <w:rPr>
        <w:rFonts w:ascii="Arial" w:hAnsi="Arial" w:hint="default"/>
      </w:rPr>
    </w:lvl>
    <w:lvl w:ilvl="2" w:tplc="9014CDB8" w:tentative="1">
      <w:start w:val="1"/>
      <w:numFmt w:val="bullet"/>
      <w:lvlText w:val="•"/>
      <w:lvlJc w:val="left"/>
      <w:pPr>
        <w:tabs>
          <w:tab w:val="num" w:pos="2160"/>
        </w:tabs>
        <w:ind w:left="2160" w:hanging="360"/>
      </w:pPr>
      <w:rPr>
        <w:rFonts w:ascii="Arial" w:hAnsi="Arial" w:hint="default"/>
      </w:rPr>
    </w:lvl>
    <w:lvl w:ilvl="3" w:tplc="A38EFF6E" w:tentative="1">
      <w:start w:val="1"/>
      <w:numFmt w:val="bullet"/>
      <w:lvlText w:val="•"/>
      <w:lvlJc w:val="left"/>
      <w:pPr>
        <w:tabs>
          <w:tab w:val="num" w:pos="2880"/>
        </w:tabs>
        <w:ind w:left="2880" w:hanging="360"/>
      </w:pPr>
      <w:rPr>
        <w:rFonts w:ascii="Arial" w:hAnsi="Arial" w:hint="default"/>
      </w:rPr>
    </w:lvl>
    <w:lvl w:ilvl="4" w:tplc="EC423EC0" w:tentative="1">
      <w:start w:val="1"/>
      <w:numFmt w:val="bullet"/>
      <w:lvlText w:val="•"/>
      <w:lvlJc w:val="left"/>
      <w:pPr>
        <w:tabs>
          <w:tab w:val="num" w:pos="3600"/>
        </w:tabs>
        <w:ind w:left="3600" w:hanging="360"/>
      </w:pPr>
      <w:rPr>
        <w:rFonts w:ascii="Arial" w:hAnsi="Arial" w:hint="default"/>
      </w:rPr>
    </w:lvl>
    <w:lvl w:ilvl="5" w:tplc="A40C065C" w:tentative="1">
      <w:start w:val="1"/>
      <w:numFmt w:val="bullet"/>
      <w:lvlText w:val="•"/>
      <w:lvlJc w:val="left"/>
      <w:pPr>
        <w:tabs>
          <w:tab w:val="num" w:pos="4320"/>
        </w:tabs>
        <w:ind w:left="4320" w:hanging="360"/>
      </w:pPr>
      <w:rPr>
        <w:rFonts w:ascii="Arial" w:hAnsi="Arial" w:hint="default"/>
      </w:rPr>
    </w:lvl>
    <w:lvl w:ilvl="6" w:tplc="4D4A99C6" w:tentative="1">
      <w:start w:val="1"/>
      <w:numFmt w:val="bullet"/>
      <w:lvlText w:val="•"/>
      <w:lvlJc w:val="left"/>
      <w:pPr>
        <w:tabs>
          <w:tab w:val="num" w:pos="5040"/>
        </w:tabs>
        <w:ind w:left="5040" w:hanging="360"/>
      </w:pPr>
      <w:rPr>
        <w:rFonts w:ascii="Arial" w:hAnsi="Arial" w:hint="default"/>
      </w:rPr>
    </w:lvl>
    <w:lvl w:ilvl="7" w:tplc="F050B3AE" w:tentative="1">
      <w:start w:val="1"/>
      <w:numFmt w:val="bullet"/>
      <w:lvlText w:val="•"/>
      <w:lvlJc w:val="left"/>
      <w:pPr>
        <w:tabs>
          <w:tab w:val="num" w:pos="5760"/>
        </w:tabs>
        <w:ind w:left="5760" w:hanging="360"/>
      </w:pPr>
      <w:rPr>
        <w:rFonts w:ascii="Arial" w:hAnsi="Arial" w:hint="default"/>
      </w:rPr>
    </w:lvl>
    <w:lvl w:ilvl="8" w:tplc="C928892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68B32D6"/>
    <w:multiLevelType w:val="multilevel"/>
    <w:tmpl w:val="D8886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183197"/>
    <w:multiLevelType w:val="hybridMultilevel"/>
    <w:tmpl w:val="7B26086E"/>
    <w:lvl w:ilvl="0" w:tplc="A0E85586">
      <w:start w:val="1"/>
      <w:numFmt w:val="bullet"/>
      <w:lvlText w:val="•"/>
      <w:lvlJc w:val="left"/>
      <w:pPr>
        <w:tabs>
          <w:tab w:val="num" w:pos="720"/>
        </w:tabs>
        <w:ind w:left="720" w:hanging="360"/>
      </w:pPr>
      <w:rPr>
        <w:rFonts w:ascii="Arial" w:hAnsi="Arial" w:hint="default"/>
      </w:rPr>
    </w:lvl>
    <w:lvl w:ilvl="1" w:tplc="605E841C" w:tentative="1">
      <w:start w:val="1"/>
      <w:numFmt w:val="bullet"/>
      <w:lvlText w:val="•"/>
      <w:lvlJc w:val="left"/>
      <w:pPr>
        <w:tabs>
          <w:tab w:val="num" w:pos="1440"/>
        </w:tabs>
        <w:ind w:left="1440" w:hanging="360"/>
      </w:pPr>
      <w:rPr>
        <w:rFonts w:ascii="Arial" w:hAnsi="Arial" w:hint="default"/>
      </w:rPr>
    </w:lvl>
    <w:lvl w:ilvl="2" w:tplc="AFA6182E" w:tentative="1">
      <w:start w:val="1"/>
      <w:numFmt w:val="bullet"/>
      <w:lvlText w:val="•"/>
      <w:lvlJc w:val="left"/>
      <w:pPr>
        <w:tabs>
          <w:tab w:val="num" w:pos="2160"/>
        </w:tabs>
        <w:ind w:left="2160" w:hanging="360"/>
      </w:pPr>
      <w:rPr>
        <w:rFonts w:ascii="Arial" w:hAnsi="Arial" w:hint="default"/>
      </w:rPr>
    </w:lvl>
    <w:lvl w:ilvl="3" w:tplc="E026B53C" w:tentative="1">
      <w:start w:val="1"/>
      <w:numFmt w:val="bullet"/>
      <w:lvlText w:val="•"/>
      <w:lvlJc w:val="left"/>
      <w:pPr>
        <w:tabs>
          <w:tab w:val="num" w:pos="2880"/>
        </w:tabs>
        <w:ind w:left="2880" w:hanging="360"/>
      </w:pPr>
      <w:rPr>
        <w:rFonts w:ascii="Arial" w:hAnsi="Arial" w:hint="default"/>
      </w:rPr>
    </w:lvl>
    <w:lvl w:ilvl="4" w:tplc="684E099E" w:tentative="1">
      <w:start w:val="1"/>
      <w:numFmt w:val="bullet"/>
      <w:lvlText w:val="•"/>
      <w:lvlJc w:val="left"/>
      <w:pPr>
        <w:tabs>
          <w:tab w:val="num" w:pos="3600"/>
        </w:tabs>
        <w:ind w:left="3600" w:hanging="360"/>
      </w:pPr>
      <w:rPr>
        <w:rFonts w:ascii="Arial" w:hAnsi="Arial" w:hint="default"/>
      </w:rPr>
    </w:lvl>
    <w:lvl w:ilvl="5" w:tplc="47DE7AC0" w:tentative="1">
      <w:start w:val="1"/>
      <w:numFmt w:val="bullet"/>
      <w:lvlText w:val="•"/>
      <w:lvlJc w:val="left"/>
      <w:pPr>
        <w:tabs>
          <w:tab w:val="num" w:pos="4320"/>
        </w:tabs>
        <w:ind w:left="4320" w:hanging="360"/>
      </w:pPr>
      <w:rPr>
        <w:rFonts w:ascii="Arial" w:hAnsi="Arial" w:hint="default"/>
      </w:rPr>
    </w:lvl>
    <w:lvl w:ilvl="6" w:tplc="77FED8A4" w:tentative="1">
      <w:start w:val="1"/>
      <w:numFmt w:val="bullet"/>
      <w:lvlText w:val="•"/>
      <w:lvlJc w:val="left"/>
      <w:pPr>
        <w:tabs>
          <w:tab w:val="num" w:pos="5040"/>
        </w:tabs>
        <w:ind w:left="5040" w:hanging="360"/>
      </w:pPr>
      <w:rPr>
        <w:rFonts w:ascii="Arial" w:hAnsi="Arial" w:hint="default"/>
      </w:rPr>
    </w:lvl>
    <w:lvl w:ilvl="7" w:tplc="AB9E6166" w:tentative="1">
      <w:start w:val="1"/>
      <w:numFmt w:val="bullet"/>
      <w:lvlText w:val="•"/>
      <w:lvlJc w:val="left"/>
      <w:pPr>
        <w:tabs>
          <w:tab w:val="num" w:pos="5760"/>
        </w:tabs>
        <w:ind w:left="5760" w:hanging="360"/>
      </w:pPr>
      <w:rPr>
        <w:rFonts w:ascii="Arial" w:hAnsi="Arial" w:hint="default"/>
      </w:rPr>
    </w:lvl>
    <w:lvl w:ilvl="8" w:tplc="E11EC7A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327197"/>
    <w:multiLevelType w:val="hybridMultilevel"/>
    <w:tmpl w:val="6DCA464A"/>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E5C0981"/>
    <w:multiLevelType w:val="multilevel"/>
    <w:tmpl w:val="9DD2F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505D43"/>
    <w:multiLevelType w:val="hybridMultilevel"/>
    <w:tmpl w:val="319A50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3196686"/>
    <w:multiLevelType w:val="multilevel"/>
    <w:tmpl w:val="DFC41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CB0A6A"/>
    <w:multiLevelType w:val="hybridMultilevel"/>
    <w:tmpl w:val="55089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AAE49F0"/>
    <w:multiLevelType w:val="multilevel"/>
    <w:tmpl w:val="68F60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1B52C4"/>
    <w:multiLevelType w:val="multilevel"/>
    <w:tmpl w:val="F9B4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536184"/>
    <w:multiLevelType w:val="multilevel"/>
    <w:tmpl w:val="A7EC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703D7A"/>
    <w:multiLevelType w:val="multilevel"/>
    <w:tmpl w:val="6C3A8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8"/>
  </w:num>
  <w:num w:numId="3">
    <w:abstractNumId w:val="33"/>
  </w:num>
  <w:num w:numId="4">
    <w:abstractNumId w:val="1"/>
  </w:num>
  <w:num w:numId="5">
    <w:abstractNumId w:val="2"/>
  </w:num>
  <w:num w:numId="6">
    <w:abstractNumId w:val="22"/>
  </w:num>
  <w:num w:numId="7">
    <w:abstractNumId w:val="30"/>
  </w:num>
  <w:num w:numId="8">
    <w:abstractNumId w:val="11"/>
  </w:num>
  <w:num w:numId="9">
    <w:abstractNumId w:val="12"/>
  </w:num>
  <w:num w:numId="10">
    <w:abstractNumId w:val="26"/>
  </w:num>
  <w:num w:numId="11">
    <w:abstractNumId w:val="13"/>
  </w:num>
  <w:num w:numId="12">
    <w:abstractNumId w:val="28"/>
  </w:num>
  <w:num w:numId="13">
    <w:abstractNumId w:val="46"/>
  </w:num>
  <w:num w:numId="14">
    <w:abstractNumId w:val="31"/>
  </w:num>
  <w:num w:numId="15">
    <w:abstractNumId w:val="36"/>
  </w:num>
  <w:num w:numId="16">
    <w:abstractNumId w:val="37"/>
  </w:num>
  <w:num w:numId="17">
    <w:abstractNumId w:val="19"/>
  </w:num>
  <w:num w:numId="18">
    <w:abstractNumId w:val="21"/>
  </w:num>
  <w:num w:numId="19">
    <w:abstractNumId w:val="17"/>
  </w:num>
  <w:num w:numId="20">
    <w:abstractNumId w:val="29"/>
  </w:num>
  <w:num w:numId="21">
    <w:abstractNumId w:val="10"/>
  </w:num>
  <w:num w:numId="22">
    <w:abstractNumId w:val="5"/>
  </w:num>
  <w:num w:numId="23">
    <w:abstractNumId w:val="49"/>
  </w:num>
  <w:num w:numId="24">
    <w:abstractNumId w:val="14"/>
  </w:num>
  <w:num w:numId="25">
    <w:abstractNumId w:val="47"/>
  </w:num>
  <w:num w:numId="26">
    <w:abstractNumId w:val="23"/>
  </w:num>
  <w:num w:numId="27">
    <w:abstractNumId w:val="42"/>
  </w:num>
  <w:num w:numId="28">
    <w:abstractNumId w:val="8"/>
  </w:num>
  <w:num w:numId="29">
    <w:abstractNumId w:val="39"/>
  </w:num>
  <w:num w:numId="30">
    <w:abstractNumId w:val="24"/>
  </w:num>
  <w:num w:numId="31">
    <w:abstractNumId w:val="0"/>
  </w:num>
  <w:num w:numId="32">
    <w:abstractNumId w:val="3"/>
  </w:num>
  <w:num w:numId="33">
    <w:abstractNumId w:val="18"/>
  </w:num>
  <w:num w:numId="34">
    <w:abstractNumId w:val="4"/>
  </w:num>
  <w:num w:numId="35">
    <w:abstractNumId w:val="25"/>
  </w:num>
  <w:num w:numId="36">
    <w:abstractNumId w:val="44"/>
  </w:num>
  <w:num w:numId="37">
    <w:abstractNumId w:val="16"/>
  </w:num>
  <w:num w:numId="38">
    <w:abstractNumId w:val="20"/>
  </w:num>
  <w:num w:numId="39">
    <w:abstractNumId w:val="15"/>
  </w:num>
  <w:num w:numId="40">
    <w:abstractNumId w:val="45"/>
  </w:num>
  <w:num w:numId="41">
    <w:abstractNumId w:val="34"/>
  </w:num>
  <w:num w:numId="42">
    <w:abstractNumId w:val="43"/>
  </w:num>
  <w:num w:numId="43">
    <w:abstractNumId w:val="7"/>
  </w:num>
  <w:num w:numId="44">
    <w:abstractNumId w:val="41"/>
  </w:num>
  <w:num w:numId="45">
    <w:abstractNumId w:val="32"/>
  </w:num>
  <w:num w:numId="46">
    <w:abstractNumId w:val="35"/>
  </w:num>
  <w:num w:numId="47">
    <w:abstractNumId w:val="40"/>
  </w:num>
  <w:num w:numId="48">
    <w:abstractNumId w:val="27"/>
  </w:num>
  <w:num w:numId="49">
    <w:abstractNumId w:val="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D3"/>
    <w:rsid w:val="0000160D"/>
    <w:rsid w:val="0000460C"/>
    <w:rsid w:val="00004769"/>
    <w:rsid w:val="00010206"/>
    <w:rsid w:val="00014125"/>
    <w:rsid w:val="00015F50"/>
    <w:rsid w:val="00021609"/>
    <w:rsid w:val="00021804"/>
    <w:rsid w:val="0002415A"/>
    <w:rsid w:val="000257D5"/>
    <w:rsid w:val="00026150"/>
    <w:rsid w:val="0002626B"/>
    <w:rsid w:val="0003479E"/>
    <w:rsid w:val="000355E5"/>
    <w:rsid w:val="000356BF"/>
    <w:rsid w:val="00037FCC"/>
    <w:rsid w:val="000400A8"/>
    <w:rsid w:val="000400D0"/>
    <w:rsid w:val="00040C22"/>
    <w:rsid w:val="000425CF"/>
    <w:rsid w:val="0004436F"/>
    <w:rsid w:val="00045B23"/>
    <w:rsid w:val="0004758A"/>
    <w:rsid w:val="00047F5E"/>
    <w:rsid w:val="000510CC"/>
    <w:rsid w:val="00053DE6"/>
    <w:rsid w:val="00054322"/>
    <w:rsid w:val="0005598C"/>
    <w:rsid w:val="00061300"/>
    <w:rsid w:val="000655D0"/>
    <w:rsid w:val="00065B8F"/>
    <w:rsid w:val="00065D94"/>
    <w:rsid w:val="00066BC9"/>
    <w:rsid w:val="00071CA0"/>
    <w:rsid w:val="00073AC4"/>
    <w:rsid w:val="00075F1D"/>
    <w:rsid w:val="00076629"/>
    <w:rsid w:val="00080395"/>
    <w:rsid w:val="000819B7"/>
    <w:rsid w:val="00081D24"/>
    <w:rsid w:val="00083EA3"/>
    <w:rsid w:val="00084794"/>
    <w:rsid w:val="000855F9"/>
    <w:rsid w:val="00085775"/>
    <w:rsid w:val="0008628F"/>
    <w:rsid w:val="00087602"/>
    <w:rsid w:val="00090112"/>
    <w:rsid w:val="00090B84"/>
    <w:rsid w:val="00091AE7"/>
    <w:rsid w:val="00091E32"/>
    <w:rsid w:val="00092318"/>
    <w:rsid w:val="00092759"/>
    <w:rsid w:val="00092C7B"/>
    <w:rsid w:val="00093EC2"/>
    <w:rsid w:val="00095BEE"/>
    <w:rsid w:val="000A0433"/>
    <w:rsid w:val="000B0558"/>
    <w:rsid w:val="000B0A93"/>
    <w:rsid w:val="000C0642"/>
    <w:rsid w:val="000C5534"/>
    <w:rsid w:val="000D4635"/>
    <w:rsid w:val="000E523E"/>
    <w:rsid w:val="000F0A36"/>
    <w:rsid w:val="000F13DE"/>
    <w:rsid w:val="000F3F34"/>
    <w:rsid w:val="00100FB2"/>
    <w:rsid w:val="00104E9A"/>
    <w:rsid w:val="00105255"/>
    <w:rsid w:val="00106EEE"/>
    <w:rsid w:val="001105EC"/>
    <w:rsid w:val="00112690"/>
    <w:rsid w:val="00113006"/>
    <w:rsid w:val="001134EA"/>
    <w:rsid w:val="00114A1E"/>
    <w:rsid w:val="00121BFE"/>
    <w:rsid w:val="00121EBA"/>
    <w:rsid w:val="001324EC"/>
    <w:rsid w:val="00132DE8"/>
    <w:rsid w:val="00135B8C"/>
    <w:rsid w:val="00151CAF"/>
    <w:rsid w:val="001532DD"/>
    <w:rsid w:val="00154A78"/>
    <w:rsid w:val="00154DDA"/>
    <w:rsid w:val="0015630B"/>
    <w:rsid w:val="001574B3"/>
    <w:rsid w:val="00160C9A"/>
    <w:rsid w:val="001633D3"/>
    <w:rsid w:val="00164AD4"/>
    <w:rsid w:val="00165484"/>
    <w:rsid w:val="00166F4D"/>
    <w:rsid w:val="00172D94"/>
    <w:rsid w:val="00177A33"/>
    <w:rsid w:val="00181929"/>
    <w:rsid w:val="00181A52"/>
    <w:rsid w:val="00184479"/>
    <w:rsid w:val="0018466D"/>
    <w:rsid w:val="0019412F"/>
    <w:rsid w:val="001951A4"/>
    <w:rsid w:val="001978D3"/>
    <w:rsid w:val="001A18FD"/>
    <w:rsid w:val="001A1ADA"/>
    <w:rsid w:val="001A75B0"/>
    <w:rsid w:val="001A7D4B"/>
    <w:rsid w:val="001B0833"/>
    <w:rsid w:val="001B5A5A"/>
    <w:rsid w:val="001B712D"/>
    <w:rsid w:val="001B7711"/>
    <w:rsid w:val="001C05D8"/>
    <w:rsid w:val="001C2259"/>
    <w:rsid w:val="001C4638"/>
    <w:rsid w:val="001C4991"/>
    <w:rsid w:val="001C6B9B"/>
    <w:rsid w:val="001C7AA5"/>
    <w:rsid w:val="001D0784"/>
    <w:rsid w:val="001D0FDF"/>
    <w:rsid w:val="001D2054"/>
    <w:rsid w:val="001D20FD"/>
    <w:rsid w:val="001D3D97"/>
    <w:rsid w:val="001D5654"/>
    <w:rsid w:val="001D620C"/>
    <w:rsid w:val="001D6E33"/>
    <w:rsid w:val="001D77B1"/>
    <w:rsid w:val="001D79D5"/>
    <w:rsid w:val="001E0D99"/>
    <w:rsid w:val="001E21D9"/>
    <w:rsid w:val="001E2534"/>
    <w:rsid w:val="001E43C4"/>
    <w:rsid w:val="001E4863"/>
    <w:rsid w:val="001E53AC"/>
    <w:rsid w:val="001F0F26"/>
    <w:rsid w:val="001F1D33"/>
    <w:rsid w:val="001F1E93"/>
    <w:rsid w:val="00203DA0"/>
    <w:rsid w:val="0020437C"/>
    <w:rsid w:val="00205833"/>
    <w:rsid w:val="00205C46"/>
    <w:rsid w:val="002062D3"/>
    <w:rsid w:val="002126FC"/>
    <w:rsid w:val="002201A8"/>
    <w:rsid w:val="002247CF"/>
    <w:rsid w:val="00226912"/>
    <w:rsid w:val="00227CEA"/>
    <w:rsid w:val="00227F1F"/>
    <w:rsid w:val="002338D4"/>
    <w:rsid w:val="00234A6B"/>
    <w:rsid w:val="0023565A"/>
    <w:rsid w:val="00236CC7"/>
    <w:rsid w:val="002400AD"/>
    <w:rsid w:val="00243403"/>
    <w:rsid w:val="0024448C"/>
    <w:rsid w:val="00252669"/>
    <w:rsid w:val="00253673"/>
    <w:rsid w:val="002544BF"/>
    <w:rsid w:val="0025486C"/>
    <w:rsid w:val="00260D35"/>
    <w:rsid w:val="0026221F"/>
    <w:rsid w:val="00262F57"/>
    <w:rsid w:val="00263917"/>
    <w:rsid w:val="00263EB7"/>
    <w:rsid w:val="0026436C"/>
    <w:rsid w:val="00265913"/>
    <w:rsid w:val="00266BFA"/>
    <w:rsid w:val="0027135B"/>
    <w:rsid w:val="00275153"/>
    <w:rsid w:val="002818FD"/>
    <w:rsid w:val="00281E45"/>
    <w:rsid w:val="002833F1"/>
    <w:rsid w:val="00283F9B"/>
    <w:rsid w:val="00287A6A"/>
    <w:rsid w:val="00291BC9"/>
    <w:rsid w:val="00291DF5"/>
    <w:rsid w:val="0029488A"/>
    <w:rsid w:val="00297212"/>
    <w:rsid w:val="002A1E62"/>
    <w:rsid w:val="002A1F33"/>
    <w:rsid w:val="002A37BD"/>
    <w:rsid w:val="002A3F28"/>
    <w:rsid w:val="002A4194"/>
    <w:rsid w:val="002A77E2"/>
    <w:rsid w:val="002B1554"/>
    <w:rsid w:val="002B1EED"/>
    <w:rsid w:val="002B34B7"/>
    <w:rsid w:val="002B6451"/>
    <w:rsid w:val="002D0A83"/>
    <w:rsid w:val="002D4714"/>
    <w:rsid w:val="002D5830"/>
    <w:rsid w:val="002E082A"/>
    <w:rsid w:val="002E0C44"/>
    <w:rsid w:val="002E6712"/>
    <w:rsid w:val="002F01BF"/>
    <w:rsid w:val="002F1556"/>
    <w:rsid w:val="002F2266"/>
    <w:rsid w:val="002F3D1A"/>
    <w:rsid w:val="002F6F09"/>
    <w:rsid w:val="003006BC"/>
    <w:rsid w:val="00300FF3"/>
    <w:rsid w:val="003065A3"/>
    <w:rsid w:val="00311560"/>
    <w:rsid w:val="003115C2"/>
    <w:rsid w:val="00312242"/>
    <w:rsid w:val="00314F21"/>
    <w:rsid w:val="00315D5C"/>
    <w:rsid w:val="00315FD6"/>
    <w:rsid w:val="00316725"/>
    <w:rsid w:val="00316C80"/>
    <w:rsid w:val="00321099"/>
    <w:rsid w:val="00323A20"/>
    <w:rsid w:val="00325178"/>
    <w:rsid w:val="00325B49"/>
    <w:rsid w:val="00326FBE"/>
    <w:rsid w:val="00331FB6"/>
    <w:rsid w:val="0033221B"/>
    <w:rsid w:val="00335FC3"/>
    <w:rsid w:val="00336868"/>
    <w:rsid w:val="003400E8"/>
    <w:rsid w:val="003401A2"/>
    <w:rsid w:val="00340685"/>
    <w:rsid w:val="00343FFC"/>
    <w:rsid w:val="003454AA"/>
    <w:rsid w:val="003518AB"/>
    <w:rsid w:val="00352099"/>
    <w:rsid w:val="0035218F"/>
    <w:rsid w:val="0035237C"/>
    <w:rsid w:val="00354D28"/>
    <w:rsid w:val="00357F28"/>
    <w:rsid w:val="00362CCD"/>
    <w:rsid w:val="0036490F"/>
    <w:rsid w:val="00364C7E"/>
    <w:rsid w:val="00371D89"/>
    <w:rsid w:val="00371FA1"/>
    <w:rsid w:val="00372860"/>
    <w:rsid w:val="00372E65"/>
    <w:rsid w:val="003745CD"/>
    <w:rsid w:val="003814F4"/>
    <w:rsid w:val="00382998"/>
    <w:rsid w:val="003830D2"/>
    <w:rsid w:val="003866F3"/>
    <w:rsid w:val="0039417B"/>
    <w:rsid w:val="00395C74"/>
    <w:rsid w:val="003A095E"/>
    <w:rsid w:val="003A7145"/>
    <w:rsid w:val="003B112F"/>
    <w:rsid w:val="003B2784"/>
    <w:rsid w:val="003B5483"/>
    <w:rsid w:val="003B6019"/>
    <w:rsid w:val="003B60AB"/>
    <w:rsid w:val="003B695E"/>
    <w:rsid w:val="003B7EA1"/>
    <w:rsid w:val="003C1049"/>
    <w:rsid w:val="003C1C0D"/>
    <w:rsid w:val="003C2C5A"/>
    <w:rsid w:val="003C4F47"/>
    <w:rsid w:val="003C6CAB"/>
    <w:rsid w:val="003D11EA"/>
    <w:rsid w:val="003D5980"/>
    <w:rsid w:val="003E168B"/>
    <w:rsid w:val="003E1832"/>
    <w:rsid w:val="003E239B"/>
    <w:rsid w:val="003E55AF"/>
    <w:rsid w:val="003E5FC3"/>
    <w:rsid w:val="003E5FE8"/>
    <w:rsid w:val="003F04C2"/>
    <w:rsid w:val="003F0778"/>
    <w:rsid w:val="003F1247"/>
    <w:rsid w:val="003F196D"/>
    <w:rsid w:val="004004B8"/>
    <w:rsid w:val="00400BA1"/>
    <w:rsid w:val="004017CC"/>
    <w:rsid w:val="00402869"/>
    <w:rsid w:val="00411563"/>
    <w:rsid w:val="00413258"/>
    <w:rsid w:val="00415CD8"/>
    <w:rsid w:val="00416085"/>
    <w:rsid w:val="00416A60"/>
    <w:rsid w:val="00416CEA"/>
    <w:rsid w:val="00416F8C"/>
    <w:rsid w:val="004170F9"/>
    <w:rsid w:val="0041743C"/>
    <w:rsid w:val="00420902"/>
    <w:rsid w:val="00420E7D"/>
    <w:rsid w:val="004252CE"/>
    <w:rsid w:val="0042725D"/>
    <w:rsid w:val="00427633"/>
    <w:rsid w:val="00432CB1"/>
    <w:rsid w:val="0043334F"/>
    <w:rsid w:val="00434C71"/>
    <w:rsid w:val="0043549A"/>
    <w:rsid w:val="00435B48"/>
    <w:rsid w:val="00437CBA"/>
    <w:rsid w:val="00440192"/>
    <w:rsid w:val="00440D2F"/>
    <w:rsid w:val="00441B80"/>
    <w:rsid w:val="00441E2C"/>
    <w:rsid w:val="00443260"/>
    <w:rsid w:val="00443C1A"/>
    <w:rsid w:val="004457F5"/>
    <w:rsid w:val="00447AB0"/>
    <w:rsid w:val="00451261"/>
    <w:rsid w:val="00451DB0"/>
    <w:rsid w:val="00456EE1"/>
    <w:rsid w:val="00457080"/>
    <w:rsid w:val="00465DB7"/>
    <w:rsid w:val="0046723F"/>
    <w:rsid w:val="00467FD2"/>
    <w:rsid w:val="004706F6"/>
    <w:rsid w:val="00470968"/>
    <w:rsid w:val="004713FB"/>
    <w:rsid w:val="0047152D"/>
    <w:rsid w:val="0047294E"/>
    <w:rsid w:val="00473982"/>
    <w:rsid w:val="00476646"/>
    <w:rsid w:val="00477E26"/>
    <w:rsid w:val="00480788"/>
    <w:rsid w:val="004807A3"/>
    <w:rsid w:val="004816D3"/>
    <w:rsid w:val="00483854"/>
    <w:rsid w:val="00484571"/>
    <w:rsid w:val="00484D6B"/>
    <w:rsid w:val="00487182"/>
    <w:rsid w:val="00490A46"/>
    <w:rsid w:val="0049143D"/>
    <w:rsid w:val="00491855"/>
    <w:rsid w:val="00491B54"/>
    <w:rsid w:val="0049383D"/>
    <w:rsid w:val="004957B4"/>
    <w:rsid w:val="004973C1"/>
    <w:rsid w:val="004A1D23"/>
    <w:rsid w:val="004A3626"/>
    <w:rsid w:val="004A3B5D"/>
    <w:rsid w:val="004B1085"/>
    <w:rsid w:val="004B3852"/>
    <w:rsid w:val="004B3E25"/>
    <w:rsid w:val="004B563F"/>
    <w:rsid w:val="004B6FD4"/>
    <w:rsid w:val="004B7EAD"/>
    <w:rsid w:val="004C05A6"/>
    <w:rsid w:val="004C2A0E"/>
    <w:rsid w:val="004C4341"/>
    <w:rsid w:val="004C50B1"/>
    <w:rsid w:val="004D1BBD"/>
    <w:rsid w:val="004D232C"/>
    <w:rsid w:val="004D36A2"/>
    <w:rsid w:val="004D377A"/>
    <w:rsid w:val="004D40A5"/>
    <w:rsid w:val="004D50E2"/>
    <w:rsid w:val="004D5B7B"/>
    <w:rsid w:val="004D7540"/>
    <w:rsid w:val="004E4361"/>
    <w:rsid w:val="004E6DCE"/>
    <w:rsid w:val="004E741B"/>
    <w:rsid w:val="004E7AFF"/>
    <w:rsid w:val="004F0BA3"/>
    <w:rsid w:val="004F3ECE"/>
    <w:rsid w:val="004F6EEC"/>
    <w:rsid w:val="00500348"/>
    <w:rsid w:val="005011F6"/>
    <w:rsid w:val="0050241C"/>
    <w:rsid w:val="00502681"/>
    <w:rsid w:val="005058A0"/>
    <w:rsid w:val="00507E8C"/>
    <w:rsid w:val="00511475"/>
    <w:rsid w:val="0051165B"/>
    <w:rsid w:val="005125F1"/>
    <w:rsid w:val="00512F73"/>
    <w:rsid w:val="00514FC7"/>
    <w:rsid w:val="005207E3"/>
    <w:rsid w:val="00522079"/>
    <w:rsid w:val="00522D7C"/>
    <w:rsid w:val="00524390"/>
    <w:rsid w:val="00526743"/>
    <w:rsid w:val="005332E0"/>
    <w:rsid w:val="00534D4C"/>
    <w:rsid w:val="0053570A"/>
    <w:rsid w:val="0053763D"/>
    <w:rsid w:val="00541ADA"/>
    <w:rsid w:val="00543018"/>
    <w:rsid w:val="00545923"/>
    <w:rsid w:val="00550E60"/>
    <w:rsid w:val="00552087"/>
    <w:rsid w:val="005542D9"/>
    <w:rsid w:val="0055586D"/>
    <w:rsid w:val="00556579"/>
    <w:rsid w:val="00560E4D"/>
    <w:rsid w:val="005629AD"/>
    <w:rsid w:val="00562C85"/>
    <w:rsid w:val="005652AF"/>
    <w:rsid w:val="00565CCC"/>
    <w:rsid w:val="00567CAF"/>
    <w:rsid w:val="005712F8"/>
    <w:rsid w:val="00571731"/>
    <w:rsid w:val="00571F4A"/>
    <w:rsid w:val="00572E38"/>
    <w:rsid w:val="00575623"/>
    <w:rsid w:val="00580636"/>
    <w:rsid w:val="005814F7"/>
    <w:rsid w:val="005828E0"/>
    <w:rsid w:val="005851BD"/>
    <w:rsid w:val="0058582C"/>
    <w:rsid w:val="0058769E"/>
    <w:rsid w:val="00593A7C"/>
    <w:rsid w:val="00595B53"/>
    <w:rsid w:val="005A076E"/>
    <w:rsid w:val="005A15B3"/>
    <w:rsid w:val="005A2A45"/>
    <w:rsid w:val="005A3211"/>
    <w:rsid w:val="005A33D2"/>
    <w:rsid w:val="005A3FED"/>
    <w:rsid w:val="005A554D"/>
    <w:rsid w:val="005B0791"/>
    <w:rsid w:val="005B19B5"/>
    <w:rsid w:val="005B1CBB"/>
    <w:rsid w:val="005B2907"/>
    <w:rsid w:val="005B2CC7"/>
    <w:rsid w:val="005B3FA7"/>
    <w:rsid w:val="005B41E5"/>
    <w:rsid w:val="005B6223"/>
    <w:rsid w:val="005C1A55"/>
    <w:rsid w:val="005C2A13"/>
    <w:rsid w:val="005C2DD0"/>
    <w:rsid w:val="005C3BDD"/>
    <w:rsid w:val="005C3DED"/>
    <w:rsid w:val="005C424D"/>
    <w:rsid w:val="005C5E0A"/>
    <w:rsid w:val="005D06E5"/>
    <w:rsid w:val="005D0D90"/>
    <w:rsid w:val="005D12E4"/>
    <w:rsid w:val="005D1802"/>
    <w:rsid w:val="005D31DE"/>
    <w:rsid w:val="005D42A0"/>
    <w:rsid w:val="005D43D8"/>
    <w:rsid w:val="005D467C"/>
    <w:rsid w:val="005D469F"/>
    <w:rsid w:val="005D4B6E"/>
    <w:rsid w:val="005D53BA"/>
    <w:rsid w:val="005D6BA3"/>
    <w:rsid w:val="005D7ABC"/>
    <w:rsid w:val="005E1847"/>
    <w:rsid w:val="005E391F"/>
    <w:rsid w:val="005E45E4"/>
    <w:rsid w:val="005E5EA5"/>
    <w:rsid w:val="005E6936"/>
    <w:rsid w:val="005F1665"/>
    <w:rsid w:val="005F2AAF"/>
    <w:rsid w:val="005F6D0A"/>
    <w:rsid w:val="005F759F"/>
    <w:rsid w:val="0060023A"/>
    <w:rsid w:val="00601511"/>
    <w:rsid w:val="006025E9"/>
    <w:rsid w:val="00603F01"/>
    <w:rsid w:val="0061359C"/>
    <w:rsid w:val="006135AC"/>
    <w:rsid w:val="00613818"/>
    <w:rsid w:val="00613C08"/>
    <w:rsid w:val="0061510C"/>
    <w:rsid w:val="00615418"/>
    <w:rsid w:val="00616000"/>
    <w:rsid w:val="006177A8"/>
    <w:rsid w:val="006222BA"/>
    <w:rsid w:val="00624D4B"/>
    <w:rsid w:val="00626192"/>
    <w:rsid w:val="00627EC1"/>
    <w:rsid w:val="00632179"/>
    <w:rsid w:val="00632E6B"/>
    <w:rsid w:val="0063374F"/>
    <w:rsid w:val="006344A9"/>
    <w:rsid w:val="006353C1"/>
    <w:rsid w:val="00636C65"/>
    <w:rsid w:val="006402D3"/>
    <w:rsid w:val="00640D00"/>
    <w:rsid w:val="00640D14"/>
    <w:rsid w:val="00642443"/>
    <w:rsid w:val="006428E7"/>
    <w:rsid w:val="00643FAF"/>
    <w:rsid w:val="00644FDD"/>
    <w:rsid w:val="00645890"/>
    <w:rsid w:val="006465B2"/>
    <w:rsid w:val="00647A9F"/>
    <w:rsid w:val="00647B95"/>
    <w:rsid w:val="00647BCB"/>
    <w:rsid w:val="0065038A"/>
    <w:rsid w:val="0065161A"/>
    <w:rsid w:val="00651DFE"/>
    <w:rsid w:val="00652A7D"/>
    <w:rsid w:val="00652D0A"/>
    <w:rsid w:val="00653D4A"/>
    <w:rsid w:val="00654832"/>
    <w:rsid w:val="00655A96"/>
    <w:rsid w:val="00655FBB"/>
    <w:rsid w:val="006577F4"/>
    <w:rsid w:val="006637DF"/>
    <w:rsid w:val="006658FF"/>
    <w:rsid w:val="00665CF3"/>
    <w:rsid w:val="00670589"/>
    <w:rsid w:val="00673D3A"/>
    <w:rsid w:val="0067408A"/>
    <w:rsid w:val="00674646"/>
    <w:rsid w:val="00675A2E"/>
    <w:rsid w:val="00677D79"/>
    <w:rsid w:val="006810CD"/>
    <w:rsid w:val="0068272A"/>
    <w:rsid w:val="0068545B"/>
    <w:rsid w:val="0068645E"/>
    <w:rsid w:val="00690D24"/>
    <w:rsid w:val="006930F9"/>
    <w:rsid w:val="0069365D"/>
    <w:rsid w:val="006947A9"/>
    <w:rsid w:val="00696B06"/>
    <w:rsid w:val="006A626D"/>
    <w:rsid w:val="006A79E8"/>
    <w:rsid w:val="006A7A75"/>
    <w:rsid w:val="006B049A"/>
    <w:rsid w:val="006B26D3"/>
    <w:rsid w:val="006B276C"/>
    <w:rsid w:val="006B693B"/>
    <w:rsid w:val="006B6CEF"/>
    <w:rsid w:val="006B7589"/>
    <w:rsid w:val="006B7E82"/>
    <w:rsid w:val="006C0B69"/>
    <w:rsid w:val="006C1648"/>
    <w:rsid w:val="006C24B0"/>
    <w:rsid w:val="006C2A94"/>
    <w:rsid w:val="006C53C2"/>
    <w:rsid w:val="006C68CF"/>
    <w:rsid w:val="006C7F78"/>
    <w:rsid w:val="006D4C42"/>
    <w:rsid w:val="006D50C7"/>
    <w:rsid w:val="006D5CE8"/>
    <w:rsid w:val="006E1573"/>
    <w:rsid w:val="006E15A9"/>
    <w:rsid w:val="006E1D82"/>
    <w:rsid w:val="006F2617"/>
    <w:rsid w:val="006F489E"/>
    <w:rsid w:val="006F7D91"/>
    <w:rsid w:val="00701618"/>
    <w:rsid w:val="00701F80"/>
    <w:rsid w:val="00703591"/>
    <w:rsid w:val="00703B07"/>
    <w:rsid w:val="00703B72"/>
    <w:rsid w:val="00704DC8"/>
    <w:rsid w:val="00706F21"/>
    <w:rsid w:val="007114BF"/>
    <w:rsid w:val="007124A2"/>
    <w:rsid w:val="00715BE6"/>
    <w:rsid w:val="007167E7"/>
    <w:rsid w:val="007171DC"/>
    <w:rsid w:val="00720475"/>
    <w:rsid w:val="00721400"/>
    <w:rsid w:val="00730686"/>
    <w:rsid w:val="007310AE"/>
    <w:rsid w:val="00732C74"/>
    <w:rsid w:val="0073385B"/>
    <w:rsid w:val="00733DA9"/>
    <w:rsid w:val="0073555F"/>
    <w:rsid w:val="00735BD1"/>
    <w:rsid w:val="00736F79"/>
    <w:rsid w:val="00744A29"/>
    <w:rsid w:val="00744B1A"/>
    <w:rsid w:val="007528C0"/>
    <w:rsid w:val="00753B92"/>
    <w:rsid w:val="00753DEC"/>
    <w:rsid w:val="007554D6"/>
    <w:rsid w:val="00755881"/>
    <w:rsid w:val="00755A46"/>
    <w:rsid w:val="00756580"/>
    <w:rsid w:val="00761702"/>
    <w:rsid w:val="007629F3"/>
    <w:rsid w:val="007630CD"/>
    <w:rsid w:val="007662E6"/>
    <w:rsid w:val="00773FC1"/>
    <w:rsid w:val="00774205"/>
    <w:rsid w:val="0077432A"/>
    <w:rsid w:val="00775E7C"/>
    <w:rsid w:val="00775FD3"/>
    <w:rsid w:val="0077695B"/>
    <w:rsid w:val="0077774A"/>
    <w:rsid w:val="007827F7"/>
    <w:rsid w:val="007906AE"/>
    <w:rsid w:val="00791269"/>
    <w:rsid w:val="007933ED"/>
    <w:rsid w:val="00793C35"/>
    <w:rsid w:val="00793FB7"/>
    <w:rsid w:val="00796D4A"/>
    <w:rsid w:val="007975FC"/>
    <w:rsid w:val="007A2B04"/>
    <w:rsid w:val="007A7455"/>
    <w:rsid w:val="007A7469"/>
    <w:rsid w:val="007B0632"/>
    <w:rsid w:val="007B0AC0"/>
    <w:rsid w:val="007B331A"/>
    <w:rsid w:val="007B4A79"/>
    <w:rsid w:val="007B4B4E"/>
    <w:rsid w:val="007B56F8"/>
    <w:rsid w:val="007B5B2E"/>
    <w:rsid w:val="007B6ECF"/>
    <w:rsid w:val="007C09E9"/>
    <w:rsid w:val="007C2F1C"/>
    <w:rsid w:val="007C383C"/>
    <w:rsid w:val="007C49CE"/>
    <w:rsid w:val="007C70E3"/>
    <w:rsid w:val="007C7E27"/>
    <w:rsid w:val="007D40DC"/>
    <w:rsid w:val="007D439E"/>
    <w:rsid w:val="007D5087"/>
    <w:rsid w:val="007E6816"/>
    <w:rsid w:val="007E6D24"/>
    <w:rsid w:val="007F3FA2"/>
    <w:rsid w:val="007F5570"/>
    <w:rsid w:val="007F616D"/>
    <w:rsid w:val="007F6A65"/>
    <w:rsid w:val="00800B38"/>
    <w:rsid w:val="008020B5"/>
    <w:rsid w:val="00802E28"/>
    <w:rsid w:val="00805649"/>
    <w:rsid w:val="008073BC"/>
    <w:rsid w:val="00814D2E"/>
    <w:rsid w:val="00815BB0"/>
    <w:rsid w:val="008161CD"/>
    <w:rsid w:val="0081726F"/>
    <w:rsid w:val="008237BC"/>
    <w:rsid w:val="00825F13"/>
    <w:rsid w:val="008276D3"/>
    <w:rsid w:val="0083180B"/>
    <w:rsid w:val="00837426"/>
    <w:rsid w:val="008404DE"/>
    <w:rsid w:val="008407A9"/>
    <w:rsid w:val="00841D7F"/>
    <w:rsid w:val="00841FCD"/>
    <w:rsid w:val="0084265E"/>
    <w:rsid w:val="00842B44"/>
    <w:rsid w:val="00845C98"/>
    <w:rsid w:val="00846115"/>
    <w:rsid w:val="00850F9D"/>
    <w:rsid w:val="0085190E"/>
    <w:rsid w:val="008551B9"/>
    <w:rsid w:val="008565C6"/>
    <w:rsid w:val="00857FDB"/>
    <w:rsid w:val="00862440"/>
    <w:rsid w:val="00862E94"/>
    <w:rsid w:val="00863911"/>
    <w:rsid w:val="00864885"/>
    <w:rsid w:val="0086661D"/>
    <w:rsid w:val="00870688"/>
    <w:rsid w:val="008722B2"/>
    <w:rsid w:val="00873A44"/>
    <w:rsid w:val="00876081"/>
    <w:rsid w:val="0087703E"/>
    <w:rsid w:val="00877ED8"/>
    <w:rsid w:val="00880636"/>
    <w:rsid w:val="00884CE4"/>
    <w:rsid w:val="008859A7"/>
    <w:rsid w:val="008859BE"/>
    <w:rsid w:val="0088755E"/>
    <w:rsid w:val="00894B78"/>
    <w:rsid w:val="00896FF8"/>
    <w:rsid w:val="0089729A"/>
    <w:rsid w:val="00897716"/>
    <w:rsid w:val="008A0522"/>
    <w:rsid w:val="008A0E08"/>
    <w:rsid w:val="008A43D3"/>
    <w:rsid w:val="008A4ACE"/>
    <w:rsid w:val="008A66A7"/>
    <w:rsid w:val="008A784E"/>
    <w:rsid w:val="008B346B"/>
    <w:rsid w:val="008B42B7"/>
    <w:rsid w:val="008B50F1"/>
    <w:rsid w:val="008B5D9E"/>
    <w:rsid w:val="008B6A30"/>
    <w:rsid w:val="008B7591"/>
    <w:rsid w:val="008C1869"/>
    <w:rsid w:val="008C38A7"/>
    <w:rsid w:val="008C6331"/>
    <w:rsid w:val="008C63C1"/>
    <w:rsid w:val="008D27BF"/>
    <w:rsid w:val="008D2E91"/>
    <w:rsid w:val="008D71DC"/>
    <w:rsid w:val="008E10C2"/>
    <w:rsid w:val="008E2110"/>
    <w:rsid w:val="008E27D5"/>
    <w:rsid w:val="008E28D8"/>
    <w:rsid w:val="008E2DAC"/>
    <w:rsid w:val="008E5301"/>
    <w:rsid w:val="008E682D"/>
    <w:rsid w:val="008F0350"/>
    <w:rsid w:val="008F0B06"/>
    <w:rsid w:val="008F1374"/>
    <w:rsid w:val="008F2AD2"/>
    <w:rsid w:val="008F32F0"/>
    <w:rsid w:val="008F41BE"/>
    <w:rsid w:val="008F48D3"/>
    <w:rsid w:val="008F513F"/>
    <w:rsid w:val="008F5164"/>
    <w:rsid w:val="008F7445"/>
    <w:rsid w:val="0090073D"/>
    <w:rsid w:val="00900E9E"/>
    <w:rsid w:val="00901F3F"/>
    <w:rsid w:val="0090616E"/>
    <w:rsid w:val="0090624B"/>
    <w:rsid w:val="00906816"/>
    <w:rsid w:val="009145A7"/>
    <w:rsid w:val="009148D8"/>
    <w:rsid w:val="00915D35"/>
    <w:rsid w:val="009165BB"/>
    <w:rsid w:val="009174E2"/>
    <w:rsid w:val="0092466D"/>
    <w:rsid w:val="0092504D"/>
    <w:rsid w:val="0092741D"/>
    <w:rsid w:val="00927A61"/>
    <w:rsid w:val="00930C31"/>
    <w:rsid w:val="00935762"/>
    <w:rsid w:val="009361B0"/>
    <w:rsid w:val="00936BBA"/>
    <w:rsid w:val="00940A4D"/>
    <w:rsid w:val="009460D3"/>
    <w:rsid w:val="00953717"/>
    <w:rsid w:val="00956F54"/>
    <w:rsid w:val="00960A8C"/>
    <w:rsid w:val="0096214E"/>
    <w:rsid w:val="0096255B"/>
    <w:rsid w:val="00962639"/>
    <w:rsid w:val="00962855"/>
    <w:rsid w:val="00962ED0"/>
    <w:rsid w:val="00964679"/>
    <w:rsid w:val="00965815"/>
    <w:rsid w:val="009679B2"/>
    <w:rsid w:val="00967AEF"/>
    <w:rsid w:val="00970755"/>
    <w:rsid w:val="00970F61"/>
    <w:rsid w:val="00973CBC"/>
    <w:rsid w:val="00975694"/>
    <w:rsid w:val="00976295"/>
    <w:rsid w:val="00976791"/>
    <w:rsid w:val="00977134"/>
    <w:rsid w:val="00977E8D"/>
    <w:rsid w:val="00984861"/>
    <w:rsid w:val="00984E98"/>
    <w:rsid w:val="0098680F"/>
    <w:rsid w:val="00986E89"/>
    <w:rsid w:val="00987874"/>
    <w:rsid w:val="00987AC3"/>
    <w:rsid w:val="009907C6"/>
    <w:rsid w:val="00990E75"/>
    <w:rsid w:val="00991613"/>
    <w:rsid w:val="009929B6"/>
    <w:rsid w:val="00992E12"/>
    <w:rsid w:val="00993CE5"/>
    <w:rsid w:val="00994461"/>
    <w:rsid w:val="00995A4B"/>
    <w:rsid w:val="009965F7"/>
    <w:rsid w:val="00997946"/>
    <w:rsid w:val="009A0355"/>
    <w:rsid w:val="009A1A45"/>
    <w:rsid w:val="009A5B3D"/>
    <w:rsid w:val="009B3752"/>
    <w:rsid w:val="009B489A"/>
    <w:rsid w:val="009B4E92"/>
    <w:rsid w:val="009B7566"/>
    <w:rsid w:val="009C4131"/>
    <w:rsid w:val="009C6541"/>
    <w:rsid w:val="009C6CDB"/>
    <w:rsid w:val="009C777C"/>
    <w:rsid w:val="009D067B"/>
    <w:rsid w:val="009D0E3E"/>
    <w:rsid w:val="009D247E"/>
    <w:rsid w:val="009D2A23"/>
    <w:rsid w:val="009D2C59"/>
    <w:rsid w:val="009D7B07"/>
    <w:rsid w:val="009E0013"/>
    <w:rsid w:val="009E4B52"/>
    <w:rsid w:val="009E7F13"/>
    <w:rsid w:val="009F14E9"/>
    <w:rsid w:val="009F25AA"/>
    <w:rsid w:val="009F2774"/>
    <w:rsid w:val="009F27D4"/>
    <w:rsid w:val="009F4E70"/>
    <w:rsid w:val="009F5934"/>
    <w:rsid w:val="009F6F0A"/>
    <w:rsid w:val="00A029E4"/>
    <w:rsid w:val="00A03983"/>
    <w:rsid w:val="00A04EB0"/>
    <w:rsid w:val="00A0667A"/>
    <w:rsid w:val="00A069E4"/>
    <w:rsid w:val="00A074A4"/>
    <w:rsid w:val="00A07A21"/>
    <w:rsid w:val="00A10964"/>
    <w:rsid w:val="00A10A6F"/>
    <w:rsid w:val="00A110EA"/>
    <w:rsid w:val="00A11150"/>
    <w:rsid w:val="00A111FF"/>
    <w:rsid w:val="00A1337F"/>
    <w:rsid w:val="00A142BC"/>
    <w:rsid w:val="00A14566"/>
    <w:rsid w:val="00A14718"/>
    <w:rsid w:val="00A157FE"/>
    <w:rsid w:val="00A15DBA"/>
    <w:rsid w:val="00A15E4A"/>
    <w:rsid w:val="00A24261"/>
    <w:rsid w:val="00A25D28"/>
    <w:rsid w:val="00A25F0E"/>
    <w:rsid w:val="00A267FB"/>
    <w:rsid w:val="00A26C9E"/>
    <w:rsid w:val="00A3021F"/>
    <w:rsid w:val="00A308BF"/>
    <w:rsid w:val="00A36AA2"/>
    <w:rsid w:val="00A37988"/>
    <w:rsid w:val="00A41CBF"/>
    <w:rsid w:val="00A434C4"/>
    <w:rsid w:val="00A43D2C"/>
    <w:rsid w:val="00A44409"/>
    <w:rsid w:val="00A45994"/>
    <w:rsid w:val="00A515A0"/>
    <w:rsid w:val="00A57292"/>
    <w:rsid w:val="00A60CF8"/>
    <w:rsid w:val="00A6365F"/>
    <w:rsid w:val="00A67B6A"/>
    <w:rsid w:val="00A718C6"/>
    <w:rsid w:val="00A728A8"/>
    <w:rsid w:val="00A74E88"/>
    <w:rsid w:val="00A75E05"/>
    <w:rsid w:val="00A77521"/>
    <w:rsid w:val="00A805F3"/>
    <w:rsid w:val="00A8214A"/>
    <w:rsid w:val="00A859F9"/>
    <w:rsid w:val="00A90924"/>
    <w:rsid w:val="00A91C96"/>
    <w:rsid w:val="00A91EA7"/>
    <w:rsid w:val="00A938DF"/>
    <w:rsid w:val="00A945C2"/>
    <w:rsid w:val="00A964BC"/>
    <w:rsid w:val="00A96620"/>
    <w:rsid w:val="00A97094"/>
    <w:rsid w:val="00AA036C"/>
    <w:rsid w:val="00AB55E5"/>
    <w:rsid w:val="00AB7223"/>
    <w:rsid w:val="00AB77CD"/>
    <w:rsid w:val="00AC03A0"/>
    <w:rsid w:val="00AC2E2F"/>
    <w:rsid w:val="00AC6A21"/>
    <w:rsid w:val="00AC740A"/>
    <w:rsid w:val="00AC755D"/>
    <w:rsid w:val="00AD0552"/>
    <w:rsid w:val="00AD2C8B"/>
    <w:rsid w:val="00AD36D6"/>
    <w:rsid w:val="00AD4496"/>
    <w:rsid w:val="00AD50D2"/>
    <w:rsid w:val="00AD6BB0"/>
    <w:rsid w:val="00AE15DA"/>
    <w:rsid w:val="00AE1A98"/>
    <w:rsid w:val="00AE2BCB"/>
    <w:rsid w:val="00AE48D0"/>
    <w:rsid w:val="00AE67BB"/>
    <w:rsid w:val="00AF09FA"/>
    <w:rsid w:val="00AF251E"/>
    <w:rsid w:val="00AF3B24"/>
    <w:rsid w:val="00AF3B90"/>
    <w:rsid w:val="00AF4E1B"/>
    <w:rsid w:val="00AF5419"/>
    <w:rsid w:val="00B00331"/>
    <w:rsid w:val="00B015E1"/>
    <w:rsid w:val="00B01CDF"/>
    <w:rsid w:val="00B03D16"/>
    <w:rsid w:val="00B042CC"/>
    <w:rsid w:val="00B06245"/>
    <w:rsid w:val="00B07D05"/>
    <w:rsid w:val="00B10D1F"/>
    <w:rsid w:val="00B12447"/>
    <w:rsid w:val="00B125CB"/>
    <w:rsid w:val="00B14389"/>
    <w:rsid w:val="00B144BA"/>
    <w:rsid w:val="00B15071"/>
    <w:rsid w:val="00B20708"/>
    <w:rsid w:val="00B211EF"/>
    <w:rsid w:val="00B21DA1"/>
    <w:rsid w:val="00B22D0E"/>
    <w:rsid w:val="00B23051"/>
    <w:rsid w:val="00B26120"/>
    <w:rsid w:val="00B30D4B"/>
    <w:rsid w:val="00B30E13"/>
    <w:rsid w:val="00B32C01"/>
    <w:rsid w:val="00B33217"/>
    <w:rsid w:val="00B33C9D"/>
    <w:rsid w:val="00B3469F"/>
    <w:rsid w:val="00B36A53"/>
    <w:rsid w:val="00B40EEF"/>
    <w:rsid w:val="00B416E8"/>
    <w:rsid w:val="00B42344"/>
    <w:rsid w:val="00B43776"/>
    <w:rsid w:val="00B44C76"/>
    <w:rsid w:val="00B458E9"/>
    <w:rsid w:val="00B45E3D"/>
    <w:rsid w:val="00B45F32"/>
    <w:rsid w:val="00B460F0"/>
    <w:rsid w:val="00B46B20"/>
    <w:rsid w:val="00B46CF1"/>
    <w:rsid w:val="00B51775"/>
    <w:rsid w:val="00B53907"/>
    <w:rsid w:val="00B54873"/>
    <w:rsid w:val="00B56AF5"/>
    <w:rsid w:val="00B57AB3"/>
    <w:rsid w:val="00B602B7"/>
    <w:rsid w:val="00B616F5"/>
    <w:rsid w:val="00B62358"/>
    <w:rsid w:val="00B63495"/>
    <w:rsid w:val="00B647C5"/>
    <w:rsid w:val="00B64E2C"/>
    <w:rsid w:val="00B65E96"/>
    <w:rsid w:val="00B67D39"/>
    <w:rsid w:val="00B763B1"/>
    <w:rsid w:val="00B81A62"/>
    <w:rsid w:val="00B82E17"/>
    <w:rsid w:val="00B835E2"/>
    <w:rsid w:val="00B83F83"/>
    <w:rsid w:val="00B84A0C"/>
    <w:rsid w:val="00B8575B"/>
    <w:rsid w:val="00B86050"/>
    <w:rsid w:val="00B86D00"/>
    <w:rsid w:val="00B9344C"/>
    <w:rsid w:val="00B96586"/>
    <w:rsid w:val="00B96D63"/>
    <w:rsid w:val="00B97D3E"/>
    <w:rsid w:val="00BA0FFC"/>
    <w:rsid w:val="00BA481E"/>
    <w:rsid w:val="00BA4ACD"/>
    <w:rsid w:val="00BA7BF0"/>
    <w:rsid w:val="00BB7F73"/>
    <w:rsid w:val="00BC37D2"/>
    <w:rsid w:val="00BC47E4"/>
    <w:rsid w:val="00BD26E6"/>
    <w:rsid w:val="00BD2CD7"/>
    <w:rsid w:val="00BD3262"/>
    <w:rsid w:val="00BD3B4B"/>
    <w:rsid w:val="00BD5653"/>
    <w:rsid w:val="00BE4844"/>
    <w:rsid w:val="00BE60AB"/>
    <w:rsid w:val="00BE78C6"/>
    <w:rsid w:val="00BF1DEA"/>
    <w:rsid w:val="00BF451D"/>
    <w:rsid w:val="00BF5560"/>
    <w:rsid w:val="00BF665D"/>
    <w:rsid w:val="00C017BA"/>
    <w:rsid w:val="00C0545C"/>
    <w:rsid w:val="00C07788"/>
    <w:rsid w:val="00C139FE"/>
    <w:rsid w:val="00C1596E"/>
    <w:rsid w:val="00C16EE7"/>
    <w:rsid w:val="00C17E0C"/>
    <w:rsid w:val="00C17E0F"/>
    <w:rsid w:val="00C2062C"/>
    <w:rsid w:val="00C20F97"/>
    <w:rsid w:val="00C237F6"/>
    <w:rsid w:val="00C23A47"/>
    <w:rsid w:val="00C2436C"/>
    <w:rsid w:val="00C24DA9"/>
    <w:rsid w:val="00C27AF4"/>
    <w:rsid w:val="00C27B15"/>
    <w:rsid w:val="00C37EAD"/>
    <w:rsid w:val="00C40172"/>
    <w:rsid w:val="00C477FF"/>
    <w:rsid w:val="00C5147A"/>
    <w:rsid w:val="00C56A3D"/>
    <w:rsid w:val="00C5736E"/>
    <w:rsid w:val="00C60A86"/>
    <w:rsid w:val="00C60B74"/>
    <w:rsid w:val="00C612D4"/>
    <w:rsid w:val="00C631E1"/>
    <w:rsid w:val="00C6392A"/>
    <w:rsid w:val="00C64083"/>
    <w:rsid w:val="00C645B6"/>
    <w:rsid w:val="00C6518F"/>
    <w:rsid w:val="00C65751"/>
    <w:rsid w:val="00C66256"/>
    <w:rsid w:val="00C662FB"/>
    <w:rsid w:val="00C74272"/>
    <w:rsid w:val="00C74D81"/>
    <w:rsid w:val="00C75B3A"/>
    <w:rsid w:val="00C77496"/>
    <w:rsid w:val="00C80C53"/>
    <w:rsid w:val="00C80F75"/>
    <w:rsid w:val="00C81F01"/>
    <w:rsid w:val="00C8210B"/>
    <w:rsid w:val="00C83642"/>
    <w:rsid w:val="00C845C8"/>
    <w:rsid w:val="00C846A1"/>
    <w:rsid w:val="00C846A5"/>
    <w:rsid w:val="00C923EC"/>
    <w:rsid w:val="00C946DE"/>
    <w:rsid w:val="00C94FD6"/>
    <w:rsid w:val="00CA0B57"/>
    <w:rsid w:val="00CA1DFB"/>
    <w:rsid w:val="00CA3FAF"/>
    <w:rsid w:val="00CA5845"/>
    <w:rsid w:val="00CB15CF"/>
    <w:rsid w:val="00CB16F7"/>
    <w:rsid w:val="00CB17D5"/>
    <w:rsid w:val="00CB2DFA"/>
    <w:rsid w:val="00CB6A6D"/>
    <w:rsid w:val="00CB7419"/>
    <w:rsid w:val="00CB779B"/>
    <w:rsid w:val="00CC0179"/>
    <w:rsid w:val="00CC0B3A"/>
    <w:rsid w:val="00CC3B96"/>
    <w:rsid w:val="00CC5EBB"/>
    <w:rsid w:val="00CC71EB"/>
    <w:rsid w:val="00CD36C1"/>
    <w:rsid w:val="00CE22F0"/>
    <w:rsid w:val="00CE29E6"/>
    <w:rsid w:val="00CE4E4E"/>
    <w:rsid w:val="00CE6A6F"/>
    <w:rsid w:val="00CE7E93"/>
    <w:rsid w:val="00CF0F63"/>
    <w:rsid w:val="00CF109A"/>
    <w:rsid w:val="00CF7992"/>
    <w:rsid w:val="00D03264"/>
    <w:rsid w:val="00D03893"/>
    <w:rsid w:val="00D0519F"/>
    <w:rsid w:val="00D05356"/>
    <w:rsid w:val="00D10490"/>
    <w:rsid w:val="00D127F8"/>
    <w:rsid w:val="00D133EE"/>
    <w:rsid w:val="00D16308"/>
    <w:rsid w:val="00D167A3"/>
    <w:rsid w:val="00D173A5"/>
    <w:rsid w:val="00D17D20"/>
    <w:rsid w:val="00D20A4F"/>
    <w:rsid w:val="00D21A73"/>
    <w:rsid w:val="00D328FA"/>
    <w:rsid w:val="00D35B4C"/>
    <w:rsid w:val="00D360FA"/>
    <w:rsid w:val="00D42F87"/>
    <w:rsid w:val="00D43247"/>
    <w:rsid w:val="00D43767"/>
    <w:rsid w:val="00D43C10"/>
    <w:rsid w:val="00D51624"/>
    <w:rsid w:val="00D536CC"/>
    <w:rsid w:val="00D53C0B"/>
    <w:rsid w:val="00D60CD4"/>
    <w:rsid w:val="00D639C7"/>
    <w:rsid w:val="00D65C94"/>
    <w:rsid w:val="00D65F9C"/>
    <w:rsid w:val="00D718ED"/>
    <w:rsid w:val="00D71917"/>
    <w:rsid w:val="00D74B99"/>
    <w:rsid w:val="00D819C7"/>
    <w:rsid w:val="00D82C45"/>
    <w:rsid w:val="00D830DC"/>
    <w:rsid w:val="00D84B2F"/>
    <w:rsid w:val="00D9141C"/>
    <w:rsid w:val="00D929F9"/>
    <w:rsid w:val="00D94A14"/>
    <w:rsid w:val="00D95EEF"/>
    <w:rsid w:val="00D9619B"/>
    <w:rsid w:val="00D97BE1"/>
    <w:rsid w:val="00DA0A4A"/>
    <w:rsid w:val="00DA0EEB"/>
    <w:rsid w:val="00DA27BF"/>
    <w:rsid w:val="00DA310F"/>
    <w:rsid w:val="00DA3647"/>
    <w:rsid w:val="00DA6191"/>
    <w:rsid w:val="00DA7BE4"/>
    <w:rsid w:val="00DB001F"/>
    <w:rsid w:val="00DB20DE"/>
    <w:rsid w:val="00DB4994"/>
    <w:rsid w:val="00DB4C21"/>
    <w:rsid w:val="00DB700F"/>
    <w:rsid w:val="00DB7B61"/>
    <w:rsid w:val="00DC01F3"/>
    <w:rsid w:val="00DC2120"/>
    <w:rsid w:val="00DC6D73"/>
    <w:rsid w:val="00DD2B7F"/>
    <w:rsid w:val="00DD44DA"/>
    <w:rsid w:val="00DD5079"/>
    <w:rsid w:val="00DD54A1"/>
    <w:rsid w:val="00DD5A7E"/>
    <w:rsid w:val="00DD5C55"/>
    <w:rsid w:val="00DD61FA"/>
    <w:rsid w:val="00DD6AB8"/>
    <w:rsid w:val="00DD735B"/>
    <w:rsid w:val="00DE097E"/>
    <w:rsid w:val="00DE32E9"/>
    <w:rsid w:val="00DE4949"/>
    <w:rsid w:val="00DE6169"/>
    <w:rsid w:val="00DE6315"/>
    <w:rsid w:val="00DE6F80"/>
    <w:rsid w:val="00DF17A4"/>
    <w:rsid w:val="00DF1C70"/>
    <w:rsid w:val="00DF3FF3"/>
    <w:rsid w:val="00DF41DB"/>
    <w:rsid w:val="00DF520F"/>
    <w:rsid w:val="00DF52CF"/>
    <w:rsid w:val="00DF7BC7"/>
    <w:rsid w:val="00E00B93"/>
    <w:rsid w:val="00E0202B"/>
    <w:rsid w:val="00E03B23"/>
    <w:rsid w:val="00E058D3"/>
    <w:rsid w:val="00E05C7C"/>
    <w:rsid w:val="00E07AD0"/>
    <w:rsid w:val="00E1265B"/>
    <w:rsid w:val="00E128BC"/>
    <w:rsid w:val="00E12F35"/>
    <w:rsid w:val="00E1306E"/>
    <w:rsid w:val="00E13480"/>
    <w:rsid w:val="00E14DB4"/>
    <w:rsid w:val="00E213DD"/>
    <w:rsid w:val="00E21AE0"/>
    <w:rsid w:val="00E22B04"/>
    <w:rsid w:val="00E23750"/>
    <w:rsid w:val="00E23F38"/>
    <w:rsid w:val="00E27F02"/>
    <w:rsid w:val="00E35D89"/>
    <w:rsid w:val="00E375D1"/>
    <w:rsid w:val="00E404D0"/>
    <w:rsid w:val="00E4147F"/>
    <w:rsid w:val="00E43D34"/>
    <w:rsid w:val="00E44BD4"/>
    <w:rsid w:val="00E44EA4"/>
    <w:rsid w:val="00E456DB"/>
    <w:rsid w:val="00E45F6D"/>
    <w:rsid w:val="00E502EF"/>
    <w:rsid w:val="00E55F41"/>
    <w:rsid w:val="00E60D55"/>
    <w:rsid w:val="00E62201"/>
    <w:rsid w:val="00E6236B"/>
    <w:rsid w:val="00E6288D"/>
    <w:rsid w:val="00E629E1"/>
    <w:rsid w:val="00E62CC0"/>
    <w:rsid w:val="00E62F12"/>
    <w:rsid w:val="00E6359A"/>
    <w:rsid w:val="00E6501F"/>
    <w:rsid w:val="00E65BAB"/>
    <w:rsid w:val="00E65BB5"/>
    <w:rsid w:val="00E66E29"/>
    <w:rsid w:val="00E67324"/>
    <w:rsid w:val="00E67728"/>
    <w:rsid w:val="00E72FF9"/>
    <w:rsid w:val="00E73841"/>
    <w:rsid w:val="00E74F94"/>
    <w:rsid w:val="00E76AB7"/>
    <w:rsid w:val="00E85274"/>
    <w:rsid w:val="00E8558E"/>
    <w:rsid w:val="00E86B5B"/>
    <w:rsid w:val="00E87D4F"/>
    <w:rsid w:val="00E900C6"/>
    <w:rsid w:val="00E918C6"/>
    <w:rsid w:val="00E940F8"/>
    <w:rsid w:val="00E9520D"/>
    <w:rsid w:val="00E95297"/>
    <w:rsid w:val="00EA06A2"/>
    <w:rsid w:val="00EA2592"/>
    <w:rsid w:val="00EA5A07"/>
    <w:rsid w:val="00EA77B5"/>
    <w:rsid w:val="00EB01A5"/>
    <w:rsid w:val="00EB17C4"/>
    <w:rsid w:val="00EB251E"/>
    <w:rsid w:val="00EB3161"/>
    <w:rsid w:val="00EB3B20"/>
    <w:rsid w:val="00EB4586"/>
    <w:rsid w:val="00EB686B"/>
    <w:rsid w:val="00EB6EE5"/>
    <w:rsid w:val="00EB7C06"/>
    <w:rsid w:val="00EB7D94"/>
    <w:rsid w:val="00EB7D99"/>
    <w:rsid w:val="00EC1F1A"/>
    <w:rsid w:val="00EC3754"/>
    <w:rsid w:val="00EC4745"/>
    <w:rsid w:val="00EC566D"/>
    <w:rsid w:val="00EC68B4"/>
    <w:rsid w:val="00ED0296"/>
    <w:rsid w:val="00ED179E"/>
    <w:rsid w:val="00ED6235"/>
    <w:rsid w:val="00EE065C"/>
    <w:rsid w:val="00EE1790"/>
    <w:rsid w:val="00EE1D35"/>
    <w:rsid w:val="00EE2736"/>
    <w:rsid w:val="00EE3B0F"/>
    <w:rsid w:val="00EE6325"/>
    <w:rsid w:val="00EE6D91"/>
    <w:rsid w:val="00EF3660"/>
    <w:rsid w:val="00EF419D"/>
    <w:rsid w:val="00EF6B15"/>
    <w:rsid w:val="00EF739C"/>
    <w:rsid w:val="00EF7CC9"/>
    <w:rsid w:val="00F00159"/>
    <w:rsid w:val="00F0094B"/>
    <w:rsid w:val="00F01DEC"/>
    <w:rsid w:val="00F02027"/>
    <w:rsid w:val="00F0235F"/>
    <w:rsid w:val="00F02620"/>
    <w:rsid w:val="00F04982"/>
    <w:rsid w:val="00F05BC8"/>
    <w:rsid w:val="00F0705F"/>
    <w:rsid w:val="00F113B5"/>
    <w:rsid w:val="00F11773"/>
    <w:rsid w:val="00F117E7"/>
    <w:rsid w:val="00F11DEE"/>
    <w:rsid w:val="00F123D7"/>
    <w:rsid w:val="00F15170"/>
    <w:rsid w:val="00F22918"/>
    <w:rsid w:val="00F2318F"/>
    <w:rsid w:val="00F2611F"/>
    <w:rsid w:val="00F305CB"/>
    <w:rsid w:val="00F3119D"/>
    <w:rsid w:val="00F3259D"/>
    <w:rsid w:val="00F327A4"/>
    <w:rsid w:val="00F332AE"/>
    <w:rsid w:val="00F33DB8"/>
    <w:rsid w:val="00F351C1"/>
    <w:rsid w:val="00F36366"/>
    <w:rsid w:val="00F407CC"/>
    <w:rsid w:val="00F40CAF"/>
    <w:rsid w:val="00F412F2"/>
    <w:rsid w:val="00F43794"/>
    <w:rsid w:val="00F45DFF"/>
    <w:rsid w:val="00F461E8"/>
    <w:rsid w:val="00F46988"/>
    <w:rsid w:val="00F510F7"/>
    <w:rsid w:val="00F5594B"/>
    <w:rsid w:val="00F56423"/>
    <w:rsid w:val="00F564FF"/>
    <w:rsid w:val="00F57997"/>
    <w:rsid w:val="00F611F5"/>
    <w:rsid w:val="00F61358"/>
    <w:rsid w:val="00F613FF"/>
    <w:rsid w:val="00F61EE0"/>
    <w:rsid w:val="00F62A6D"/>
    <w:rsid w:val="00F63F30"/>
    <w:rsid w:val="00F65987"/>
    <w:rsid w:val="00F662CB"/>
    <w:rsid w:val="00F71CAF"/>
    <w:rsid w:val="00F7589A"/>
    <w:rsid w:val="00F76444"/>
    <w:rsid w:val="00F77C2F"/>
    <w:rsid w:val="00F80E7F"/>
    <w:rsid w:val="00F81B5F"/>
    <w:rsid w:val="00F83FF5"/>
    <w:rsid w:val="00F865E6"/>
    <w:rsid w:val="00F8684D"/>
    <w:rsid w:val="00F94046"/>
    <w:rsid w:val="00F94B4C"/>
    <w:rsid w:val="00F95442"/>
    <w:rsid w:val="00FA073F"/>
    <w:rsid w:val="00FA22B8"/>
    <w:rsid w:val="00FA257C"/>
    <w:rsid w:val="00FA465E"/>
    <w:rsid w:val="00FA61D9"/>
    <w:rsid w:val="00FA7B48"/>
    <w:rsid w:val="00FB2356"/>
    <w:rsid w:val="00FB24F3"/>
    <w:rsid w:val="00FB2C83"/>
    <w:rsid w:val="00FB30E3"/>
    <w:rsid w:val="00FB3103"/>
    <w:rsid w:val="00FB3255"/>
    <w:rsid w:val="00FB337C"/>
    <w:rsid w:val="00FB33BB"/>
    <w:rsid w:val="00FB34F7"/>
    <w:rsid w:val="00FB3C8A"/>
    <w:rsid w:val="00FB5CFB"/>
    <w:rsid w:val="00FB7B8F"/>
    <w:rsid w:val="00FC12F2"/>
    <w:rsid w:val="00FC13CC"/>
    <w:rsid w:val="00FC26A6"/>
    <w:rsid w:val="00FC3650"/>
    <w:rsid w:val="00FC36D6"/>
    <w:rsid w:val="00FC594C"/>
    <w:rsid w:val="00FC6B3D"/>
    <w:rsid w:val="00FC7A2E"/>
    <w:rsid w:val="00FC7C07"/>
    <w:rsid w:val="00FD43CE"/>
    <w:rsid w:val="00FD5BD7"/>
    <w:rsid w:val="00FE2062"/>
    <w:rsid w:val="00FE2208"/>
    <w:rsid w:val="00FE2891"/>
    <w:rsid w:val="00FE62C6"/>
    <w:rsid w:val="00FF2A7E"/>
    <w:rsid w:val="00FF4066"/>
    <w:rsid w:val="00FF709D"/>
    <w:rsid w:val="00FF71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E064"/>
  <w15:docId w15:val="{68A58175-940E-284C-BE28-1855B12E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3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4816D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4816D3"/>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4816D3"/>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Balk4">
    <w:name w:val="heading 4"/>
    <w:basedOn w:val="Normal"/>
    <w:next w:val="Normal"/>
    <w:link w:val="Balk4Char"/>
    <w:uiPriority w:val="9"/>
    <w:unhideWhenUsed/>
    <w:qFormat/>
    <w:rsid w:val="004816D3"/>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816D3"/>
    <w:rPr>
      <w:rFonts w:asciiTheme="majorHAnsi" w:eastAsiaTheme="majorEastAsia" w:hAnsiTheme="majorHAnsi" w:cstheme="majorBidi"/>
      <w:b/>
      <w:bCs/>
      <w:color w:val="2E74B5" w:themeColor="accent1" w:themeShade="BF"/>
      <w:sz w:val="28"/>
      <w:szCs w:val="28"/>
      <w:lang w:eastAsia="tr-TR"/>
    </w:rPr>
  </w:style>
  <w:style w:type="character" w:customStyle="1" w:styleId="Balk2Char">
    <w:name w:val="Başlık 2 Char"/>
    <w:basedOn w:val="VarsaylanParagrafYazTipi"/>
    <w:link w:val="Balk2"/>
    <w:uiPriority w:val="9"/>
    <w:rsid w:val="004816D3"/>
    <w:rPr>
      <w:rFonts w:asciiTheme="majorHAnsi" w:eastAsiaTheme="majorEastAsia" w:hAnsiTheme="majorHAnsi" w:cstheme="majorBidi"/>
      <w:b/>
      <w:bCs/>
      <w:color w:val="5B9BD5" w:themeColor="accent1"/>
      <w:sz w:val="26"/>
      <w:szCs w:val="26"/>
      <w:lang w:eastAsia="tr-TR"/>
    </w:rPr>
  </w:style>
  <w:style w:type="character" w:customStyle="1" w:styleId="Balk3Char">
    <w:name w:val="Başlık 3 Char"/>
    <w:basedOn w:val="VarsaylanParagrafYazTipi"/>
    <w:link w:val="Balk3"/>
    <w:uiPriority w:val="9"/>
    <w:rsid w:val="004816D3"/>
    <w:rPr>
      <w:rFonts w:asciiTheme="majorHAnsi" w:eastAsiaTheme="majorEastAsia" w:hAnsiTheme="majorHAnsi" w:cstheme="majorBidi"/>
      <w:b/>
      <w:bCs/>
      <w:color w:val="5B9BD5" w:themeColor="accent1"/>
      <w:lang w:eastAsia="tr-TR"/>
    </w:rPr>
  </w:style>
  <w:style w:type="character" w:customStyle="1" w:styleId="Balk4Char">
    <w:name w:val="Başlık 4 Char"/>
    <w:basedOn w:val="VarsaylanParagrafYazTipi"/>
    <w:link w:val="Balk4"/>
    <w:uiPriority w:val="9"/>
    <w:rsid w:val="004816D3"/>
    <w:rPr>
      <w:rFonts w:asciiTheme="majorHAnsi" w:eastAsiaTheme="majorEastAsia" w:hAnsiTheme="majorHAnsi" w:cstheme="majorBidi"/>
      <w:i/>
      <w:iCs/>
      <w:color w:val="2E74B5" w:themeColor="accent1" w:themeShade="BF"/>
      <w:lang w:eastAsia="tr-TR"/>
    </w:rPr>
  </w:style>
  <w:style w:type="paragraph" w:styleId="ListeParagraf">
    <w:name w:val="List Paragraph"/>
    <w:basedOn w:val="Normal"/>
    <w:uiPriority w:val="34"/>
    <w:qFormat/>
    <w:rsid w:val="004816D3"/>
    <w:pPr>
      <w:spacing w:after="200" w:line="276" w:lineRule="auto"/>
      <w:ind w:left="720"/>
      <w:contextualSpacing/>
    </w:pPr>
    <w:rPr>
      <w:rFonts w:asciiTheme="minorHAnsi" w:eastAsiaTheme="minorEastAsia" w:hAnsiTheme="minorHAnsi" w:cstheme="minorBidi"/>
      <w:sz w:val="22"/>
      <w:szCs w:val="22"/>
    </w:rPr>
  </w:style>
  <w:style w:type="paragraph" w:styleId="HTMLncedenBiimlendirilmi">
    <w:name w:val="HTML Preformatted"/>
    <w:basedOn w:val="Normal"/>
    <w:link w:val="HTMLncedenBiimlendirilmiChar"/>
    <w:uiPriority w:val="99"/>
    <w:unhideWhenUsed/>
    <w:rsid w:val="0048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4816D3"/>
    <w:rPr>
      <w:rFonts w:ascii="Courier New" w:eastAsia="Times New Roman" w:hAnsi="Courier New" w:cs="Courier New"/>
      <w:sz w:val="20"/>
      <w:szCs w:val="20"/>
      <w:lang w:eastAsia="tr-TR"/>
    </w:rPr>
  </w:style>
  <w:style w:type="paragraph" w:styleId="KonuBal">
    <w:name w:val="Title"/>
    <w:basedOn w:val="Normal"/>
    <w:next w:val="Normal"/>
    <w:link w:val="KonuBalChar"/>
    <w:uiPriority w:val="10"/>
    <w:qFormat/>
    <w:rsid w:val="004816D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4816D3"/>
    <w:rPr>
      <w:rFonts w:asciiTheme="majorHAnsi" w:eastAsiaTheme="majorEastAsia" w:hAnsiTheme="majorHAnsi" w:cstheme="majorBidi"/>
      <w:color w:val="323E4F" w:themeColor="text2" w:themeShade="BF"/>
      <w:spacing w:val="5"/>
      <w:kern w:val="28"/>
      <w:sz w:val="52"/>
      <w:szCs w:val="52"/>
      <w:lang w:eastAsia="tr-TR"/>
    </w:rPr>
  </w:style>
  <w:style w:type="paragraph" w:styleId="NormalWeb">
    <w:name w:val="Normal (Web)"/>
    <w:basedOn w:val="Normal"/>
    <w:uiPriority w:val="99"/>
    <w:unhideWhenUsed/>
    <w:rsid w:val="004816D3"/>
    <w:pPr>
      <w:spacing w:before="100" w:beforeAutospacing="1" w:after="100" w:afterAutospacing="1"/>
    </w:pPr>
  </w:style>
  <w:style w:type="character" w:customStyle="1" w:styleId="h1">
    <w:name w:val="h1"/>
    <w:basedOn w:val="VarsaylanParagrafYazTipi"/>
    <w:rsid w:val="004816D3"/>
  </w:style>
  <w:style w:type="character" w:customStyle="1" w:styleId="headingendmark">
    <w:name w:val="headingendmark"/>
    <w:basedOn w:val="VarsaylanParagrafYazTipi"/>
    <w:rsid w:val="004816D3"/>
  </w:style>
  <w:style w:type="character" w:styleId="Kpr">
    <w:name w:val="Hyperlink"/>
    <w:basedOn w:val="VarsaylanParagrafYazTipi"/>
    <w:uiPriority w:val="99"/>
    <w:unhideWhenUsed/>
    <w:rsid w:val="004816D3"/>
    <w:rPr>
      <w:color w:val="0000FF"/>
      <w:u w:val="single"/>
    </w:rPr>
  </w:style>
  <w:style w:type="paragraph" w:customStyle="1" w:styleId="bulletndent1">
    <w:name w:val="bulletındent1"/>
    <w:basedOn w:val="Normal"/>
    <w:rsid w:val="004816D3"/>
    <w:pPr>
      <w:spacing w:before="100" w:beforeAutospacing="1" w:after="100" w:afterAutospacing="1"/>
    </w:pPr>
  </w:style>
  <w:style w:type="character" w:customStyle="1" w:styleId="glyph">
    <w:name w:val="glyph"/>
    <w:basedOn w:val="VarsaylanParagrafYazTipi"/>
    <w:rsid w:val="004816D3"/>
  </w:style>
  <w:style w:type="character" w:styleId="Vurgu">
    <w:name w:val="Emphasis"/>
    <w:basedOn w:val="VarsaylanParagrafYazTipi"/>
    <w:uiPriority w:val="20"/>
    <w:qFormat/>
    <w:rsid w:val="004816D3"/>
    <w:rPr>
      <w:i/>
      <w:iCs/>
    </w:rPr>
  </w:style>
  <w:style w:type="character" w:customStyle="1" w:styleId="apple-converted-space">
    <w:name w:val="apple-converted-space"/>
    <w:basedOn w:val="VarsaylanParagrafYazTipi"/>
    <w:rsid w:val="004816D3"/>
  </w:style>
  <w:style w:type="character" w:styleId="zlenenKpr">
    <w:name w:val="FollowedHyperlink"/>
    <w:basedOn w:val="VarsaylanParagrafYazTipi"/>
    <w:uiPriority w:val="99"/>
    <w:semiHidden/>
    <w:unhideWhenUsed/>
    <w:rsid w:val="004816D3"/>
    <w:rPr>
      <w:color w:val="954F72" w:themeColor="followedHyperlink"/>
      <w:u w:val="single"/>
    </w:rPr>
  </w:style>
  <w:style w:type="character" w:customStyle="1" w:styleId="nowrap">
    <w:name w:val="nowrap"/>
    <w:basedOn w:val="VarsaylanParagrafYazTipi"/>
    <w:rsid w:val="004816D3"/>
  </w:style>
  <w:style w:type="paragraph" w:customStyle="1" w:styleId="headinganchor">
    <w:name w:val="headinganchor"/>
    <w:basedOn w:val="Normal"/>
    <w:rsid w:val="004816D3"/>
    <w:pPr>
      <w:spacing w:before="100" w:beforeAutospacing="1" w:after="100" w:afterAutospacing="1"/>
    </w:pPr>
  </w:style>
  <w:style w:type="character" w:styleId="Gl">
    <w:name w:val="Strong"/>
    <w:basedOn w:val="VarsaylanParagrafYazTipi"/>
    <w:uiPriority w:val="22"/>
    <w:qFormat/>
    <w:rsid w:val="004816D3"/>
    <w:rPr>
      <w:b/>
      <w:bCs/>
    </w:rPr>
  </w:style>
  <w:style w:type="character" w:customStyle="1" w:styleId="highlighted">
    <w:name w:val="highlighted"/>
    <w:basedOn w:val="VarsaylanParagrafYazTipi"/>
    <w:rsid w:val="004816D3"/>
  </w:style>
  <w:style w:type="character" w:customStyle="1" w:styleId="h2">
    <w:name w:val="h2"/>
    <w:basedOn w:val="VarsaylanParagrafYazTipi"/>
    <w:rsid w:val="004816D3"/>
  </w:style>
  <w:style w:type="paragraph" w:customStyle="1" w:styleId="svarticle">
    <w:name w:val="svarticle"/>
    <w:basedOn w:val="Normal"/>
    <w:rsid w:val="004816D3"/>
    <w:pPr>
      <w:spacing w:before="100" w:beforeAutospacing="1" w:after="100" w:afterAutospacing="1"/>
    </w:pPr>
  </w:style>
  <w:style w:type="character" w:customStyle="1" w:styleId="highlight">
    <w:name w:val="highlight"/>
    <w:basedOn w:val="VarsaylanParagrafYazTipi"/>
    <w:rsid w:val="004816D3"/>
  </w:style>
  <w:style w:type="paragraph" w:customStyle="1" w:styleId="paragraph">
    <w:name w:val="paragraph"/>
    <w:basedOn w:val="Normal"/>
    <w:rsid w:val="004816D3"/>
    <w:pPr>
      <w:spacing w:before="100" w:beforeAutospacing="1" w:after="100" w:afterAutospacing="1"/>
    </w:pPr>
  </w:style>
  <w:style w:type="character" w:customStyle="1" w:styleId="normaltextrun">
    <w:name w:val="normaltextrun"/>
    <w:basedOn w:val="VarsaylanParagrafYazTipi"/>
    <w:rsid w:val="004816D3"/>
  </w:style>
  <w:style w:type="character" w:customStyle="1" w:styleId="spellingerror">
    <w:name w:val="spellingerror"/>
    <w:basedOn w:val="VarsaylanParagrafYazTipi"/>
    <w:rsid w:val="004816D3"/>
  </w:style>
  <w:style w:type="character" w:customStyle="1" w:styleId="eop">
    <w:name w:val="eop"/>
    <w:basedOn w:val="VarsaylanParagrafYazTipi"/>
    <w:rsid w:val="004816D3"/>
  </w:style>
  <w:style w:type="character" w:styleId="AklamaBavurusu">
    <w:name w:val="annotation reference"/>
    <w:basedOn w:val="VarsaylanParagrafYazTipi"/>
    <w:uiPriority w:val="99"/>
    <w:semiHidden/>
    <w:unhideWhenUsed/>
    <w:rsid w:val="004816D3"/>
    <w:rPr>
      <w:sz w:val="16"/>
      <w:szCs w:val="16"/>
    </w:rPr>
  </w:style>
  <w:style w:type="paragraph" w:styleId="AklamaMetni">
    <w:name w:val="annotation text"/>
    <w:basedOn w:val="Normal"/>
    <w:link w:val="AklamaMetniChar"/>
    <w:uiPriority w:val="99"/>
    <w:unhideWhenUsed/>
    <w:rsid w:val="004816D3"/>
    <w:pPr>
      <w:spacing w:after="200"/>
    </w:pPr>
    <w:rPr>
      <w:rFonts w:asciiTheme="minorHAnsi" w:eastAsiaTheme="minorEastAsia" w:hAnsiTheme="minorHAnsi" w:cstheme="minorBidi"/>
      <w:sz w:val="20"/>
      <w:szCs w:val="20"/>
    </w:rPr>
  </w:style>
  <w:style w:type="character" w:customStyle="1" w:styleId="AklamaMetniChar">
    <w:name w:val="Açıklama Metni Char"/>
    <w:basedOn w:val="VarsaylanParagrafYazTipi"/>
    <w:link w:val="AklamaMetni"/>
    <w:uiPriority w:val="99"/>
    <w:rsid w:val="004816D3"/>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4816D3"/>
    <w:rPr>
      <w:b/>
      <w:bCs/>
    </w:rPr>
  </w:style>
  <w:style w:type="character" w:customStyle="1" w:styleId="AklamaKonusuChar">
    <w:name w:val="Açıklama Konusu Char"/>
    <w:basedOn w:val="AklamaMetniChar"/>
    <w:link w:val="AklamaKonusu"/>
    <w:uiPriority w:val="99"/>
    <w:semiHidden/>
    <w:rsid w:val="004816D3"/>
    <w:rPr>
      <w:rFonts w:eastAsiaTheme="minorEastAsia"/>
      <w:b/>
      <w:bCs/>
      <w:sz w:val="20"/>
      <w:szCs w:val="20"/>
      <w:lang w:eastAsia="tr-TR"/>
    </w:rPr>
  </w:style>
  <w:style w:type="paragraph" w:styleId="BalonMetni">
    <w:name w:val="Balloon Text"/>
    <w:basedOn w:val="Normal"/>
    <w:link w:val="BalonMetniChar"/>
    <w:uiPriority w:val="99"/>
    <w:semiHidden/>
    <w:unhideWhenUsed/>
    <w:rsid w:val="004816D3"/>
    <w:rPr>
      <w:rFonts w:ascii="Tahoma" w:eastAsiaTheme="minorEastAsia" w:hAnsi="Tahoma" w:cs="Tahoma"/>
      <w:sz w:val="16"/>
      <w:szCs w:val="16"/>
    </w:rPr>
  </w:style>
  <w:style w:type="character" w:customStyle="1" w:styleId="BalonMetniChar">
    <w:name w:val="Balon Metni Char"/>
    <w:basedOn w:val="VarsaylanParagrafYazTipi"/>
    <w:link w:val="BalonMetni"/>
    <w:uiPriority w:val="99"/>
    <w:semiHidden/>
    <w:rsid w:val="004816D3"/>
    <w:rPr>
      <w:rFonts w:ascii="Tahoma" w:eastAsiaTheme="minorEastAsia" w:hAnsi="Tahoma" w:cs="Tahoma"/>
      <w:sz w:val="16"/>
      <w:szCs w:val="16"/>
      <w:lang w:eastAsia="tr-TR"/>
    </w:rPr>
  </w:style>
  <w:style w:type="character" w:customStyle="1" w:styleId="medcalcfontcctab">
    <w:name w:val="medcalcfontcctab"/>
    <w:basedOn w:val="VarsaylanParagrafYazTipi"/>
    <w:rsid w:val="004816D3"/>
  </w:style>
  <w:style w:type="paragraph" w:customStyle="1" w:styleId="bulletindent1">
    <w:name w:val="bulletindent1"/>
    <w:basedOn w:val="Normal"/>
    <w:rsid w:val="004816D3"/>
    <w:pPr>
      <w:spacing w:before="100" w:beforeAutospacing="1" w:after="100" w:afterAutospacing="1"/>
    </w:pPr>
  </w:style>
  <w:style w:type="character" w:customStyle="1" w:styleId="cit">
    <w:name w:val="cit"/>
    <w:basedOn w:val="VarsaylanParagrafYazTipi"/>
    <w:rsid w:val="004816D3"/>
  </w:style>
  <w:style w:type="character" w:customStyle="1" w:styleId="fm-vol-iss-date">
    <w:name w:val="fm-vol-iss-date"/>
    <w:basedOn w:val="VarsaylanParagrafYazTipi"/>
    <w:rsid w:val="004816D3"/>
  </w:style>
  <w:style w:type="character" w:customStyle="1" w:styleId="doi">
    <w:name w:val="doi"/>
    <w:basedOn w:val="VarsaylanParagrafYazTipi"/>
    <w:rsid w:val="004816D3"/>
  </w:style>
  <w:style w:type="character" w:customStyle="1" w:styleId="fm-citation-ids-label">
    <w:name w:val="fm-citation-ids-label"/>
    <w:basedOn w:val="VarsaylanParagrafYazTipi"/>
    <w:rsid w:val="004816D3"/>
  </w:style>
  <w:style w:type="character" w:customStyle="1" w:styleId="title-text">
    <w:name w:val="title-text"/>
    <w:basedOn w:val="VarsaylanParagrafYazTipi"/>
    <w:rsid w:val="004816D3"/>
  </w:style>
  <w:style w:type="character" w:customStyle="1" w:styleId="published-date">
    <w:name w:val="published-date"/>
    <w:basedOn w:val="VarsaylanParagrafYazTipi"/>
    <w:rsid w:val="004816D3"/>
  </w:style>
  <w:style w:type="character" w:customStyle="1" w:styleId="subhead-sans">
    <w:name w:val="subhead-sans"/>
    <w:basedOn w:val="VarsaylanParagrafYazTipi"/>
    <w:rsid w:val="004816D3"/>
  </w:style>
  <w:style w:type="character" w:customStyle="1" w:styleId="zmlenmeyenBahsetme1">
    <w:name w:val="Çözümlenmeyen Bahsetme1"/>
    <w:basedOn w:val="VarsaylanParagrafYazTipi"/>
    <w:uiPriority w:val="99"/>
    <w:semiHidden/>
    <w:unhideWhenUsed/>
    <w:rsid w:val="00160C9A"/>
    <w:rPr>
      <w:color w:val="808080"/>
      <w:shd w:val="clear" w:color="auto" w:fill="E6E6E6"/>
    </w:rPr>
  </w:style>
  <w:style w:type="character" w:customStyle="1" w:styleId="zmlenmeyenBahsetme2">
    <w:name w:val="Çözümlenmeyen Bahsetme2"/>
    <w:basedOn w:val="VarsaylanParagrafYazTipi"/>
    <w:uiPriority w:val="99"/>
    <w:semiHidden/>
    <w:unhideWhenUsed/>
    <w:rsid w:val="007B0AC0"/>
    <w:rPr>
      <w:color w:val="808080"/>
      <w:shd w:val="clear" w:color="auto" w:fill="E6E6E6"/>
    </w:rPr>
  </w:style>
  <w:style w:type="paragraph" w:styleId="Dzeltme">
    <w:name w:val="Revision"/>
    <w:hidden/>
    <w:uiPriority w:val="99"/>
    <w:semiHidden/>
    <w:rsid w:val="0008628F"/>
    <w:pPr>
      <w:spacing w:after="0" w:line="240" w:lineRule="auto"/>
    </w:pPr>
    <w:rPr>
      <w:rFonts w:eastAsiaTheme="minorEastAsia"/>
      <w:lang w:eastAsia="tr-TR"/>
    </w:rPr>
  </w:style>
  <w:style w:type="paragraph" w:customStyle="1" w:styleId="title1">
    <w:name w:val="title1"/>
    <w:basedOn w:val="Normal"/>
    <w:rsid w:val="002B1554"/>
    <w:rPr>
      <w:sz w:val="27"/>
      <w:szCs w:val="27"/>
    </w:rPr>
  </w:style>
  <w:style w:type="paragraph" w:customStyle="1" w:styleId="desc2">
    <w:name w:val="desc2"/>
    <w:basedOn w:val="Normal"/>
    <w:rsid w:val="002B1554"/>
    <w:rPr>
      <w:sz w:val="26"/>
      <w:szCs w:val="26"/>
    </w:rPr>
  </w:style>
  <w:style w:type="paragraph" w:customStyle="1" w:styleId="details1">
    <w:name w:val="details1"/>
    <w:basedOn w:val="Normal"/>
    <w:rsid w:val="002B1554"/>
    <w:rPr>
      <w:sz w:val="22"/>
      <w:szCs w:val="22"/>
    </w:rPr>
  </w:style>
  <w:style w:type="character" w:customStyle="1" w:styleId="jrnl">
    <w:name w:val="jrnl"/>
    <w:basedOn w:val="VarsaylanParagrafYazTipi"/>
    <w:rsid w:val="002B1554"/>
  </w:style>
  <w:style w:type="character" w:customStyle="1" w:styleId="reference2">
    <w:name w:val="reference2"/>
    <w:basedOn w:val="VarsaylanParagrafYazTipi"/>
    <w:rsid w:val="00A43D2C"/>
  </w:style>
  <w:style w:type="paragraph" w:customStyle="1" w:styleId="p">
    <w:name w:val="p"/>
    <w:basedOn w:val="Normal"/>
    <w:rsid w:val="00632179"/>
    <w:pPr>
      <w:spacing w:before="100" w:beforeAutospacing="1" w:after="100" w:afterAutospacing="1"/>
    </w:pPr>
  </w:style>
  <w:style w:type="character" w:customStyle="1" w:styleId="element-citation">
    <w:name w:val="element-citation"/>
    <w:basedOn w:val="VarsaylanParagrafYazTipi"/>
    <w:rsid w:val="00632179"/>
  </w:style>
  <w:style w:type="character" w:customStyle="1" w:styleId="ref-journal">
    <w:name w:val="ref-journal"/>
    <w:basedOn w:val="VarsaylanParagrafYazTipi"/>
    <w:rsid w:val="00632179"/>
  </w:style>
  <w:style w:type="character" w:customStyle="1" w:styleId="ref-vol">
    <w:name w:val="ref-vol"/>
    <w:basedOn w:val="VarsaylanParagrafYazTipi"/>
    <w:rsid w:val="00632179"/>
  </w:style>
  <w:style w:type="character" w:customStyle="1" w:styleId="A0">
    <w:name w:val="A0"/>
    <w:uiPriority w:val="99"/>
    <w:rsid w:val="007528C0"/>
    <w:rPr>
      <w:rFonts w:cs="Times"/>
      <w:color w:val="000000"/>
      <w:sz w:val="18"/>
      <w:szCs w:val="18"/>
    </w:rPr>
  </w:style>
  <w:style w:type="paragraph" w:customStyle="1" w:styleId="xydpa63fa9c4yiv7303835055ydpbaf6fb72yiv8453841409ydp3fb8dab1msonormal">
    <w:name w:val="x_ydpa63fa9c4yiv7303835055ydpbaf6fb72yiv8453841409ydp3fb8dab1msonormal"/>
    <w:basedOn w:val="Normal"/>
    <w:rsid w:val="005A33D2"/>
    <w:pPr>
      <w:spacing w:before="100" w:beforeAutospacing="1" w:after="100" w:afterAutospacing="1"/>
    </w:pPr>
  </w:style>
  <w:style w:type="paragraph" w:customStyle="1" w:styleId="Saptanm">
    <w:name w:val="Saptanmış"/>
    <w:rsid w:val="003E5FC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tr-TR"/>
    </w:rPr>
  </w:style>
  <w:style w:type="paragraph" w:customStyle="1" w:styleId="xydp98b0ef9amsonormal">
    <w:name w:val="x_ydp98b0ef9amsonormal"/>
    <w:basedOn w:val="Normal"/>
    <w:rsid w:val="005712F8"/>
    <w:pPr>
      <w:spacing w:before="100" w:beforeAutospacing="1" w:after="100" w:afterAutospacing="1"/>
    </w:pPr>
  </w:style>
  <w:style w:type="character" w:customStyle="1" w:styleId="xydp98b0ef9amsohyperlink">
    <w:name w:val="x_ydp98b0ef9amsohyperlink"/>
    <w:basedOn w:val="VarsaylanParagrafYazTipi"/>
    <w:rsid w:val="005712F8"/>
  </w:style>
  <w:style w:type="character" w:customStyle="1" w:styleId="user-generated">
    <w:name w:val="user-generated"/>
    <w:basedOn w:val="VarsaylanParagrafYazTipi"/>
    <w:rsid w:val="001D5654"/>
  </w:style>
  <w:style w:type="character" w:customStyle="1" w:styleId="zmlenmeyenBahsetme3">
    <w:name w:val="Çözümlenmeyen Bahsetme3"/>
    <w:basedOn w:val="VarsaylanParagrafYazTipi"/>
    <w:uiPriority w:val="99"/>
    <w:semiHidden/>
    <w:unhideWhenUsed/>
    <w:rsid w:val="001978D3"/>
    <w:rPr>
      <w:color w:val="808080"/>
      <w:shd w:val="clear" w:color="auto" w:fill="E6E6E6"/>
    </w:rPr>
  </w:style>
  <w:style w:type="paragraph" w:customStyle="1" w:styleId="xydpfcd73491msonormal">
    <w:name w:val="x_ydpfcd73491msonormal"/>
    <w:basedOn w:val="Normal"/>
    <w:rsid w:val="001978D3"/>
    <w:pPr>
      <w:spacing w:before="100" w:beforeAutospacing="1" w:after="100" w:afterAutospacing="1"/>
    </w:pPr>
  </w:style>
  <w:style w:type="character" w:customStyle="1" w:styleId="HTMLPreformattedChar">
    <w:name w:val="HTML Preformatted Char"/>
    <w:basedOn w:val="VarsaylanParagrafYazTipi"/>
    <w:uiPriority w:val="99"/>
    <w:rsid w:val="001978D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909">
      <w:bodyDiv w:val="1"/>
      <w:marLeft w:val="0"/>
      <w:marRight w:val="0"/>
      <w:marTop w:val="0"/>
      <w:marBottom w:val="0"/>
      <w:divBdr>
        <w:top w:val="none" w:sz="0" w:space="0" w:color="auto"/>
        <w:left w:val="none" w:sz="0" w:space="0" w:color="auto"/>
        <w:bottom w:val="none" w:sz="0" w:space="0" w:color="auto"/>
        <w:right w:val="none" w:sz="0" w:space="0" w:color="auto"/>
      </w:divBdr>
      <w:divsChild>
        <w:div w:id="82264733">
          <w:marLeft w:val="0"/>
          <w:marRight w:val="0"/>
          <w:marTop w:val="0"/>
          <w:marBottom w:val="0"/>
          <w:divBdr>
            <w:top w:val="none" w:sz="0" w:space="0" w:color="auto"/>
            <w:left w:val="none" w:sz="0" w:space="0" w:color="auto"/>
            <w:bottom w:val="none" w:sz="0" w:space="0" w:color="auto"/>
            <w:right w:val="none" w:sz="0" w:space="0" w:color="auto"/>
          </w:divBdr>
        </w:div>
        <w:div w:id="621502678">
          <w:marLeft w:val="0"/>
          <w:marRight w:val="0"/>
          <w:marTop w:val="0"/>
          <w:marBottom w:val="0"/>
          <w:divBdr>
            <w:top w:val="none" w:sz="0" w:space="0" w:color="auto"/>
            <w:left w:val="none" w:sz="0" w:space="0" w:color="auto"/>
            <w:bottom w:val="none" w:sz="0" w:space="0" w:color="auto"/>
            <w:right w:val="none" w:sz="0" w:space="0" w:color="auto"/>
          </w:divBdr>
        </w:div>
        <w:div w:id="327562977">
          <w:marLeft w:val="0"/>
          <w:marRight w:val="0"/>
          <w:marTop w:val="0"/>
          <w:marBottom w:val="0"/>
          <w:divBdr>
            <w:top w:val="none" w:sz="0" w:space="0" w:color="auto"/>
            <w:left w:val="none" w:sz="0" w:space="0" w:color="auto"/>
            <w:bottom w:val="none" w:sz="0" w:space="0" w:color="auto"/>
            <w:right w:val="none" w:sz="0" w:space="0" w:color="auto"/>
          </w:divBdr>
        </w:div>
      </w:divsChild>
    </w:div>
    <w:div w:id="10886160">
      <w:bodyDiv w:val="1"/>
      <w:marLeft w:val="0"/>
      <w:marRight w:val="0"/>
      <w:marTop w:val="0"/>
      <w:marBottom w:val="0"/>
      <w:divBdr>
        <w:top w:val="none" w:sz="0" w:space="0" w:color="auto"/>
        <w:left w:val="none" w:sz="0" w:space="0" w:color="auto"/>
        <w:bottom w:val="none" w:sz="0" w:space="0" w:color="auto"/>
        <w:right w:val="none" w:sz="0" w:space="0" w:color="auto"/>
      </w:divBdr>
    </w:div>
    <w:div w:id="14620892">
      <w:bodyDiv w:val="1"/>
      <w:marLeft w:val="0"/>
      <w:marRight w:val="0"/>
      <w:marTop w:val="0"/>
      <w:marBottom w:val="0"/>
      <w:divBdr>
        <w:top w:val="none" w:sz="0" w:space="0" w:color="auto"/>
        <w:left w:val="none" w:sz="0" w:space="0" w:color="auto"/>
        <w:bottom w:val="none" w:sz="0" w:space="0" w:color="auto"/>
        <w:right w:val="none" w:sz="0" w:space="0" w:color="auto"/>
      </w:divBdr>
    </w:div>
    <w:div w:id="61565106">
      <w:bodyDiv w:val="1"/>
      <w:marLeft w:val="0"/>
      <w:marRight w:val="0"/>
      <w:marTop w:val="0"/>
      <w:marBottom w:val="0"/>
      <w:divBdr>
        <w:top w:val="none" w:sz="0" w:space="0" w:color="auto"/>
        <w:left w:val="none" w:sz="0" w:space="0" w:color="auto"/>
        <w:bottom w:val="none" w:sz="0" w:space="0" w:color="auto"/>
        <w:right w:val="none" w:sz="0" w:space="0" w:color="auto"/>
      </w:divBdr>
    </w:div>
    <w:div w:id="69276022">
      <w:bodyDiv w:val="1"/>
      <w:marLeft w:val="0"/>
      <w:marRight w:val="0"/>
      <w:marTop w:val="0"/>
      <w:marBottom w:val="0"/>
      <w:divBdr>
        <w:top w:val="none" w:sz="0" w:space="0" w:color="auto"/>
        <w:left w:val="none" w:sz="0" w:space="0" w:color="auto"/>
        <w:bottom w:val="none" w:sz="0" w:space="0" w:color="auto"/>
        <w:right w:val="none" w:sz="0" w:space="0" w:color="auto"/>
      </w:divBdr>
      <w:divsChild>
        <w:div w:id="1054505732">
          <w:marLeft w:val="0"/>
          <w:marRight w:val="0"/>
          <w:marTop w:val="0"/>
          <w:marBottom w:val="0"/>
          <w:divBdr>
            <w:top w:val="none" w:sz="0" w:space="0" w:color="auto"/>
            <w:left w:val="none" w:sz="0" w:space="0" w:color="auto"/>
            <w:bottom w:val="none" w:sz="0" w:space="0" w:color="auto"/>
            <w:right w:val="none" w:sz="0" w:space="0" w:color="auto"/>
          </w:divBdr>
          <w:divsChild>
            <w:div w:id="32193912">
              <w:marLeft w:val="0"/>
              <w:marRight w:val="0"/>
              <w:marTop w:val="0"/>
              <w:marBottom w:val="0"/>
              <w:divBdr>
                <w:top w:val="none" w:sz="0" w:space="0" w:color="auto"/>
                <w:left w:val="none" w:sz="0" w:space="0" w:color="auto"/>
                <w:bottom w:val="none" w:sz="0" w:space="0" w:color="auto"/>
                <w:right w:val="none" w:sz="0" w:space="0" w:color="auto"/>
              </w:divBdr>
              <w:divsChild>
                <w:div w:id="1346707531">
                  <w:marLeft w:val="-268"/>
                  <w:marRight w:val="-268"/>
                  <w:marTop w:val="0"/>
                  <w:marBottom w:val="0"/>
                  <w:divBdr>
                    <w:top w:val="none" w:sz="0" w:space="0" w:color="auto"/>
                    <w:left w:val="none" w:sz="0" w:space="0" w:color="auto"/>
                    <w:bottom w:val="none" w:sz="0" w:space="0" w:color="auto"/>
                    <w:right w:val="none" w:sz="0" w:space="0" w:color="auto"/>
                  </w:divBdr>
                  <w:divsChild>
                    <w:div w:id="335772656">
                      <w:marLeft w:val="0"/>
                      <w:marRight w:val="0"/>
                      <w:marTop w:val="0"/>
                      <w:marBottom w:val="0"/>
                      <w:divBdr>
                        <w:top w:val="none" w:sz="0" w:space="0" w:color="auto"/>
                        <w:left w:val="none" w:sz="0" w:space="0" w:color="auto"/>
                        <w:bottom w:val="none" w:sz="0" w:space="0" w:color="auto"/>
                        <w:right w:val="none" w:sz="0" w:space="0" w:color="auto"/>
                      </w:divBdr>
                      <w:divsChild>
                        <w:div w:id="12060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79013">
      <w:bodyDiv w:val="1"/>
      <w:marLeft w:val="0"/>
      <w:marRight w:val="0"/>
      <w:marTop w:val="0"/>
      <w:marBottom w:val="0"/>
      <w:divBdr>
        <w:top w:val="none" w:sz="0" w:space="0" w:color="auto"/>
        <w:left w:val="none" w:sz="0" w:space="0" w:color="auto"/>
        <w:bottom w:val="none" w:sz="0" w:space="0" w:color="auto"/>
        <w:right w:val="none" w:sz="0" w:space="0" w:color="auto"/>
      </w:divBdr>
    </w:div>
    <w:div w:id="87896001">
      <w:bodyDiv w:val="1"/>
      <w:marLeft w:val="0"/>
      <w:marRight w:val="0"/>
      <w:marTop w:val="0"/>
      <w:marBottom w:val="0"/>
      <w:divBdr>
        <w:top w:val="none" w:sz="0" w:space="0" w:color="auto"/>
        <w:left w:val="none" w:sz="0" w:space="0" w:color="auto"/>
        <w:bottom w:val="none" w:sz="0" w:space="0" w:color="auto"/>
        <w:right w:val="none" w:sz="0" w:space="0" w:color="auto"/>
      </w:divBdr>
    </w:div>
    <w:div w:id="93133058">
      <w:bodyDiv w:val="1"/>
      <w:marLeft w:val="0"/>
      <w:marRight w:val="0"/>
      <w:marTop w:val="0"/>
      <w:marBottom w:val="0"/>
      <w:divBdr>
        <w:top w:val="none" w:sz="0" w:space="0" w:color="auto"/>
        <w:left w:val="none" w:sz="0" w:space="0" w:color="auto"/>
        <w:bottom w:val="none" w:sz="0" w:space="0" w:color="auto"/>
        <w:right w:val="none" w:sz="0" w:space="0" w:color="auto"/>
      </w:divBdr>
    </w:div>
    <w:div w:id="111367861">
      <w:bodyDiv w:val="1"/>
      <w:marLeft w:val="0"/>
      <w:marRight w:val="0"/>
      <w:marTop w:val="0"/>
      <w:marBottom w:val="0"/>
      <w:divBdr>
        <w:top w:val="none" w:sz="0" w:space="0" w:color="auto"/>
        <w:left w:val="none" w:sz="0" w:space="0" w:color="auto"/>
        <w:bottom w:val="none" w:sz="0" w:space="0" w:color="auto"/>
        <w:right w:val="none" w:sz="0" w:space="0" w:color="auto"/>
      </w:divBdr>
    </w:div>
    <w:div w:id="112603911">
      <w:bodyDiv w:val="1"/>
      <w:marLeft w:val="0"/>
      <w:marRight w:val="0"/>
      <w:marTop w:val="0"/>
      <w:marBottom w:val="0"/>
      <w:divBdr>
        <w:top w:val="none" w:sz="0" w:space="0" w:color="auto"/>
        <w:left w:val="none" w:sz="0" w:space="0" w:color="auto"/>
        <w:bottom w:val="none" w:sz="0" w:space="0" w:color="auto"/>
        <w:right w:val="none" w:sz="0" w:space="0" w:color="auto"/>
      </w:divBdr>
    </w:div>
    <w:div w:id="158885647">
      <w:bodyDiv w:val="1"/>
      <w:marLeft w:val="0"/>
      <w:marRight w:val="0"/>
      <w:marTop w:val="0"/>
      <w:marBottom w:val="0"/>
      <w:divBdr>
        <w:top w:val="none" w:sz="0" w:space="0" w:color="auto"/>
        <w:left w:val="none" w:sz="0" w:space="0" w:color="auto"/>
        <w:bottom w:val="none" w:sz="0" w:space="0" w:color="auto"/>
        <w:right w:val="none" w:sz="0" w:space="0" w:color="auto"/>
      </w:divBdr>
    </w:div>
    <w:div w:id="164633115">
      <w:bodyDiv w:val="1"/>
      <w:marLeft w:val="0"/>
      <w:marRight w:val="0"/>
      <w:marTop w:val="0"/>
      <w:marBottom w:val="0"/>
      <w:divBdr>
        <w:top w:val="none" w:sz="0" w:space="0" w:color="auto"/>
        <w:left w:val="none" w:sz="0" w:space="0" w:color="auto"/>
        <w:bottom w:val="none" w:sz="0" w:space="0" w:color="auto"/>
        <w:right w:val="none" w:sz="0" w:space="0" w:color="auto"/>
      </w:divBdr>
    </w:div>
    <w:div w:id="167644115">
      <w:bodyDiv w:val="1"/>
      <w:marLeft w:val="0"/>
      <w:marRight w:val="0"/>
      <w:marTop w:val="0"/>
      <w:marBottom w:val="0"/>
      <w:divBdr>
        <w:top w:val="none" w:sz="0" w:space="0" w:color="auto"/>
        <w:left w:val="none" w:sz="0" w:space="0" w:color="auto"/>
        <w:bottom w:val="none" w:sz="0" w:space="0" w:color="auto"/>
        <w:right w:val="none" w:sz="0" w:space="0" w:color="auto"/>
      </w:divBdr>
    </w:div>
    <w:div w:id="186260661">
      <w:bodyDiv w:val="1"/>
      <w:marLeft w:val="0"/>
      <w:marRight w:val="0"/>
      <w:marTop w:val="0"/>
      <w:marBottom w:val="0"/>
      <w:divBdr>
        <w:top w:val="none" w:sz="0" w:space="0" w:color="auto"/>
        <w:left w:val="none" w:sz="0" w:space="0" w:color="auto"/>
        <w:bottom w:val="none" w:sz="0" w:space="0" w:color="auto"/>
        <w:right w:val="none" w:sz="0" w:space="0" w:color="auto"/>
      </w:divBdr>
    </w:div>
    <w:div w:id="212667605">
      <w:bodyDiv w:val="1"/>
      <w:marLeft w:val="0"/>
      <w:marRight w:val="0"/>
      <w:marTop w:val="0"/>
      <w:marBottom w:val="0"/>
      <w:divBdr>
        <w:top w:val="none" w:sz="0" w:space="0" w:color="auto"/>
        <w:left w:val="none" w:sz="0" w:space="0" w:color="auto"/>
        <w:bottom w:val="none" w:sz="0" w:space="0" w:color="auto"/>
        <w:right w:val="none" w:sz="0" w:space="0" w:color="auto"/>
      </w:divBdr>
    </w:div>
    <w:div w:id="213467430">
      <w:bodyDiv w:val="1"/>
      <w:marLeft w:val="0"/>
      <w:marRight w:val="0"/>
      <w:marTop w:val="0"/>
      <w:marBottom w:val="0"/>
      <w:divBdr>
        <w:top w:val="none" w:sz="0" w:space="0" w:color="auto"/>
        <w:left w:val="none" w:sz="0" w:space="0" w:color="auto"/>
        <w:bottom w:val="none" w:sz="0" w:space="0" w:color="auto"/>
        <w:right w:val="none" w:sz="0" w:space="0" w:color="auto"/>
      </w:divBdr>
    </w:div>
    <w:div w:id="231043993">
      <w:bodyDiv w:val="1"/>
      <w:marLeft w:val="0"/>
      <w:marRight w:val="0"/>
      <w:marTop w:val="0"/>
      <w:marBottom w:val="0"/>
      <w:divBdr>
        <w:top w:val="none" w:sz="0" w:space="0" w:color="auto"/>
        <w:left w:val="none" w:sz="0" w:space="0" w:color="auto"/>
        <w:bottom w:val="none" w:sz="0" w:space="0" w:color="auto"/>
        <w:right w:val="none" w:sz="0" w:space="0" w:color="auto"/>
      </w:divBdr>
    </w:div>
    <w:div w:id="232743568">
      <w:bodyDiv w:val="1"/>
      <w:marLeft w:val="0"/>
      <w:marRight w:val="0"/>
      <w:marTop w:val="0"/>
      <w:marBottom w:val="0"/>
      <w:divBdr>
        <w:top w:val="none" w:sz="0" w:space="0" w:color="auto"/>
        <w:left w:val="none" w:sz="0" w:space="0" w:color="auto"/>
        <w:bottom w:val="none" w:sz="0" w:space="0" w:color="auto"/>
        <w:right w:val="none" w:sz="0" w:space="0" w:color="auto"/>
      </w:divBdr>
    </w:div>
    <w:div w:id="245069721">
      <w:bodyDiv w:val="1"/>
      <w:marLeft w:val="0"/>
      <w:marRight w:val="0"/>
      <w:marTop w:val="0"/>
      <w:marBottom w:val="0"/>
      <w:divBdr>
        <w:top w:val="none" w:sz="0" w:space="0" w:color="auto"/>
        <w:left w:val="none" w:sz="0" w:space="0" w:color="auto"/>
        <w:bottom w:val="none" w:sz="0" w:space="0" w:color="auto"/>
        <w:right w:val="none" w:sz="0" w:space="0" w:color="auto"/>
      </w:divBdr>
    </w:div>
    <w:div w:id="274799657">
      <w:bodyDiv w:val="1"/>
      <w:marLeft w:val="0"/>
      <w:marRight w:val="0"/>
      <w:marTop w:val="0"/>
      <w:marBottom w:val="0"/>
      <w:divBdr>
        <w:top w:val="none" w:sz="0" w:space="0" w:color="auto"/>
        <w:left w:val="none" w:sz="0" w:space="0" w:color="auto"/>
        <w:bottom w:val="none" w:sz="0" w:space="0" w:color="auto"/>
        <w:right w:val="none" w:sz="0" w:space="0" w:color="auto"/>
      </w:divBdr>
    </w:div>
    <w:div w:id="305012631">
      <w:bodyDiv w:val="1"/>
      <w:marLeft w:val="0"/>
      <w:marRight w:val="0"/>
      <w:marTop w:val="0"/>
      <w:marBottom w:val="0"/>
      <w:divBdr>
        <w:top w:val="none" w:sz="0" w:space="0" w:color="auto"/>
        <w:left w:val="none" w:sz="0" w:space="0" w:color="auto"/>
        <w:bottom w:val="none" w:sz="0" w:space="0" w:color="auto"/>
        <w:right w:val="none" w:sz="0" w:space="0" w:color="auto"/>
      </w:divBdr>
    </w:div>
    <w:div w:id="320741076">
      <w:bodyDiv w:val="1"/>
      <w:marLeft w:val="0"/>
      <w:marRight w:val="0"/>
      <w:marTop w:val="0"/>
      <w:marBottom w:val="0"/>
      <w:divBdr>
        <w:top w:val="none" w:sz="0" w:space="0" w:color="auto"/>
        <w:left w:val="none" w:sz="0" w:space="0" w:color="auto"/>
        <w:bottom w:val="none" w:sz="0" w:space="0" w:color="auto"/>
        <w:right w:val="none" w:sz="0" w:space="0" w:color="auto"/>
      </w:divBdr>
    </w:div>
    <w:div w:id="341516390">
      <w:bodyDiv w:val="1"/>
      <w:marLeft w:val="0"/>
      <w:marRight w:val="0"/>
      <w:marTop w:val="0"/>
      <w:marBottom w:val="0"/>
      <w:divBdr>
        <w:top w:val="none" w:sz="0" w:space="0" w:color="auto"/>
        <w:left w:val="none" w:sz="0" w:space="0" w:color="auto"/>
        <w:bottom w:val="none" w:sz="0" w:space="0" w:color="auto"/>
        <w:right w:val="none" w:sz="0" w:space="0" w:color="auto"/>
      </w:divBdr>
    </w:div>
    <w:div w:id="350029750">
      <w:bodyDiv w:val="1"/>
      <w:marLeft w:val="0"/>
      <w:marRight w:val="0"/>
      <w:marTop w:val="0"/>
      <w:marBottom w:val="0"/>
      <w:divBdr>
        <w:top w:val="none" w:sz="0" w:space="0" w:color="auto"/>
        <w:left w:val="none" w:sz="0" w:space="0" w:color="auto"/>
        <w:bottom w:val="none" w:sz="0" w:space="0" w:color="auto"/>
        <w:right w:val="none" w:sz="0" w:space="0" w:color="auto"/>
      </w:divBdr>
    </w:div>
    <w:div w:id="361174255">
      <w:bodyDiv w:val="1"/>
      <w:marLeft w:val="0"/>
      <w:marRight w:val="0"/>
      <w:marTop w:val="0"/>
      <w:marBottom w:val="0"/>
      <w:divBdr>
        <w:top w:val="none" w:sz="0" w:space="0" w:color="auto"/>
        <w:left w:val="none" w:sz="0" w:space="0" w:color="auto"/>
        <w:bottom w:val="none" w:sz="0" w:space="0" w:color="auto"/>
        <w:right w:val="none" w:sz="0" w:space="0" w:color="auto"/>
      </w:divBdr>
    </w:div>
    <w:div w:id="374426655">
      <w:bodyDiv w:val="1"/>
      <w:marLeft w:val="0"/>
      <w:marRight w:val="0"/>
      <w:marTop w:val="0"/>
      <w:marBottom w:val="0"/>
      <w:divBdr>
        <w:top w:val="none" w:sz="0" w:space="0" w:color="auto"/>
        <w:left w:val="none" w:sz="0" w:space="0" w:color="auto"/>
        <w:bottom w:val="none" w:sz="0" w:space="0" w:color="auto"/>
        <w:right w:val="none" w:sz="0" w:space="0" w:color="auto"/>
      </w:divBdr>
    </w:div>
    <w:div w:id="384837210">
      <w:bodyDiv w:val="1"/>
      <w:marLeft w:val="0"/>
      <w:marRight w:val="0"/>
      <w:marTop w:val="0"/>
      <w:marBottom w:val="0"/>
      <w:divBdr>
        <w:top w:val="none" w:sz="0" w:space="0" w:color="auto"/>
        <w:left w:val="none" w:sz="0" w:space="0" w:color="auto"/>
        <w:bottom w:val="none" w:sz="0" w:space="0" w:color="auto"/>
        <w:right w:val="none" w:sz="0" w:space="0" w:color="auto"/>
      </w:divBdr>
    </w:div>
    <w:div w:id="436217577">
      <w:bodyDiv w:val="1"/>
      <w:marLeft w:val="0"/>
      <w:marRight w:val="0"/>
      <w:marTop w:val="0"/>
      <w:marBottom w:val="0"/>
      <w:divBdr>
        <w:top w:val="none" w:sz="0" w:space="0" w:color="auto"/>
        <w:left w:val="none" w:sz="0" w:space="0" w:color="auto"/>
        <w:bottom w:val="none" w:sz="0" w:space="0" w:color="auto"/>
        <w:right w:val="none" w:sz="0" w:space="0" w:color="auto"/>
      </w:divBdr>
    </w:div>
    <w:div w:id="440416107">
      <w:bodyDiv w:val="1"/>
      <w:marLeft w:val="0"/>
      <w:marRight w:val="0"/>
      <w:marTop w:val="0"/>
      <w:marBottom w:val="0"/>
      <w:divBdr>
        <w:top w:val="none" w:sz="0" w:space="0" w:color="auto"/>
        <w:left w:val="none" w:sz="0" w:space="0" w:color="auto"/>
        <w:bottom w:val="none" w:sz="0" w:space="0" w:color="auto"/>
        <w:right w:val="none" w:sz="0" w:space="0" w:color="auto"/>
      </w:divBdr>
    </w:div>
    <w:div w:id="443572356">
      <w:bodyDiv w:val="1"/>
      <w:marLeft w:val="0"/>
      <w:marRight w:val="0"/>
      <w:marTop w:val="0"/>
      <w:marBottom w:val="0"/>
      <w:divBdr>
        <w:top w:val="none" w:sz="0" w:space="0" w:color="auto"/>
        <w:left w:val="none" w:sz="0" w:space="0" w:color="auto"/>
        <w:bottom w:val="none" w:sz="0" w:space="0" w:color="auto"/>
        <w:right w:val="none" w:sz="0" w:space="0" w:color="auto"/>
      </w:divBdr>
    </w:div>
    <w:div w:id="445347773">
      <w:bodyDiv w:val="1"/>
      <w:marLeft w:val="0"/>
      <w:marRight w:val="0"/>
      <w:marTop w:val="0"/>
      <w:marBottom w:val="0"/>
      <w:divBdr>
        <w:top w:val="none" w:sz="0" w:space="0" w:color="auto"/>
        <w:left w:val="none" w:sz="0" w:space="0" w:color="auto"/>
        <w:bottom w:val="none" w:sz="0" w:space="0" w:color="auto"/>
        <w:right w:val="none" w:sz="0" w:space="0" w:color="auto"/>
      </w:divBdr>
    </w:div>
    <w:div w:id="460266656">
      <w:bodyDiv w:val="1"/>
      <w:marLeft w:val="0"/>
      <w:marRight w:val="0"/>
      <w:marTop w:val="0"/>
      <w:marBottom w:val="0"/>
      <w:divBdr>
        <w:top w:val="none" w:sz="0" w:space="0" w:color="auto"/>
        <w:left w:val="none" w:sz="0" w:space="0" w:color="auto"/>
        <w:bottom w:val="none" w:sz="0" w:space="0" w:color="auto"/>
        <w:right w:val="none" w:sz="0" w:space="0" w:color="auto"/>
      </w:divBdr>
    </w:div>
    <w:div w:id="466123588">
      <w:bodyDiv w:val="1"/>
      <w:marLeft w:val="0"/>
      <w:marRight w:val="0"/>
      <w:marTop w:val="0"/>
      <w:marBottom w:val="0"/>
      <w:divBdr>
        <w:top w:val="none" w:sz="0" w:space="0" w:color="auto"/>
        <w:left w:val="none" w:sz="0" w:space="0" w:color="auto"/>
        <w:bottom w:val="none" w:sz="0" w:space="0" w:color="auto"/>
        <w:right w:val="none" w:sz="0" w:space="0" w:color="auto"/>
      </w:divBdr>
    </w:div>
    <w:div w:id="469907361">
      <w:bodyDiv w:val="1"/>
      <w:marLeft w:val="0"/>
      <w:marRight w:val="0"/>
      <w:marTop w:val="0"/>
      <w:marBottom w:val="0"/>
      <w:divBdr>
        <w:top w:val="none" w:sz="0" w:space="0" w:color="auto"/>
        <w:left w:val="none" w:sz="0" w:space="0" w:color="auto"/>
        <w:bottom w:val="none" w:sz="0" w:space="0" w:color="auto"/>
        <w:right w:val="none" w:sz="0" w:space="0" w:color="auto"/>
      </w:divBdr>
    </w:div>
    <w:div w:id="516892679">
      <w:bodyDiv w:val="1"/>
      <w:marLeft w:val="0"/>
      <w:marRight w:val="0"/>
      <w:marTop w:val="0"/>
      <w:marBottom w:val="0"/>
      <w:divBdr>
        <w:top w:val="none" w:sz="0" w:space="0" w:color="auto"/>
        <w:left w:val="none" w:sz="0" w:space="0" w:color="auto"/>
        <w:bottom w:val="none" w:sz="0" w:space="0" w:color="auto"/>
        <w:right w:val="none" w:sz="0" w:space="0" w:color="auto"/>
      </w:divBdr>
    </w:div>
    <w:div w:id="528492431">
      <w:bodyDiv w:val="1"/>
      <w:marLeft w:val="0"/>
      <w:marRight w:val="0"/>
      <w:marTop w:val="0"/>
      <w:marBottom w:val="0"/>
      <w:divBdr>
        <w:top w:val="none" w:sz="0" w:space="0" w:color="auto"/>
        <w:left w:val="none" w:sz="0" w:space="0" w:color="auto"/>
        <w:bottom w:val="none" w:sz="0" w:space="0" w:color="auto"/>
        <w:right w:val="none" w:sz="0" w:space="0" w:color="auto"/>
      </w:divBdr>
    </w:div>
    <w:div w:id="531573026">
      <w:bodyDiv w:val="1"/>
      <w:marLeft w:val="0"/>
      <w:marRight w:val="0"/>
      <w:marTop w:val="0"/>
      <w:marBottom w:val="0"/>
      <w:divBdr>
        <w:top w:val="none" w:sz="0" w:space="0" w:color="auto"/>
        <w:left w:val="none" w:sz="0" w:space="0" w:color="auto"/>
        <w:bottom w:val="none" w:sz="0" w:space="0" w:color="auto"/>
        <w:right w:val="none" w:sz="0" w:space="0" w:color="auto"/>
      </w:divBdr>
    </w:div>
    <w:div w:id="532501774">
      <w:bodyDiv w:val="1"/>
      <w:marLeft w:val="0"/>
      <w:marRight w:val="0"/>
      <w:marTop w:val="0"/>
      <w:marBottom w:val="0"/>
      <w:divBdr>
        <w:top w:val="none" w:sz="0" w:space="0" w:color="auto"/>
        <w:left w:val="none" w:sz="0" w:space="0" w:color="auto"/>
        <w:bottom w:val="none" w:sz="0" w:space="0" w:color="auto"/>
        <w:right w:val="none" w:sz="0" w:space="0" w:color="auto"/>
      </w:divBdr>
    </w:div>
    <w:div w:id="548303960">
      <w:bodyDiv w:val="1"/>
      <w:marLeft w:val="0"/>
      <w:marRight w:val="0"/>
      <w:marTop w:val="0"/>
      <w:marBottom w:val="0"/>
      <w:divBdr>
        <w:top w:val="none" w:sz="0" w:space="0" w:color="auto"/>
        <w:left w:val="none" w:sz="0" w:space="0" w:color="auto"/>
        <w:bottom w:val="none" w:sz="0" w:space="0" w:color="auto"/>
        <w:right w:val="none" w:sz="0" w:space="0" w:color="auto"/>
      </w:divBdr>
    </w:div>
    <w:div w:id="552428363">
      <w:bodyDiv w:val="1"/>
      <w:marLeft w:val="0"/>
      <w:marRight w:val="0"/>
      <w:marTop w:val="0"/>
      <w:marBottom w:val="0"/>
      <w:divBdr>
        <w:top w:val="none" w:sz="0" w:space="0" w:color="auto"/>
        <w:left w:val="none" w:sz="0" w:space="0" w:color="auto"/>
        <w:bottom w:val="none" w:sz="0" w:space="0" w:color="auto"/>
        <w:right w:val="none" w:sz="0" w:space="0" w:color="auto"/>
      </w:divBdr>
    </w:div>
    <w:div w:id="557668185">
      <w:bodyDiv w:val="1"/>
      <w:marLeft w:val="0"/>
      <w:marRight w:val="0"/>
      <w:marTop w:val="0"/>
      <w:marBottom w:val="0"/>
      <w:divBdr>
        <w:top w:val="none" w:sz="0" w:space="0" w:color="auto"/>
        <w:left w:val="none" w:sz="0" w:space="0" w:color="auto"/>
        <w:bottom w:val="none" w:sz="0" w:space="0" w:color="auto"/>
        <w:right w:val="none" w:sz="0" w:space="0" w:color="auto"/>
      </w:divBdr>
    </w:div>
    <w:div w:id="573662284">
      <w:bodyDiv w:val="1"/>
      <w:marLeft w:val="0"/>
      <w:marRight w:val="0"/>
      <w:marTop w:val="0"/>
      <w:marBottom w:val="0"/>
      <w:divBdr>
        <w:top w:val="none" w:sz="0" w:space="0" w:color="auto"/>
        <w:left w:val="none" w:sz="0" w:space="0" w:color="auto"/>
        <w:bottom w:val="none" w:sz="0" w:space="0" w:color="auto"/>
        <w:right w:val="none" w:sz="0" w:space="0" w:color="auto"/>
      </w:divBdr>
    </w:div>
    <w:div w:id="584269425">
      <w:bodyDiv w:val="1"/>
      <w:marLeft w:val="0"/>
      <w:marRight w:val="0"/>
      <w:marTop w:val="0"/>
      <w:marBottom w:val="0"/>
      <w:divBdr>
        <w:top w:val="none" w:sz="0" w:space="0" w:color="auto"/>
        <w:left w:val="none" w:sz="0" w:space="0" w:color="auto"/>
        <w:bottom w:val="none" w:sz="0" w:space="0" w:color="auto"/>
        <w:right w:val="none" w:sz="0" w:space="0" w:color="auto"/>
      </w:divBdr>
    </w:div>
    <w:div w:id="617024853">
      <w:bodyDiv w:val="1"/>
      <w:marLeft w:val="0"/>
      <w:marRight w:val="0"/>
      <w:marTop w:val="0"/>
      <w:marBottom w:val="0"/>
      <w:divBdr>
        <w:top w:val="none" w:sz="0" w:space="0" w:color="auto"/>
        <w:left w:val="none" w:sz="0" w:space="0" w:color="auto"/>
        <w:bottom w:val="none" w:sz="0" w:space="0" w:color="auto"/>
        <w:right w:val="none" w:sz="0" w:space="0" w:color="auto"/>
      </w:divBdr>
    </w:div>
    <w:div w:id="664476209">
      <w:bodyDiv w:val="1"/>
      <w:marLeft w:val="0"/>
      <w:marRight w:val="0"/>
      <w:marTop w:val="0"/>
      <w:marBottom w:val="0"/>
      <w:divBdr>
        <w:top w:val="none" w:sz="0" w:space="0" w:color="auto"/>
        <w:left w:val="none" w:sz="0" w:space="0" w:color="auto"/>
        <w:bottom w:val="none" w:sz="0" w:space="0" w:color="auto"/>
        <w:right w:val="none" w:sz="0" w:space="0" w:color="auto"/>
      </w:divBdr>
    </w:div>
    <w:div w:id="690692164">
      <w:bodyDiv w:val="1"/>
      <w:marLeft w:val="0"/>
      <w:marRight w:val="0"/>
      <w:marTop w:val="0"/>
      <w:marBottom w:val="0"/>
      <w:divBdr>
        <w:top w:val="none" w:sz="0" w:space="0" w:color="auto"/>
        <w:left w:val="none" w:sz="0" w:space="0" w:color="auto"/>
        <w:bottom w:val="none" w:sz="0" w:space="0" w:color="auto"/>
        <w:right w:val="none" w:sz="0" w:space="0" w:color="auto"/>
      </w:divBdr>
    </w:div>
    <w:div w:id="691149314">
      <w:bodyDiv w:val="1"/>
      <w:marLeft w:val="0"/>
      <w:marRight w:val="0"/>
      <w:marTop w:val="0"/>
      <w:marBottom w:val="0"/>
      <w:divBdr>
        <w:top w:val="none" w:sz="0" w:space="0" w:color="auto"/>
        <w:left w:val="none" w:sz="0" w:space="0" w:color="auto"/>
        <w:bottom w:val="none" w:sz="0" w:space="0" w:color="auto"/>
        <w:right w:val="none" w:sz="0" w:space="0" w:color="auto"/>
      </w:divBdr>
      <w:divsChild>
        <w:div w:id="438961183">
          <w:marLeft w:val="0"/>
          <w:marRight w:val="0"/>
          <w:marTop w:val="0"/>
          <w:marBottom w:val="0"/>
          <w:divBdr>
            <w:top w:val="none" w:sz="0" w:space="0" w:color="auto"/>
            <w:left w:val="none" w:sz="0" w:space="0" w:color="auto"/>
            <w:bottom w:val="none" w:sz="0" w:space="0" w:color="auto"/>
            <w:right w:val="none" w:sz="0" w:space="0" w:color="auto"/>
          </w:divBdr>
        </w:div>
        <w:div w:id="1544440054">
          <w:marLeft w:val="0"/>
          <w:marRight w:val="0"/>
          <w:marTop w:val="0"/>
          <w:marBottom w:val="0"/>
          <w:divBdr>
            <w:top w:val="none" w:sz="0" w:space="0" w:color="auto"/>
            <w:left w:val="none" w:sz="0" w:space="0" w:color="auto"/>
            <w:bottom w:val="none" w:sz="0" w:space="0" w:color="auto"/>
            <w:right w:val="none" w:sz="0" w:space="0" w:color="auto"/>
          </w:divBdr>
        </w:div>
      </w:divsChild>
    </w:div>
    <w:div w:id="747118091">
      <w:bodyDiv w:val="1"/>
      <w:marLeft w:val="0"/>
      <w:marRight w:val="0"/>
      <w:marTop w:val="0"/>
      <w:marBottom w:val="0"/>
      <w:divBdr>
        <w:top w:val="none" w:sz="0" w:space="0" w:color="auto"/>
        <w:left w:val="none" w:sz="0" w:space="0" w:color="auto"/>
        <w:bottom w:val="none" w:sz="0" w:space="0" w:color="auto"/>
        <w:right w:val="none" w:sz="0" w:space="0" w:color="auto"/>
      </w:divBdr>
    </w:div>
    <w:div w:id="760376399">
      <w:bodyDiv w:val="1"/>
      <w:marLeft w:val="0"/>
      <w:marRight w:val="0"/>
      <w:marTop w:val="0"/>
      <w:marBottom w:val="0"/>
      <w:divBdr>
        <w:top w:val="none" w:sz="0" w:space="0" w:color="auto"/>
        <w:left w:val="none" w:sz="0" w:space="0" w:color="auto"/>
        <w:bottom w:val="none" w:sz="0" w:space="0" w:color="auto"/>
        <w:right w:val="none" w:sz="0" w:space="0" w:color="auto"/>
      </w:divBdr>
    </w:div>
    <w:div w:id="766265546">
      <w:bodyDiv w:val="1"/>
      <w:marLeft w:val="0"/>
      <w:marRight w:val="0"/>
      <w:marTop w:val="0"/>
      <w:marBottom w:val="0"/>
      <w:divBdr>
        <w:top w:val="none" w:sz="0" w:space="0" w:color="auto"/>
        <w:left w:val="none" w:sz="0" w:space="0" w:color="auto"/>
        <w:bottom w:val="none" w:sz="0" w:space="0" w:color="auto"/>
        <w:right w:val="none" w:sz="0" w:space="0" w:color="auto"/>
      </w:divBdr>
      <w:divsChild>
        <w:div w:id="2587613">
          <w:marLeft w:val="0"/>
          <w:marRight w:val="0"/>
          <w:marTop w:val="0"/>
          <w:marBottom w:val="0"/>
          <w:divBdr>
            <w:top w:val="none" w:sz="0" w:space="0" w:color="auto"/>
            <w:left w:val="none" w:sz="0" w:space="0" w:color="auto"/>
            <w:bottom w:val="none" w:sz="0" w:space="0" w:color="auto"/>
            <w:right w:val="none" w:sz="0" w:space="0" w:color="auto"/>
          </w:divBdr>
        </w:div>
        <w:div w:id="1825774935">
          <w:marLeft w:val="0"/>
          <w:marRight w:val="0"/>
          <w:marTop w:val="0"/>
          <w:marBottom w:val="0"/>
          <w:divBdr>
            <w:top w:val="none" w:sz="0" w:space="0" w:color="auto"/>
            <w:left w:val="none" w:sz="0" w:space="0" w:color="auto"/>
            <w:bottom w:val="none" w:sz="0" w:space="0" w:color="auto"/>
            <w:right w:val="none" w:sz="0" w:space="0" w:color="auto"/>
          </w:divBdr>
        </w:div>
        <w:div w:id="503516362">
          <w:marLeft w:val="0"/>
          <w:marRight w:val="0"/>
          <w:marTop w:val="0"/>
          <w:marBottom w:val="0"/>
          <w:divBdr>
            <w:top w:val="none" w:sz="0" w:space="0" w:color="auto"/>
            <w:left w:val="none" w:sz="0" w:space="0" w:color="auto"/>
            <w:bottom w:val="none" w:sz="0" w:space="0" w:color="auto"/>
            <w:right w:val="none" w:sz="0" w:space="0" w:color="auto"/>
          </w:divBdr>
        </w:div>
      </w:divsChild>
    </w:div>
    <w:div w:id="767579912">
      <w:bodyDiv w:val="1"/>
      <w:marLeft w:val="0"/>
      <w:marRight w:val="0"/>
      <w:marTop w:val="0"/>
      <w:marBottom w:val="0"/>
      <w:divBdr>
        <w:top w:val="none" w:sz="0" w:space="0" w:color="auto"/>
        <w:left w:val="none" w:sz="0" w:space="0" w:color="auto"/>
        <w:bottom w:val="none" w:sz="0" w:space="0" w:color="auto"/>
        <w:right w:val="none" w:sz="0" w:space="0" w:color="auto"/>
      </w:divBdr>
    </w:div>
    <w:div w:id="770012269">
      <w:bodyDiv w:val="1"/>
      <w:marLeft w:val="0"/>
      <w:marRight w:val="0"/>
      <w:marTop w:val="0"/>
      <w:marBottom w:val="0"/>
      <w:divBdr>
        <w:top w:val="none" w:sz="0" w:space="0" w:color="auto"/>
        <w:left w:val="none" w:sz="0" w:space="0" w:color="auto"/>
        <w:bottom w:val="none" w:sz="0" w:space="0" w:color="auto"/>
        <w:right w:val="none" w:sz="0" w:space="0" w:color="auto"/>
      </w:divBdr>
    </w:div>
    <w:div w:id="776632873">
      <w:bodyDiv w:val="1"/>
      <w:marLeft w:val="0"/>
      <w:marRight w:val="0"/>
      <w:marTop w:val="0"/>
      <w:marBottom w:val="0"/>
      <w:divBdr>
        <w:top w:val="none" w:sz="0" w:space="0" w:color="auto"/>
        <w:left w:val="none" w:sz="0" w:space="0" w:color="auto"/>
        <w:bottom w:val="none" w:sz="0" w:space="0" w:color="auto"/>
        <w:right w:val="none" w:sz="0" w:space="0" w:color="auto"/>
      </w:divBdr>
    </w:div>
    <w:div w:id="807629187">
      <w:bodyDiv w:val="1"/>
      <w:marLeft w:val="0"/>
      <w:marRight w:val="0"/>
      <w:marTop w:val="0"/>
      <w:marBottom w:val="0"/>
      <w:divBdr>
        <w:top w:val="none" w:sz="0" w:space="0" w:color="auto"/>
        <w:left w:val="none" w:sz="0" w:space="0" w:color="auto"/>
        <w:bottom w:val="none" w:sz="0" w:space="0" w:color="auto"/>
        <w:right w:val="none" w:sz="0" w:space="0" w:color="auto"/>
      </w:divBdr>
    </w:div>
    <w:div w:id="825977613">
      <w:bodyDiv w:val="1"/>
      <w:marLeft w:val="0"/>
      <w:marRight w:val="0"/>
      <w:marTop w:val="0"/>
      <w:marBottom w:val="0"/>
      <w:divBdr>
        <w:top w:val="none" w:sz="0" w:space="0" w:color="auto"/>
        <w:left w:val="none" w:sz="0" w:space="0" w:color="auto"/>
        <w:bottom w:val="none" w:sz="0" w:space="0" w:color="auto"/>
        <w:right w:val="none" w:sz="0" w:space="0" w:color="auto"/>
      </w:divBdr>
    </w:div>
    <w:div w:id="848494783">
      <w:bodyDiv w:val="1"/>
      <w:marLeft w:val="0"/>
      <w:marRight w:val="0"/>
      <w:marTop w:val="0"/>
      <w:marBottom w:val="0"/>
      <w:divBdr>
        <w:top w:val="none" w:sz="0" w:space="0" w:color="auto"/>
        <w:left w:val="none" w:sz="0" w:space="0" w:color="auto"/>
        <w:bottom w:val="none" w:sz="0" w:space="0" w:color="auto"/>
        <w:right w:val="none" w:sz="0" w:space="0" w:color="auto"/>
      </w:divBdr>
      <w:divsChild>
        <w:div w:id="727388262">
          <w:marLeft w:val="0"/>
          <w:marRight w:val="0"/>
          <w:marTop w:val="0"/>
          <w:marBottom w:val="0"/>
          <w:divBdr>
            <w:top w:val="none" w:sz="0" w:space="0" w:color="auto"/>
            <w:left w:val="none" w:sz="0" w:space="0" w:color="auto"/>
            <w:bottom w:val="none" w:sz="0" w:space="0" w:color="auto"/>
            <w:right w:val="none" w:sz="0" w:space="0" w:color="auto"/>
          </w:divBdr>
        </w:div>
        <w:div w:id="824933105">
          <w:marLeft w:val="0"/>
          <w:marRight w:val="0"/>
          <w:marTop w:val="0"/>
          <w:marBottom w:val="0"/>
          <w:divBdr>
            <w:top w:val="none" w:sz="0" w:space="0" w:color="auto"/>
            <w:left w:val="none" w:sz="0" w:space="0" w:color="auto"/>
            <w:bottom w:val="none" w:sz="0" w:space="0" w:color="auto"/>
            <w:right w:val="none" w:sz="0" w:space="0" w:color="auto"/>
          </w:divBdr>
        </w:div>
      </w:divsChild>
    </w:div>
    <w:div w:id="912469540">
      <w:bodyDiv w:val="1"/>
      <w:marLeft w:val="0"/>
      <w:marRight w:val="0"/>
      <w:marTop w:val="0"/>
      <w:marBottom w:val="0"/>
      <w:divBdr>
        <w:top w:val="none" w:sz="0" w:space="0" w:color="auto"/>
        <w:left w:val="none" w:sz="0" w:space="0" w:color="auto"/>
        <w:bottom w:val="none" w:sz="0" w:space="0" w:color="auto"/>
        <w:right w:val="none" w:sz="0" w:space="0" w:color="auto"/>
      </w:divBdr>
    </w:div>
    <w:div w:id="913470836">
      <w:bodyDiv w:val="1"/>
      <w:marLeft w:val="0"/>
      <w:marRight w:val="0"/>
      <w:marTop w:val="0"/>
      <w:marBottom w:val="0"/>
      <w:divBdr>
        <w:top w:val="none" w:sz="0" w:space="0" w:color="auto"/>
        <w:left w:val="none" w:sz="0" w:space="0" w:color="auto"/>
        <w:bottom w:val="none" w:sz="0" w:space="0" w:color="auto"/>
        <w:right w:val="none" w:sz="0" w:space="0" w:color="auto"/>
      </w:divBdr>
    </w:div>
    <w:div w:id="986593482">
      <w:bodyDiv w:val="1"/>
      <w:marLeft w:val="0"/>
      <w:marRight w:val="0"/>
      <w:marTop w:val="0"/>
      <w:marBottom w:val="0"/>
      <w:divBdr>
        <w:top w:val="none" w:sz="0" w:space="0" w:color="auto"/>
        <w:left w:val="none" w:sz="0" w:space="0" w:color="auto"/>
        <w:bottom w:val="none" w:sz="0" w:space="0" w:color="auto"/>
        <w:right w:val="none" w:sz="0" w:space="0" w:color="auto"/>
      </w:divBdr>
      <w:divsChild>
        <w:div w:id="1663003737">
          <w:marLeft w:val="0"/>
          <w:marRight w:val="0"/>
          <w:marTop w:val="0"/>
          <w:marBottom w:val="0"/>
          <w:divBdr>
            <w:top w:val="none" w:sz="0" w:space="0" w:color="auto"/>
            <w:left w:val="none" w:sz="0" w:space="0" w:color="auto"/>
            <w:bottom w:val="none" w:sz="0" w:space="0" w:color="auto"/>
            <w:right w:val="none" w:sz="0" w:space="0" w:color="auto"/>
          </w:divBdr>
        </w:div>
      </w:divsChild>
    </w:div>
    <w:div w:id="986974958">
      <w:bodyDiv w:val="1"/>
      <w:marLeft w:val="0"/>
      <w:marRight w:val="0"/>
      <w:marTop w:val="0"/>
      <w:marBottom w:val="0"/>
      <w:divBdr>
        <w:top w:val="none" w:sz="0" w:space="0" w:color="auto"/>
        <w:left w:val="none" w:sz="0" w:space="0" w:color="auto"/>
        <w:bottom w:val="none" w:sz="0" w:space="0" w:color="auto"/>
        <w:right w:val="none" w:sz="0" w:space="0" w:color="auto"/>
      </w:divBdr>
    </w:div>
    <w:div w:id="1011227056">
      <w:bodyDiv w:val="1"/>
      <w:marLeft w:val="0"/>
      <w:marRight w:val="0"/>
      <w:marTop w:val="0"/>
      <w:marBottom w:val="0"/>
      <w:divBdr>
        <w:top w:val="none" w:sz="0" w:space="0" w:color="auto"/>
        <w:left w:val="none" w:sz="0" w:space="0" w:color="auto"/>
        <w:bottom w:val="none" w:sz="0" w:space="0" w:color="auto"/>
        <w:right w:val="none" w:sz="0" w:space="0" w:color="auto"/>
      </w:divBdr>
    </w:div>
    <w:div w:id="1040473377">
      <w:bodyDiv w:val="1"/>
      <w:marLeft w:val="0"/>
      <w:marRight w:val="0"/>
      <w:marTop w:val="0"/>
      <w:marBottom w:val="0"/>
      <w:divBdr>
        <w:top w:val="none" w:sz="0" w:space="0" w:color="auto"/>
        <w:left w:val="none" w:sz="0" w:space="0" w:color="auto"/>
        <w:bottom w:val="none" w:sz="0" w:space="0" w:color="auto"/>
        <w:right w:val="none" w:sz="0" w:space="0" w:color="auto"/>
      </w:divBdr>
    </w:div>
    <w:div w:id="1056778274">
      <w:bodyDiv w:val="1"/>
      <w:marLeft w:val="0"/>
      <w:marRight w:val="0"/>
      <w:marTop w:val="0"/>
      <w:marBottom w:val="0"/>
      <w:divBdr>
        <w:top w:val="none" w:sz="0" w:space="0" w:color="auto"/>
        <w:left w:val="none" w:sz="0" w:space="0" w:color="auto"/>
        <w:bottom w:val="none" w:sz="0" w:space="0" w:color="auto"/>
        <w:right w:val="none" w:sz="0" w:space="0" w:color="auto"/>
      </w:divBdr>
    </w:div>
    <w:div w:id="1064185320">
      <w:bodyDiv w:val="1"/>
      <w:marLeft w:val="0"/>
      <w:marRight w:val="0"/>
      <w:marTop w:val="0"/>
      <w:marBottom w:val="0"/>
      <w:divBdr>
        <w:top w:val="none" w:sz="0" w:space="0" w:color="auto"/>
        <w:left w:val="none" w:sz="0" w:space="0" w:color="auto"/>
        <w:bottom w:val="none" w:sz="0" w:space="0" w:color="auto"/>
        <w:right w:val="none" w:sz="0" w:space="0" w:color="auto"/>
      </w:divBdr>
    </w:div>
    <w:div w:id="1072241992">
      <w:bodyDiv w:val="1"/>
      <w:marLeft w:val="0"/>
      <w:marRight w:val="0"/>
      <w:marTop w:val="0"/>
      <w:marBottom w:val="0"/>
      <w:divBdr>
        <w:top w:val="none" w:sz="0" w:space="0" w:color="auto"/>
        <w:left w:val="none" w:sz="0" w:space="0" w:color="auto"/>
        <w:bottom w:val="none" w:sz="0" w:space="0" w:color="auto"/>
        <w:right w:val="none" w:sz="0" w:space="0" w:color="auto"/>
      </w:divBdr>
    </w:div>
    <w:div w:id="1078869770">
      <w:bodyDiv w:val="1"/>
      <w:marLeft w:val="0"/>
      <w:marRight w:val="0"/>
      <w:marTop w:val="0"/>
      <w:marBottom w:val="0"/>
      <w:divBdr>
        <w:top w:val="none" w:sz="0" w:space="0" w:color="auto"/>
        <w:left w:val="none" w:sz="0" w:space="0" w:color="auto"/>
        <w:bottom w:val="none" w:sz="0" w:space="0" w:color="auto"/>
        <w:right w:val="none" w:sz="0" w:space="0" w:color="auto"/>
      </w:divBdr>
    </w:div>
    <w:div w:id="1088120155">
      <w:bodyDiv w:val="1"/>
      <w:marLeft w:val="0"/>
      <w:marRight w:val="0"/>
      <w:marTop w:val="0"/>
      <w:marBottom w:val="0"/>
      <w:divBdr>
        <w:top w:val="none" w:sz="0" w:space="0" w:color="auto"/>
        <w:left w:val="none" w:sz="0" w:space="0" w:color="auto"/>
        <w:bottom w:val="none" w:sz="0" w:space="0" w:color="auto"/>
        <w:right w:val="none" w:sz="0" w:space="0" w:color="auto"/>
      </w:divBdr>
    </w:div>
    <w:div w:id="1092049385">
      <w:bodyDiv w:val="1"/>
      <w:marLeft w:val="0"/>
      <w:marRight w:val="0"/>
      <w:marTop w:val="0"/>
      <w:marBottom w:val="0"/>
      <w:divBdr>
        <w:top w:val="none" w:sz="0" w:space="0" w:color="auto"/>
        <w:left w:val="none" w:sz="0" w:space="0" w:color="auto"/>
        <w:bottom w:val="none" w:sz="0" w:space="0" w:color="auto"/>
        <w:right w:val="none" w:sz="0" w:space="0" w:color="auto"/>
      </w:divBdr>
    </w:div>
    <w:div w:id="1097214066">
      <w:bodyDiv w:val="1"/>
      <w:marLeft w:val="0"/>
      <w:marRight w:val="0"/>
      <w:marTop w:val="0"/>
      <w:marBottom w:val="0"/>
      <w:divBdr>
        <w:top w:val="none" w:sz="0" w:space="0" w:color="auto"/>
        <w:left w:val="none" w:sz="0" w:space="0" w:color="auto"/>
        <w:bottom w:val="none" w:sz="0" w:space="0" w:color="auto"/>
        <w:right w:val="none" w:sz="0" w:space="0" w:color="auto"/>
      </w:divBdr>
    </w:div>
    <w:div w:id="1103114462">
      <w:bodyDiv w:val="1"/>
      <w:marLeft w:val="0"/>
      <w:marRight w:val="0"/>
      <w:marTop w:val="0"/>
      <w:marBottom w:val="0"/>
      <w:divBdr>
        <w:top w:val="none" w:sz="0" w:space="0" w:color="auto"/>
        <w:left w:val="none" w:sz="0" w:space="0" w:color="auto"/>
        <w:bottom w:val="none" w:sz="0" w:space="0" w:color="auto"/>
        <w:right w:val="none" w:sz="0" w:space="0" w:color="auto"/>
      </w:divBdr>
    </w:div>
    <w:div w:id="1159078336">
      <w:bodyDiv w:val="1"/>
      <w:marLeft w:val="0"/>
      <w:marRight w:val="0"/>
      <w:marTop w:val="0"/>
      <w:marBottom w:val="0"/>
      <w:divBdr>
        <w:top w:val="none" w:sz="0" w:space="0" w:color="auto"/>
        <w:left w:val="none" w:sz="0" w:space="0" w:color="auto"/>
        <w:bottom w:val="none" w:sz="0" w:space="0" w:color="auto"/>
        <w:right w:val="none" w:sz="0" w:space="0" w:color="auto"/>
      </w:divBdr>
    </w:div>
    <w:div w:id="1205099236">
      <w:bodyDiv w:val="1"/>
      <w:marLeft w:val="0"/>
      <w:marRight w:val="0"/>
      <w:marTop w:val="0"/>
      <w:marBottom w:val="0"/>
      <w:divBdr>
        <w:top w:val="none" w:sz="0" w:space="0" w:color="auto"/>
        <w:left w:val="none" w:sz="0" w:space="0" w:color="auto"/>
        <w:bottom w:val="none" w:sz="0" w:space="0" w:color="auto"/>
        <w:right w:val="none" w:sz="0" w:space="0" w:color="auto"/>
      </w:divBdr>
    </w:div>
    <w:div w:id="1206719346">
      <w:bodyDiv w:val="1"/>
      <w:marLeft w:val="0"/>
      <w:marRight w:val="0"/>
      <w:marTop w:val="0"/>
      <w:marBottom w:val="0"/>
      <w:divBdr>
        <w:top w:val="none" w:sz="0" w:space="0" w:color="auto"/>
        <w:left w:val="none" w:sz="0" w:space="0" w:color="auto"/>
        <w:bottom w:val="none" w:sz="0" w:space="0" w:color="auto"/>
        <w:right w:val="none" w:sz="0" w:space="0" w:color="auto"/>
      </w:divBdr>
    </w:div>
    <w:div w:id="1319725716">
      <w:bodyDiv w:val="1"/>
      <w:marLeft w:val="0"/>
      <w:marRight w:val="0"/>
      <w:marTop w:val="0"/>
      <w:marBottom w:val="0"/>
      <w:divBdr>
        <w:top w:val="none" w:sz="0" w:space="0" w:color="auto"/>
        <w:left w:val="none" w:sz="0" w:space="0" w:color="auto"/>
        <w:bottom w:val="none" w:sz="0" w:space="0" w:color="auto"/>
        <w:right w:val="none" w:sz="0" w:space="0" w:color="auto"/>
      </w:divBdr>
    </w:div>
    <w:div w:id="1324315996">
      <w:bodyDiv w:val="1"/>
      <w:marLeft w:val="0"/>
      <w:marRight w:val="0"/>
      <w:marTop w:val="0"/>
      <w:marBottom w:val="0"/>
      <w:divBdr>
        <w:top w:val="none" w:sz="0" w:space="0" w:color="auto"/>
        <w:left w:val="none" w:sz="0" w:space="0" w:color="auto"/>
        <w:bottom w:val="none" w:sz="0" w:space="0" w:color="auto"/>
        <w:right w:val="none" w:sz="0" w:space="0" w:color="auto"/>
      </w:divBdr>
    </w:div>
    <w:div w:id="1367172126">
      <w:bodyDiv w:val="1"/>
      <w:marLeft w:val="0"/>
      <w:marRight w:val="0"/>
      <w:marTop w:val="0"/>
      <w:marBottom w:val="0"/>
      <w:divBdr>
        <w:top w:val="none" w:sz="0" w:space="0" w:color="auto"/>
        <w:left w:val="none" w:sz="0" w:space="0" w:color="auto"/>
        <w:bottom w:val="none" w:sz="0" w:space="0" w:color="auto"/>
        <w:right w:val="none" w:sz="0" w:space="0" w:color="auto"/>
      </w:divBdr>
    </w:div>
    <w:div w:id="1368290867">
      <w:bodyDiv w:val="1"/>
      <w:marLeft w:val="0"/>
      <w:marRight w:val="0"/>
      <w:marTop w:val="0"/>
      <w:marBottom w:val="0"/>
      <w:divBdr>
        <w:top w:val="none" w:sz="0" w:space="0" w:color="auto"/>
        <w:left w:val="none" w:sz="0" w:space="0" w:color="auto"/>
        <w:bottom w:val="none" w:sz="0" w:space="0" w:color="auto"/>
        <w:right w:val="none" w:sz="0" w:space="0" w:color="auto"/>
      </w:divBdr>
    </w:div>
    <w:div w:id="1392997129">
      <w:bodyDiv w:val="1"/>
      <w:marLeft w:val="0"/>
      <w:marRight w:val="0"/>
      <w:marTop w:val="0"/>
      <w:marBottom w:val="0"/>
      <w:divBdr>
        <w:top w:val="none" w:sz="0" w:space="0" w:color="auto"/>
        <w:left w:val="none" w:sz="0" w:space="0" w:color="auto"/>
        <w:bottom w:val="none" w:sz="0" w:space="0" w:color="auto"/>
        <w:right w:val="none" w:sz="0" w:space="0" w:color="auto"/>
      </w:divBdr>
    </w:div>
    <w:div w:id="1405880552">
      <w:bodyDiv w:val="1"/>
      <w:marLeft w:val="0"/>
      <w:marRight w:val="0"/>
      <w:marTop w:val="0"/>
      <w:marBottom w:val="0"/>
      <w:divBdr>
        <w:top w:val="none" w:sz="0" w:space="0" w:color="auto"/>
        <w:left w:val="none" w:sz="0" w:space="0" w:color="auto"/>
        <w:bottom w:val="none" w:sz="0" w:space="0" w:color="auto"/>
        <w:right w:val="none" w:sz="0" w:space="0" w:color="auto"/>
      </w:divBdr>
    </w:div>
    <w:div w:id="1452170456">
      <w:bodyDiv w:val="1"/>
      <w:marLeft w:val="0"/>
      <w:marRight w:val="0"/>
      <w:marTop w:val="0"/>
      <w:marBottom w:val="0"/>
      <w:divBdr>
        <w:top w:val="none" w:sz="0" w:space="0" w:color="auto"/>
        <w:left w:val="none" w:sz="0" w:space="0" w:color="auto"/>
        <w:bottom w:val="none" w:sz="0" w:space="0" w:color="auto"/>
        <w:right w:val="none" w:sz="0" w:space="0" w:color="auto"/>
      </w:divBdr>
    </w:div>
    <w:div w:id="1466848181">
      <w:bodyDiv w:val="1"/>
      <w:marLeft w:val="0"/>
      <w:marRight w:val="0"/>
      <w:marTop w:val="0"/>
      <w:marBottom w:val="0"/>
      <w:divBdr>
        <w:top w:val="none" w:sz="0" w:space="0" w:color="auto"/>
        <w:left w:val="none" w:sz="0" w:space="0" w:color="auto"/>
        <w:bottom w:val="none" w:sz="0" w:space="0" w:color="auto"/>
        <w:right w:val="none" w:sz="0" w:space="0" w:color="auto"/>
      </w:divBdr>
    </w:div>
    <w:div w:id="1508443110">
      <w:bodyDiv w:val="1"/>
      <w:marLeft w:val="0"/>
      <w:marRight w:val="0"/>
      <w:marTop w:val="0"/>
      <w:marBottom w:val="0"/>
      <w:divBdr>
        <w:top w:val="none" w:sz="0" w:space="0" w:color="auto"/>
        <w:left w:val="none" w:sz="0" w:space="0" w:color="auto"/>
        <w:bottom w:val="none" w:sz="0" w:space="0" w:color="auto"/>
        <w:right w:val="none" w:sz="0" w:space="0" w:color="auto"/>
      </w:divBdr>
    </w:div>
    <w:div w:id="1531453627">
      <w:bodyDiv w:val="1"/>
      <w:marLeft w:val="0"/>
      <w:marRight w:val="0"/>
      <w:marTop w:val="0"/>
      <w:marBottom w:val="0"/>
      <w:divBdr>
        <w:top w:val="none" w:sz="0" w:space="0" w:color="auto"/>
        <w:left w:val="none" w:sz="0" w:space="0" w:color="auto"/>
        <w:bottom w:val="none" w:sz="0" w:space="0" w:color="auto"/>
        <w:right w:val="none" w:sz="0" w:space="0" w:color="auto"/>
      </w:divBdr>
    </w:div>
    <w:div w:id="1542938515">
      <w:bodyDiv w:val="1"/>
      <w:marLeft w:val="0"/>
      <w:marRight w:val="0"/>
      <w:marTop w:val="0"/>
      <w:marBottom w:val="0"/>
      <w:divBdr>
        <w:top w:val="none" w:sz="0" w:space="0" w:color="auto"/>
        <w:left w:val="none" w:sz="0" w:space="0" w:color="auto"/>
        <w:bottom w:val="none" w:sz="0" w:space="0" w:color="auto"/>
        <w:right w:val="none" w:sz="0" w:space="0" w:color="auto"/>
      </w:divBdr>
    </w:div>
    <w:div w:id="1547833872">
      <w:bodyDiv w:val="1"/>
      <w:marLeft w:val="0"/>
      <w:marRight w:val="0"/>
      <w:marTop w:val="0"/>
      <w:marBottom w:val="0"/>
      <w:divBdr>
        <w:top w:val="none" w:sz="0" w:space="0" w:color="auto"/>
        <w:left w:val="none" w:sz="0" w:space="0" w:color="auto"/>
        <w:bottom w:val="none" w:sz="0" w:space="0" w:color="auto"/>
        <w:right w:val="none" w:sz="0" w:space="0" w:color="auto"/>
      </w:divBdr>
    </w:div>
    <w:div w:id="1556893146">
      <w:bodyDiv w:val="1"/>
      <w:marLeft w:val="0"/>
      <w:marRight w:val="0"/>
      <w:marTop w:val="0"/>
      <w:marBottom w:val="0"/>
      <w:divBdr>
        <w:top w:val="none" w:sz="0" w:space="0" w:color="auto"/>
        <w:left w:val="none" w:sz="0" w:space="0" w:color="auto"/>
        <w:bottom w:val="none" w:sz="0" w:space="0" w:color="auto"/>
        <w:right w:val="none" w:sz="0" w:space="0" w:color="auto"/>
      </w:divBdr>
    </w:div>
    <w:div w:id="1582761236">
      <w:bodyDiv w:val="1"/>
      <w:marLeft w:val="0"/>
      <w:marRight w:val="0"/>
      <w:marTop w:val="0"/>
      <w:marBottom w:val="0"/>
      <w:divBdr>
        <w:top w:val="none" w:sz="0" w:space="0" w:color="auto"/>
        <w:left w:val="none" w:sz="0" w:space="0" w:color="auto"/>
        <w:bottom w:val="none" w:sz="0" w:space="0" w:color="auto"/>
        <w:right w:val="none" w:sz="0" w:space="0" w:color="auto"/>
      </w:divBdr>
    </w:div>
    <w:div w:id="1600135262">
      <w:bodyDiv w:val="1"/>
      <w:marLeft w:val="0"/>
      <w:marRight w:val="0"/>
      <w:marTop w:val="0"/>
      <w:marBottom w:val="0"/>
      <w:divBdr>
        <w:top w:val="none" w:sz="0" w:space="0" w:color="auto"/>
        <w:left w:val="none" w:sz="0" w:space="0" w:color="auto"/>
        <w:bottom w:val="none" w:sz="0" w:space="0" w:color="auto"/>
        <w:right w:val="none" w:sz="0" w:space="0" w:color="auto"/>
      </w:divBdr>
    </w:div>
    <w:div w:id="1605768916">
      <w:bodyDiv w:val="1"/>
      <w:marLeft w:val="0"/>
      <w:marRight w:val="0"/>
      <w:marTop w:val="0"/>
      <w:marBottom w:val="0"/>
      <w:divBdr>
        <w:top w:val="none" w:sz="0" w:space="0" w:color="auto"/>
        <w:left w:val="none" w:sz="0" w:space="0" w:color="auto"/>
        <w:bottom w:val="none" w:sz="0" w:space="0" w:color="auto"/>
        <w:right w:val="none" w:sz="0" w:space="0" w:color="auto"/>
      </w:divBdr>
    </w:div>
    <w:div w:id="1613365898">
      <w:bodyDiv w:val="1"/>
      <w:marLeft w:val="0"/>
      <w:marRight w:val="0"/>
      <w:marTop w:val="0"/>
      <w:marBottom w:val="0"/>
      <w:divBdr>
        <w:top w:val="none" w:sz="0" w:space="0" w:color="auto"/>
        <w:left w:val="none" w:sz="0" w:space="0" w:color="auto"/>
        <w:bottom w:val="none" w:sz="0" w:space="0" w:color="auto"/>
        <w:right w:val="none" w:sz="0" w:space="0" w:color="auto"/>
      </w:divBdr>
    </w:div>
    <w:div w:id="1641573700">
      <w:bodyDiv w:val="1"/>
      <w:marLeft w:val="0"/>
      <w:marRight w:val="0"/>
      <w:marTop w:val="0"/>
      <w:marBottom w:val="0"/>
      <w:divBdr>
        <w:top w:val="none" w:sz="0" w:space="0" w:color="auto"/>
        <w:left w:val="none" w:sz="0" w:space="0" w:color="auto"/>
        <w:bottom w:val="none" w:sz="0" w:space="0" w:color="auto"/>
        <w:right w:val="none" w:sz="0" w:space="0" w:color="auto"/>
      </w:divBdr>
      <w:divsChild>
        <w:div w:id="376324163">
          <w:marLeft w:val="0"/>
          <w:marRight w:val="0"/>
          <w:marTop w:val="0"/>
          <w:marBottom w:val="0"/>
          <w:divBdr>
            <w:top w:val="none" w:sz="0" w:space="0" w:color="auto"/>
            <w:left w:val="none" w:sz="0" w:space="0" w:color="auto"/>
            <w:bottom w:val="none" w:sz="0" w:space="0" w:color="auto"/>
            <w:right w:val="none" w:sz="0" w:space="0" w:color="auto"/>
          </w:divBdr>
          <w:divsChild>
            <w:div w:id="311451765">
              <w:marLeft w:val="0"/>
              <w:marRight w:val="0"/>
              <w:marTop w:val="0"/>
              <w:marBottom w:val="0"/>
              <w:divBdr>
                <w:top w:val="none" w:sz="0" w:space="0" w:color="auto"/>
                <w:left w:val="none" w:sz="0" w:space="0" w:color="auto"/>
                <w:bottom w:val="none" w:sz="0" w:space="0" w:color="auto"/>
                <w:right w:val="none" w:sz="0" w:space="0" w:color="auto"/>
              </w:divBdr>
              <w:divsChild>
                <w:div w:id="1208107410">
                  <w:marLeft w:val="0"/>
                  <w:marRight w:val="0"/>
                  <w:marTop w:val="0"/>
                  <w:marBottom w:val="0"/>
                  <w:divBdr>
                    <w:top w:val="none" w:sz="0" w:space="0" w:color="auto"/>
                    <w:left w:val="none" w:sz="0" w:space="0" w:color="auto"/>
                    <w:bottom w:val="none" w:sz="0" w:space="0" w:color="auto"/>
                    <w:right w:val="none" w:sz="0" w:space="0" w:color="auto"/>
                  </w:divBdr>
                  <w:divsChild>
                    <w:div w:id="17338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24431">
      <w:bodyDiv w:val="1"/>
      <w:marLeft w:val="0"/>
      <w:marRight w:val="0"/>
      <w:marTop w:val="0"/>
      <w:marBottom w:val="0"/>
      <w:divBdr>
        <w:top w:val="none" w:sz="0" w:space="0" w:color="auto"/>
        <w:left w:val="none" w:sz="0" w:space="0" w:color="auto"/>
        <w:bottom w:val="none" w:sz="0" w:space="0" w:color="auto"/>
        <w:right w:val="none" w:sz="0" w:space="0" w:color="auto"/>
      </w:divBdr>
    </w:div>
    <w:div w:id="1665666764">
      <w:bodyDiv w:val="1"/>
      <w:marLeft w:val="0"/>
      <w:marRight w:val="0"/>
      <w:marTop w:val="0"/>
      <w:marBottom w:val="0"/>
      <w:divBdr>
        <w:top w:val="none" w:sz="0" w:space="0" w:color="auto"/>
        <w:left w:val="none" w:sz="0" w:space="0" w:color="auto"/>
        <w:bottom w:val="none" w:sz="0" w:space="0" w:color="auto"/>
        <w:right w:val="none" w:sz="0" w:space="0" w:color="auto"/>
      </w:divBdr>
    </w:div>
    <w:div w:id="1673532260">
      <w:bodyDiv w:val="1"/>
      <w:marLeft w:val="0"/>
      <w:marRight w:val="0"/>
      <w:marTop w:val="0"/>
      <w:marBottom w:val="0"/>
      <w:divBdr>
        <w:top w:val="none" w:sz="0" w:space="0" w:color="auto"/>
        <w:left w:val="none" w:sz="0" w:space="0" w:color="auto"/>
        <w:bottom w:val="none" w:sz="0" w:space="0" w:color="auto"/>
        <w:right w:val="none" w:sz="0" w:space="0" w:color="auto"/>
      </w:divBdr>
    </w:div>
    <w:div w:id="1691686343">
      <w:bodyDiv w:val="1"/>
      <w:marLeft w:val="0"/>
      <w:marRight w:val="0"/>
      <w:marTop w:val="0"/>
      <w:marBottom w:val="0"/>
      <w:divBdr>
        <w:top w:val="none" w:sz="0" w:space="0" w:color="auto"/>
        <w:left w:val="none" w:sz="0" w:space="0" w:color="auto"/>
        <w:bottom w:val="none" w:sz="0" w:space="0" w:color="auto"/>
        <w:right w:val="none" w:sz="0" w:space="0" w:color="auto"/>
      </w:divBdr>
    </w:div>
    <w:div w:id="1698965452">
      <w:bodyDiv w:val="1"/>
      <w:marLeft w:val="0"/>
      <w:marRight w:val="0"/>
      <w:marTop w:val="0"/>
      <w:marBottom w:val="0"/>
      <w:divBdr>
        <w:top w:val="none" w:sz="0" w:space="0" w:color="auto"/>
        <w:left w:val="none" w:sz="0" w:space="0" w:color="auto"/>
        <w:bottom w:val="none" w:sz="0" w:space="0" w:color="auto"/>
        <w:right w:val="none" w:sz="0" w:space="0" w:color="auto"/>
      </w:divBdr>
    </w:div>
    <w:div w:id="1750034085">
      <w:bodyDiv w:val="1"/>
      <w:marLeft w:val="0"/>
      <w:marRight w:val="0"/>
      <w:marTop w:val="0"/>
      <w:marBottom w:val="0"/>
      <w:divBdr>
        <w:top w:val="none" w:sz="0" w:space="0" w:color="auto"/>
        <w:left w:val="none" w:sz="0" w:space="0" w:color="auto"/>
        <w:bottom w:val="none" w:sz="0" w:space="0" w:color="auto"/>
        <w:right w:val="none" w:sz="0" w:space="0" w:color="auto"/>
      </w:divBdr>
      <w:divsChild>
        <w:div w:id="428233203">
          <w:marLeft w:val="0"/>
          <w:marRight w:val="0"/>
          <w:marTop w:val="0"/>
          <w:marBottom w:val="0"/>
          <w:divBdr>
            <w:top w:val="none" w:sz="0" w:space="0" w:color="auto"/>
            <w:left w:val="none" w:sz="0" w:space="0" w:color="auto"/>
            <w:bottom w:val="none" w:sz="0" w:space="0" w:color="auto"/>
            <w:right w:val="none" w:sz="0" w:space="0" w:color="auto"/>
          </w:divBdr>
          <w:divsChild>
            <w:div w:id="1571427814">
              <w:marLeft w:val="0"/>
              <w:marRight w:val="0"/>
              <w:marTop w:val="0"/>
              <w:marBottom w:val="0"/>
              <w:divBdr>
                <w:top w:val="none" w:sz="0" w:space="0" w:color="auto"/>
                <w:left w:val="none" w:sz="0" w:space="0" w:color="auto"/>
                <w:bottom w:val="none" w:sz="0" w:space="0" w:color="auto"/>
                <w:right w:val="none" w:sz="0" w:space="0" w:color="auto"/>
              </w:divBdr>
              <w:divsChild>
                <w:div w:id="1881554434">
                  <w:marLeft w:val="-268"/>
                  <w:marRight w:val="-268"/>
                  <w:marTop w:val="0"/>
                  <w:marBottom w:val="0"/>
                  <w:divBdr>
                    <w:top w:val="none" w:sz="0" w:space="0" w:color="auto"/>
                    <w:left w:val="none" w:sz="0" w:space="0" w:color="auto"/>
                    <w:bottom w:val="none" w:sz="0" w:space="0" w:color="auto"/>
                    <w:right w:val="none" w:sz="0" w:space="0" w:color="auto"/>
                  </w:divBdr>
                  <w:divsChild>
                    <w:div w:id="438183021">
                      <w:marLeft w:val="0"/>
                      <w:marRight w:val="0"/>
                      <w:marTop w:val="0"/>
                      <w:marBottom w:val="0"/>
                      <w:divBdr>
                        <w:top w:val="none" w:sz="0" w:space="0" w:color="auto"/>
                        <w:left w:val="none" w:sz="0" w:space="0" w:color="auto"/>
                        <w:bottom w:val="none" w:sz="0" w:space="0" w:color="auto"/>
                        <w:right w:val="none" w:sz="0" w:space="0" w:color="auto"/>
                      </w:divBdr>
                      <w:divsChild>
                        <w:div w:id="5723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158306">
      <w:bodyDiv w:val="1"/>
      <w:marLeft w:val="0"/>
      <w:marRight w:val="0"/>
      <w:marTop w:val="0"/>
      <w:marBottom w:val="0"/>
      <w:divBdr>
        <w:top w:val="none" w:sz="0" w:space="0" w:color="auto"/>
        <w:left w:val="none" w:sz="0" w:space="0" w:color="auto"/>
        <w:bottom w:val="none" w:sz="0" w:space="0" w:color="auto"/>
        <w:right w:val="none" w:sz="0" w:space="0" w:color="auto"/>
      </w:divBdr>
    </w:div>
    <w:div w:id="1762679726">
      <w:bodyDiv w:val="1"/>
      <w:marLeft w:val="0"/>
      <w:marRight w:val="0"/>
      <w:marTop w:val="0"/>
      <w:marBottom w:val="0"/>
      <w:divBdr>
        <w:top w:val="none" w:sz="0" w:space="0" w:color="auto"/>
        <w:left w:val="none" w:sz="0" w:space="0" w:color="auto"/>
        <w:bottom w:val="none" w:sz="0" w:space="0" w:color="auto"/>
        <w:right w:val="none" w:sz="0" w:space="0" w:color="auto"/>
      </w:divBdr>
    </w:div>
    <w:div w:id="1767651808">
      <w:bodyDiv w:val="1"/>
      <w:marLeft w:val="0"/>
      <w:marRight w:val="0"/>
      <w:marTop w:val="0"/>
      <w:marBottom w:val="0"/>
      <w:divBdr>
        <w:top w:val="none" w:sz="0" w:space="0" w:color="auto"/>
        <w:left w:val="none" w:sz="0" w:space="0" w:color="auto"/>
        <w:bottom w:val="none" w:sz="0" w:space="0" w:color="auto"/>
        <w:right w:val="none" w:sz="0" w:space="0" w:color="auto"/>
      </w:divBdr>
    </w:div>
    <w:div w:id="1825387350">
      <w:bodyDiv w:val="1"/>
      <w:marLeft w:val="0"/>
      <w:marRight w:val="0"/>
      <w:marTop w:val="0"/>
      <w:marBottom w:val="0"/>
      <w:divBdr>
        <w:top w:val="none" w:sz="0" w:space="0" w:color="auto"/>
        <w:left w:val="none" w:sz="0" w:space="0" w:color="auto"/>
        <w:bottom w:val="none" w:sz="0" w:space="0" w:color="auto"/>
        <w:right w:val="none" w:sz="0" w:space="0" w:color="auto"/>
      </w:divBdr>
    </w:div>
    <w:div w:id="1834685668">
      <w:bodyDiv w:val="1"/>
      <w:marLeft w:val="0"/>
      <w:marRight w:val="0"/>
      <w:marTop w:val="0"/>
      <w:marBottom w:val="0"/>
      <w:divBdr>
        <w:top w:val="none" w:sz="0" w:space="0" w:color="auto"/>
        <w:left w:val="none" w:sz="0" w:space="0" w:color="auto"/>
        <w:bottom w:val="none" w:sz="0" w:space="0" w:color="auto"/>
        <w:right w:val="none" w:sz="0" w:space="0" w:color="auto"/>
      </w:divBdr>
    </w:div>
    <w:div w:id="1868979581">
      <w:bodyDiv w:val="1"/>
      <w:marLeft w:val="0"/>
      <w:marRight w:val="0"/>
      <w:marTop w:val="0"/>
      <w:marBottom w:val="0"/>
      <w:divBdr>
        <w:top w:val="none" w:sz="0" w:space="0" w:color="auto"/>
        <w:left w:val="none" w:sz="0" w:space="0" w:color="auto"/>
        <w:bottom w:val="none" w:sz="0" w:space="0" w:color="auto"/>
        <w:right w:val="none" w:sz="0" w:space="0" w:color="auto"/>
      </w:divBdr>
    </w:div>
    <w:div w:id="1919754570">
      <w:bodyDiv w:val="1"/>
      <w:marLeft w:val="0"/>
      <w:marRight w:val="0"/>
      <w:marTop w:val="0"/>
      <w:marBottom w:val="0"/>
      <w:divBdr>
        <w:top w:val="none" w:sz="0" w:space="0" w:color="auto"/>
        <w:left w:val="none" w:sz="0" w:space="0" w:color="auto"/>
        <w:bottom w:val="none" w:sz="0" w:space="0" w:color="auto"/>
        <w:right w:val="none" w:sz="0" w:space="0" w:color="auto"/>
      </w:divBdr>
    </w:div>
    <w:div w:id="1923878243">
      <w:bodyDiv w:val="1"/>
      <w:marLeft w:val="0"/>
      <w:marRight w:val="0"/>
      <w:marTop w:val="0"/>
      <w:marBottom w:val="0"/>
      <w:divBdr>
        <w:top w:val="none" w:sz="0" w:space="0" w:color="auto"/>
        <w:left w:val="none" w:sz="0" w:space="0" w:color="auto"/>
        <w:bottom w:val="none" w:sz="0" w:space="0" w:color="auto"/>
        <w:right w:val="none" w:sz="0" w:space="0" w:color="auto"/>
      </w:divBdr>
    </w:div>
    <w:div w:id="1928883045">
      <w:bodyDiv w:val="1"/>
      <w:marLeft w:val="0"/>
      <w:marRight w:val="0"/>
      <w:marTop w:val="0"/>
      <w:marBottom w:val="0"/>
      <w:divBdr>
        <w:top w:val="none" w:sz="0" w:space="0" w:color="auto"/>
        <w:left w:val="none" w:sz="0" w:space="0" w:color="auto"/>
        <w:bottom w:val="none" w:sz="0" w:space="0" w:color="auto"/>
        <w:right w:val="none" w:sz="0" w:space="0" w:color="auto"/>
      </w:divBdr>
    </w:div>
    <w:div w:id="1929347069">
      <w:bodyDiv w:val="1"/>
      <w:marLeft w:val="0"/>
      <w:marRight w:val="0"/>
      <w:marTop w:val="0"/>
      <w:marBottom w:val="0"/>
      <w:divBdr>
        <w:top w:val="none" w:sz="0" w:space="0" w:color="auto"/>
        <w:left w:val="none" w:sz="0" w:space="0" w:color="auto"/>
        <w:bottom w:val="none" w:sz="0" w:space="0" w:color="auto"/>
        <w:right w:val="none" w:sz="0" w:space="0" w:color="auto"/>
      </w:divBdr>
    </w:div>
    <w:div w:id="1951669879">
      <w:bodyDiv w:val="1"/>
      <w:marLeft w:val="0"/>
      <w:marRight w:val="0"/>
      <w:marTop w:val="0"/>
      <w:marBottom w:val="0"/>
      <w:divBdr>
        <w:top w:val="none" w:sz="0" w:space="0" w:color="auto"/>
        <w:left w:val="none" w:sz="0" w:space="0" w:color="auto"/>
        <w:bottom w:val="none" w:sz="0" w:space="0" w:color="auto"/>
        <w:right w:val="none" w:sz="0" w:space="0" w:color="auto"/>
      </w:divBdr>
    </w:div>
    <w:div w:id="1963655848">
      <w:bodyDiv w:val="1"/>
      <w:marLeft w:val="0"/>
      <w:marRight w:val="0"/>
      <w:marTop w:val="0"/>
      <w:marBottom w:val="0"/>
      <w:divBdr>
        <w:top w:val="none" w:sz="0" w:space="0" w:color="auto"/>
        <w:left w:val="none" w:sz="0" w:space="0" w:color="auto"/>
        <w:bottom w:val="none" w:sz="0" w:space="0" w:color="auto"/>
        <w:right w:val="none" w:sz="0" w:space="0" w:color="auto"/>
      </w:divBdr>
    </w:div>
    <w:div w:id="1989552414">
      <w:bodyDiv w:val="1"/>
      <w:marLeft w:val="0"/>
      <w:marRight w:val="0"/>
      <w:marTop w:val="0"/>
      <w:marBottom w:val="0"/>
      <w:divBdr>
        <w:top w:val="none" w:sz="0" w:space="0" w:color="auto"/>
        <w:left w:val="none" w:sz="0" w:space="0" w:color="auto"/>
        <w:bottom w:val="none" w:sz="0" w:space="0" w:color="auto"/>
        <w:right w:val="none" w:sz="0" w:space="0" w:color="auto"/>
      </w:divBdr>
    </w:div>
    <w:div w:id="1991136479">
      <w:bodyDiv w:val="1"/>
      <w:marLeft w:val="0"/>
      <w:marRight w:val="0"/>
      <w:marTop w:val="0"/>
      <w:marBottom w:val="0"/>
      <w:divBdr>
        <w:top w:val="none" w:sz="0" w:space="0" w:color="auto"/>
        <w:left w:val="none" w:sz="0" w:space="0" w:color="auto"/>
        <w:bottom w:val="none" w:sz="0" w:space="0" w:color="auto"/>
        <w:right w:val="none" w:sz="0" w:space="0" w:color="auto"/>
      </w:divBdr>
    </w:div>
    <w:div w:id="2004430510">
      <w:bodyDiv w:val="1"/>
      <w:marLeft w:val="0"/>
      <w:marRight w:val="0"/>
      <w:marTop w:val="0"/>
      <w:marBottom w:val="0"/>
      <w:divBdr>
        <w:top w:val="none" w:sz="0" w:space="0" w:color="auto"/>
        <w:left w:val="none" w:sz="0" w:space="0" w:color="auto"/>
        <w:bottom w:val="none" w:sz="0" w:space="0" w:color="auto"/>
        <w:right w:val="none" w:sz="0" w:space="0" w:color="auto"/>
      </w:divBdr>
    </w:div>
    <w:div w:id="2006935155">
      <w:bodyDiv w:val="1"/>
      <w:marLeft w:val="0"/>
      <w:marRight w:val="0"/>
      <w:marTop w:val="0"/>
      <w:marBottom w:val="0"/>
      <w:divBdr>
        <w:top w:val="none" w:sz="0" w:space="0" w:color="auto"/>
        <w:left w:val="none" w:sz="0" w:space="0" w:color="auto"/>
        <w:bottom w:val="none" w:sz="0" w:space="0" w:color="auto"/>
        <w:right w:val="none" w:sz="0" w:space="0" w:color="auto"/>
      </w:divBdr>
    </w:div>
    <w:div w:id="2051833568">
      <w:bodyDiv w:val="1"/>
      <w:marLeft w:val="0"/>
      <w:marRight w:val="0"/>
      <w:marTop w:val="0"/>
      <w:marBottom w:val="0"/>
      <w:divBdr>
        <w:top w:val="none" w:sz="0" w:space="0" w:color="auto"/>
        <w:left w:val="none" w:sz="0" w:space="0" w:color="auto"/>
        <w:bottom w:val="none" w:sz="0" w:space="0" w:color="auto"/>
        <w:right w:val="none" w:sz="0" w:space="0" w:color="auto"/>
      </w:divBdr>
    </w:div>
    <w:div w:id="2056930972">
      <w:bodyDiv w:val="1"/>
      <w:marLeft w:val="0"/>
      <w:marRight w:val="0"/>
      <w:marTop w:val="0"/>
      <w:marBottom w:val="0"/>
      <w:divBdr>
        <w:top w:val="none" w:sz="0" w:space="0" w:color="auto"/>
        <w:left w:val="none" w:sz="0" w:space="0" w:color="auto"/>
        <w:bottom w:val="none" w:sz="0" w:space="0" w:color="auto"/>
        <w:right w:val="none" w:sz="0" w:space="0" w:color="auto"/>
      </w:divBdr>
    </w:div>
    <w:div w:id="2070035183">
      <w:bodyDiv w:val="1"/>
      <w:marLeft w:val="0"/>
      <w:marRight w:val="0"/>
      <w:marTop w:val="0"/>
      <w:marBottom w:val="0"/>
      <w:divBdr>
        <w:top w:val="none" w:sz="0" w:space="0" w:color="auto"/>
        <w:left w:val="none" w:sz="0" w:space="0" w:color="auto"/>
        <w:bottom w:val="none" w:sz="0" w:space="0" w:color="auto"/>
        <w:right w:val="none" w:sz="0" w:space="0" w:color="auto"/>
      </w:divBdr>
    </w:div>
    <w:div w:id="2074770254">
      <w:bodyDiv w:val="1"/>
      <w:marLeft w:val="0"/>
      <w:marRight w:val="0"/>
      <w:marTop w:val="0"/>
      <w:marBottom w:val="0"/>
      <w:divBdr>
        <w:top w:val="none" w:sz="0" w:space="0" w:color="auto"/>
        <w:left w:val="none" w:sz="0" w:space="0" w:color="auto"/>
        <w:bottom w:val="none" w:sz="0" w:space="0" w:color="auto"/>
        <w:right w:val="none" w:sz="0" w:space="0" w:color="auto"/>
      </w:divBdr>
    </w:div>
    <w:div w:id="2082942289">
      <w:bodyDiv w:val="1"/>
      <w:marLeft w:val="0"/>
      <w:marRight w:val="0"/>
      <w:marTop w:val="0"/>
      <w:marBottom w:val="0"/>
      <w:divBdr>
        <w:top w:val="none" w:sz="0" w:space="0" w:color="auto"/>
        <w:left w:val="none" w:sz="0" w:space="0" w:color="auto"/>
        <w:bottom w:val="none" w:sz="0" w:space="0" w:color="auto"/>
        <w:right w:val="none" w:sz="0" w:space="0" w:color="auto"/>
      </w:divBdr>
    </w:div>
    <w:div w:id="2119252342">
      <w:bodyDiv w:val="1"/>
      <w:marLeft w:val="0"/>
      <w:marRight w:val="0"/>
      <w:marTop w:val="0"/>
      <w:marBottom w:val="0"/>
      <w:divBdr>
        <w:top w:val="none" w:sz="0" w:space="0" w:color="auto"/>
        <w:left w:val="none" w:sz="0" w:space="0" w:color="auto"/>
        <w:bottom w:val="none" w:sz="0" w:space="0" w:color="auto"/>
        <w:right w:val="none" w:sz="0" w:space="0" w:color="auto"/>
      </w:divBdr>
    </w:div>
    <w:div w:id="2127964257">
      <w:bodyDiv w:val="1"/>
      <w:marLeft w:val="0"/>
      <w:marRight w:val="0"/>
      <w:marTop w:val="0"/>
      <w:marBottom w:val="0"/>
      <w:divBdr>
        <w:top w:val="none" w:sz="0" w:space="0" w:color="auto"/>
        <w:left w:val="none" w:sz="0" w:space="0" w:color="auto"/>
        <w:bottom w:val="none" w:sz="0" w:space="0" w:color="auto"/>
        <w:right w:val="none" w:sz="0" w:space="0" w:color="auto"/>
      </w:divBdr>
    </w:div>
    <w:div w:id="21358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0840D-E71E-4A81-B0E1-6737F0B0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19</Pages>
  <Words>7450</Words>
  <Characters>45328</Characters>
  <Application>Microsoft Office Word</Application>
  <DocSecurity>0</DocSecurity>
  <Lines>895</Lines>
  <Paragraphs>284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gulistanbahat</dc:creator>
  <cp:lastModifiedBy>Yüksel ŞİMŞEK</cp:lastModifiedBy>
  <cp:revision>24</cp:revision>
  <dcterms:created xsi:type="dcterms:W3CDTF">2021-10-25T06:12:00Z</dcterms:created>
  <dcterms:modified xsi:type="dcterms:W3CDTF">2021-11-26T08:39:00Z</dcterms:modified>
</cp:coreProperties>
</file>