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DCF9" w14:textId="77777777" w:rsidR="00580636" w:rsidRPr="00AE15DA" w:rsidRDefault="00580636" w:rsidP="0043334F">
      <w:pPr>
        <w:contextualSpacing/>
        <w:rPr>
          <w:rFonts w:cstheme="minorHAnsi"/>
          <w:color w:val="000000"/>
        </w:rPr>
      </w:pPr>
    </w:p>
    <w:p w14:paraId="3C049038" w14:textId="514B577D" w:rsidR="00393286" w:rsidRDefault="007D5087" w:rsidP="00393286">
      <w:pPr>
        <w:pStyle w:val="Balk3"/>
        <w:pBdr>
          <w:bottom w:val="single" w:sz="6" w:space="1" w:color="auto"/>
        </w:pBdr>
        <w:spacing w:line="240" w:lineRule="auto"/>
        <w:contextualSpacing/>
        <w:jc w:val="both"/>
        <w:rPr>
          <w:rFonts w:asciiTheme="minorHAnsi" w:hAnsiTheme="minorHAnsi" w:cstheme="minorHAnsi"/>
          <w:color w:val="FF0000"/>
          <w:sz w:val="24"/>
          <w:szCs w:val="24"/>
          <w:u w:val="single"/>
        </w:rPr>
      </w:pPr>
      <w:r w:rsidRPr="00AE15DA">
        <w:rPr>
          <w:rFonts w:asciiTheme="minorHAnsi" w:hAnsiTheme="minorHAnsi" w:cstheme="minorHAnsi"/>
          <w:color w:val="FF0000"/>
          <w:sz w:val="24"/>
          <w:szCs w:val="24"/>
          <w:u w:val="single"/>
        </w:rPr>
        <w:t xml:space="preserve">TIME to STOP- </w:t>
      </w:r>
      <w:r w:rsidR="00393286" w:rsidRPr="00393286">
        <w:rPr>
          <w:rFonts w:asciiTheme="minorHAnsi" w:hAnsiTheme="minorHAnsi" w:cstheme="minorHAnsi"/>
          <w:color w:val="FF0000"/>
          <w:sz w:val="24"/>
          <w:szCs w:val="24"/>
          <w:u w:val="single"/>
        </w:rPr>
        <w:t>GENEESMIDDELEN DIE NIET AANBEVOLEN WORDEN VOOR GEBRUIK BIJ OUDEREN</w:t>
      </w:r>
    </w:p>
    <w:p w14:paraId="562DE036" w14:textId="315B06CE" w:rsidR="007D5087" w:rsidRDefault="00393286" w:rsidP="00393286">
      <w:pPr>
        <w:pStyle w:val="Balk3"/>
        <w:pBdr>
          <w:bottom w:val="single" w:sz="6" w:space="1" w:color="auto"/>
        </w:pBdr>
        <w:spacing w:line="240" w:lineRule="auto"/>
        <w:contextualSpacing/>
        <w:jc w:val="both"/>
        <w:rPr>
          <w:rFonts w:asciiTheme="minorHAnsi" w:hAnsiTheme="minorHAnsi" w:cstheme="minorHAnsi"/>
          <w:color w:val="FF0000"/>
        </w:rPr>
      </w:pPr>
      <w:r w:rsidRPr="00393286">
        <w:rPr>
          <w:rFonts w:asciiTheme="minorHAnsi" w:hAnsiTheme="minorHAnsi" w:cstheme="minorHAnsi"/>
          <w:color w:val="FF0000"/>
        </w:rPr>
        <w:t>Het gebruik van deze groep geneesmiddelen in omstandigheden die binnen de criteria vallen, heeft een "hoog" potentieel voor bijwerkingen als gevolg van een geneesmiddelziekte, een geneesmiddel-geriatrisch syndroom en/of een geneesmiddelinteractie bij ouderen, en ze worden beschr</w:t>
      </w:r>
      <w:r>
        <w:rPr>
          <w:rFonts w:asciiTheme="minorHAnsi" w:hAnsiTheme="minorHAnsi" w:cstheme="minorHAnsi"/>
          <w:color w:val="FF0000"/>
        </w:rPr>
        <w:t>even als "mogelijk ongepast medicijn</w:t>
      </w:r>
      <w:r w:rsidRPr="00393286">
        <w:rPr>
          <w:rFonts w:asciiTheme="minorHAnsi" w:hAnsiTheme="minorHAnsi" w:cstheme="minorHAnsi"/>
          <w:color w:val="FF0000"/>
        </w:rPr>
        <w:t xml:space="preserve"> gebruik".</w:t>
      </w:r>
      <w:r w:rsidR="007D5087" w:rsidRPr="00AE15DA">
        <w:rPr>
          <w:rFonts w:asciiTheme="minorHAnsi" w:hAnsiTheme="minorHAnsi" w:cstheme="minorHAnsi"/>
          <w:color w:val="FF0000"/>
        </w:rPr>
        <w:t xml:space="preserve"> </w:t>
      </w:r>
      <w:r w:rsidRPr="00393286">
        <w:rPr>
          <w:rFonts w:asciiTheme="minorHAnsi" w:hAnsiTheme="minorHAnsi" w:cstheme="minorHAnsi"/>
          <w:color w:val="FF0000"/>
        </w:rPr>
        <w:t>Artsen dienen beslissingen te nemen door rekening te houden met de mogelijke voor- en nadelen van het geneesmiddel bij de patiënt, rekening houdend met alle kenmerken van de patiënt (balans tussen voordelen en nadelen) en de behandeldoelen bepaald in overeenstemming met de voorkeuren van de patiënt/zorgverlener.</w:t>
      </w:r>
      <w:r w:rsidR="007D5087" w:rsidRPr="00AE15DA">
        <w:rPr>
          <w:rFonts w:asciiTheme="minorHAnsi" w:hAnsiTheme="minorHAnsi" w:cstheme="minorHAnsi"/>
          <w:color w:val="FF0000"/>
        </w:rPr>
        <w:t xml:space="preserve"> </w:t>
      </w:r>
      <w:r w:rsidRPr="00393286">
        <w:rPr>
          <w:rFonts w:asciiTheme="minorHAnsi" w:hAnsiTheme="minorHAnsi" w:cstheme="minorHAnsi"/>
          <w:color w:val="FF0000"/>
        </w:rPr>
        <w:t>Clinici kunnen het in sommige gevallen nog steeds gepast vinden om deze groep geneesmiddelen te gebruiken. Dit zijn geneesmiddelen die indien gewenst zorgvuldig moeten worden gebruikt en die klinisch nauwlettend moeten worden gevolgd op de aanwezigheid van bijwerkingen.</w:t>
      </w:r>
    </w:p>
    <w:p w14:paraId="0C20DCA4" w14:textId="77777777" w:rsidR="001A1AC8" w:rsidRPr="001A1AC8" w:rsidRDefault="001A1AC8" w:rsidP="001A1AC8"/>
    <w:p w14:paraId="1F4DA431" w14:textId="63BD2959" w:rsidR="001A1AC8" w:rsidRDefault="001A1AC8" w:rsidP="001A1AC8">
      <w:pPr>
        <w:contextualSpacing/>
        <w:rPr>
          <w:rFonts w:asciiTheme="majorHAnsi" w:eastAsiaTheme="majorEastAsia" w:hAnsiTheme="majorHAnsi" w:cstheme="majorBidi"/>
          <w:b/>
          <w:bCs/>
          <w:i/>
          <w:color w:val="000000"/>
          <w:sz w:val="22"/>
          <w:szCs w:val="22"/>
        </w:rPr>
      </w:pPr>
      <w:r w:rsidRPr="001A1AC8">
        <w:rPr>
          <w:rFonts w:asciiTheme="majorHAnsi" w:eastAsiaTheme="majorEastAsia" w:hAnsiTheme="majorHAnsi" w:cstheme="majorBidi"/>
          <w:b/>
          <w:bCs/>
          <w:i/>
          <w:color w:val="000000"/>
          <w:sz w:val="22"/>
          <w:szCs w:val="22"/>
        </w:rPr>
        <w:t>Om klinisch gebruik te vergemakkelijken, wordt de uitleg die aan sommige criteria is toegevoegd, cursief gedrukt en met het voorvoegsel * onmiddellijk na de criteria weergegeven.</w:t>
      </w:r>
    </w:p>
    <w:p w14:paraId="6AE83281" w14:textId="77777777" w:rsidR="001A1AC8" w:rsidRPr="001A1AC8" w:rsidRDefault="001A1AC8" w:rsidP="001A1AC8">
      <w:pPr>
        <w:contextualSpacing/>
        <w:rPr>
          <w:rFonts w:asciiTheme="majorHAnsi" w:eastAsiaTheme="majorEastAsia" w:hAnsiTheme="majorHAnsi" w:cstheme="majorBidi"/>
          <w:b/>
          <w:bCs/>
          <w:i/>
          <w:color w:val="000000"/>
          <w:sz w:val="22"/>
          <w:szCs w:val="22"/>
        </w:rPr>
      </w:pPr>
    </w:p>
    <w:p w14:paraId="38FF58BA" w14:textId="00A0BC0E" w:rsidR="00580636" w:rsidRPr="00AE15DA" w:rsidRDefault="001A1AC8" w:rsidP="001A1AC8">
      <w:pPr>
        <w:contextualSpacing/>
        <w:rPr>
          <w:rFonts w:cstheme="minorHAnsi"/>
          <w:bCs/>
          <w:lang w:eastAsia="en-GB"/>
        </w:rPr>
      </w:pPr>
      <w:r w:rsidRPr="001A1AC8">
        <w:rPr>
          <w:rFonts w:asciiTheme="majorHAnsi" w:eastAsiaTheme="majorEastAsia" w:hAnsiTheme="majorHAnsi" w:cstheme="majorBidi"/>
          <w:b/>
          <w:bCs/>
          <w:i/>
          <w:color w:val="000000"/>
          <w:sz w:val="22"/>
          <w:szCs w:val="22"/>
        </w:rPr>
        <w:t>Referenties; Het bevat verwijzingen naar de criteria en, indien beschikbaar, toelichtingen.</w:t>
      </w:r>
    </w:p>
    <w:p w14:paraId="36FB9AA2" w14:textId="77777777" w:rsidR="007D5087" w:rsidRPr="00AE15DA" w:rsidRDefault="007D5087" w:rsidP="0043334F">
      <w:pPr>
        <w:contextualSpacing/>
        <w:rPr>
          <w:rFonts w:asciiTheme="minorHAnsi" w:hAnsiTheme="minorHAnsi" w:cstheme="minorHAnsi"/>
          <w:b/>
          <w:bCs/>
          <w:sz w:val="28"/>
          <w:szCs w:val="28"/>
          <w:u w:val="single"/>
          <w:lang w:eastAsia="en-GB"/>
        </w:rPr>
      </w:pPr>
    </w:p>
    <w:p w14:paraId="22D4841E" w14:textId="1BFBD778" w:rsidR="0043334F" w:rsidRDefault="00580636" w:rsidP="0043334F">
      <w:pPr>
        <w:contextualSpacing/>
        <w:rPr>
          <w:rFonts w:asciiTheme="minorHAnsi" w:hAnsiTheme="minorHAnsi" w:cstheme="minorHAnsi"/>
          <w:b/>
          <w:bCs/>
          <w:sz w:val="28"/>
          <w:szCs w:val="28"/>
          <w:u w:val="single"/>
          <w:lang w:eastAsia="en-GB"/>
        </w:rPr>
      </w:pPr>
      <w:r w:rsidRPr="00AE15DA">
        <w:rPr>
          <w:rFonts w:asciiTheme="minorHAnsi" w:hAnsiTheme="minorHAnsi" w:cstheme="minorHAnsi"/>
          <w:b/>
          <w:bCs/>
          <w:sz w:val="28"/>
          <w:szCs w:val="28"/>
          <w:u w:val="single"/>
          <w:lang w:eastAsia="en-GB"/>
        </w:rPr>
        <w:t xml:space="preserve">TIME-to-STOP </w:t>
      </w:r>
      <w:r w:rsidR="001A1AC8" w:rsidRPr="001A1AC8">
        <w:rPr>
          <w:rFonts w:asciiTheme="minorHAnsi" w:hAnsiTheme="minorHAnsi" w:cstheme="minorHAnsi"/>
          <w:b/>
          <w:bCs/>
          <w:sz w:val="28"/>
          <w:szCs w:val="28"/>
          <w:u w:val="single"/>
          <w:lang w:eastAsia="en-GB"/>
        </w:rPr>
        <w:t>Criteria (met verwijzingen en uitleg)</w:t>
      </w:r>
    </w:p>
    <w:p w14:paraId="2785D17D" w14:textId="77777777" w:rsidR="001A1AC8" w:rsidRPr="00AE15DA" w:rsidRDefault="001A1AC8" w:rsidP="0043334F">
      <w:pPr>
        <w:contextualSpacing/>
        <w:rPr>
          <w:rFonts w:asciiTheme="minorHAnsi" w:hAnsiTheme="minorHAnsi" w:cstheme="minorHAnsi"/>
          <w:b/>
          <w:bCs/>
          <w:sz w:val="28"/>
          <w:szCs w:val="28"/>
          <w:lang w:eastAsia="en-GB"/>
        </w:rPr>
      </w:pPr>
    </w:p>
    <w:p w14:paraId="1E9C4FD4" w14:textId="2872B34C" w:rsidR="00580636" w:rsidRDefault="00D173A5"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8"/>
          <w:szCs w:val="28"/>
        </w:rPr>
      </w:pPr>
      <w:r w:rsidRPr="00AE15DA">
        <w:rPr>
          <w:rStyle w:val="normaltextrun"/>
          <w:rFonts w:asciiTheme="minorHAnsi" w:eastAsiaTheme="majorEastAsia" w:hAnsiTheme="minorHAnsi"/>
          <w:b/>
          <w:bCs/>
          <w:sz w:val="28"/>
          <w:szCs w:val="28"/>
        </w:rPr>
        <w:t>A</w:t>
      </w:r>
      <w:r w:rsidR="009B4E92" w:rsidRPr="00AE15DA">
        <w:rPr>
          <w:rStyle w:val="normaltextrun"/>
          <w:rFonts w:asciiTheme="minorHAnsi" w:eastAsiaTheme="majorEastAsia" w:hAnsiTheme="minorHAnsi"/>
          <w:b/>
          <w:bCs/>
          <w:sz w:val="28"/>
          <w:szCs w:val="28"/>
        </w:rPr>
        <w:t>:</w:t>
      </w:r>
      <w:r w:rsidRPr="00AE15DA">
        <w:rPr>
          <w:rStyle w:val="normaltextrun"/>
          <w:rFonts w:asciiTheme="minorHAnsi" w:eastAsiaTheme="majorEastAsia" w:hAnsiTheme="minorHAnsi"/>
          <w:b/>
          <w:bCs/>
          <w:sz w:val="28"/>
          <w:szCs w:val="28"/>
        </w:rPr>
        <w:t xml:space="preserve"> </w:t>
      </w:r>
      <w:r w:rsidR="001A1AC8" w:rsidRPr="001A1AC8">
        <w:rPr>
          <w:rStyle w:val="normaltextrun"/>
          <w:rFonts w:asciiTheme="minorHAnsi" w:eastAsiaTheme="majorEastAsia" w:hAnsiTheme="minorHAnsi"/>
          <w:b/>
          <w:bCs/>
          <w:sz w:val="28"/>
          <w:szCs w:val="28"/>
        </w:rPr>
        <w:t>Cardiovasculaire systeemcriteria.</w:t>
      </w:r>
    </w:p>
    <w:p w14:paraId="53552E45" w14:textId="77777777" w:rsidR="001A1AC8" w:rsidRPr="00AE15DA" w:rsidRDefault="001A1AC8"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2"/>
          <w:szCs w:val="22"/>
        </w:rPr>
      </w:pPr>
    </w:p>
    <w:p w14:paraId="6DAF3C93" w14:textId="7A84F9C1" w:rsidR="00040C22" w:rsidRPr="00AE15DA" w:rsidRDefault="006C24B0" w:rsidP="0043334F">
      <w:pPr>
        <w:pStyle w:val="paragraph"/>
        <w:spacing w:before="0" w:beforeAutospacing="0" w:after="0" w:afterAutospacing="0"/>
        <w:contextualSpacing/>
        <w:jc w:val="both"/>
        <w:textAlignment w:val="baseline"/>
        <w:rPr>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Pr>
        <w:t xml:space="preserve">A1. </w:t>
      </w:r>
      <w:r w:rsidR="001A1AC8" w:rsidRPr="001A1AC8">
        <w:rPr>
          <w:rStyle w:val="normaltextrun"/>
          <w:rFonts w:asciiTheme="minorHAnsi" w:eastAsiaTheme="majorEastAsia" w:hAnsiTheme="minorHAnsi"/>
          <w:b/>
          <w:bCs/>
          <w:sz w:val="22"/>
          <w:szCs w:val="22"/>
        </w:rPr>
        <w:t>Het gebruik van digoxine in de eerste stap in de behandeling van AF is niet geschikt.</w:t>
      </w:r>
    </w:p>
    <w:p w14:paraId="67320806" w14:textId="191F3DA1" w:rsidR="00CA5845" w:rsidRPr="00AE15DA" w:rsidRDefault="006C24B0" w:rsidP="0043334F">
      <w:pPr>
        <w:spacing w:after="100" w:afterAutospacing="1"/>
        <w:contextualSpacing/>
        <w:jc w:val="both"/>
        <w:rPr>
          <w:rStyle w:val="eop"/>
          <w:rFonts w:asciiTheme="minorHAnsi" w:eastAsiaTheme="majorEastAsia" w:hAnsiTheme="minorHAnsi"/>
          <w:i/>
          <w:sz w:val="22"/>
          <w:szCs w:val="22"/>
        </w:rPr>
      </w:pPr>
      <w:r w:rsidRPr="00AE15DA">
        <w:rPr>
          <w:rFonts w:asciiTheme="minorHAnsi" w:hAnsiTheme="minorHAnsi"/>
          <w:sz w:val="22"/>
          <w:szCs w:val="22"/>
        </w:rPr>
        <w:t>*</w:t>
      </w:r>
      <w:r w:rsidR="001A1AC8" w:rsidRPr="001A1AC8">
        <w:t xml:space="preserve"> </w:t>
      </w:r>
      <w:r w:rsidR="001A1AC8" w:rsidRPr="001A1AC8">
        <w:rPr>
          <w:rFonts w:asciiTheme="minorHAnsi" w:hAnsiTheme="minorHAnsi"/>
          <w:i/>
          <w:sz w:val="22"/>
          <w:szCs w:val="22"/>
        </w:rPr>
        <w:t>Het gebruik van digoxine kan worden gebruikt in AF-gevallen, in gevallen waarin bètablokkers en calciumkanaalblokkers niet kunnen worden verdragen (bijv. hypotensie) of in combinatietherapie wanneer deze behandelingen niet voldoende zijn.</w:t>
      </w:r>
    </w:p>
    <w:p w14:paraId="64C3C9B5" w14:textId="77777777" w:rsidR="00CA5845" w:rsidRPr="00AE15DA" w:rsidRDefault="00CA5845" w:rsidP="0043334F">
      <w:pPr>
        <w:spacing w:after="100" w:afterAutospacing="1"/>
        <w:contextualSpacing/>
        <w:jc w:val="both"/>
        <w:rPr>
          <w:rFonts w:asciiTheme="minorHAnsi" w:eastAsiaTheme="majorEastAsia" w:hAnsiTheme="minorHAnsi"/>
          <w:i/>
          <w:sz w:val="22"/>
          <w:szCs w:val="22"/>
        </w:rPr>
      </w:pPr>
    </w:p>
    <w:p w14:paraId="0801DBCA" w14:textId="3F528B58" w:rsidR="00CA5845" w:rsidRPr="00AE15DA" w:rsidRDefault="006C24B0" w:rsidP="001A1AC8">
      <w:pPr>
        <w:spacing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A2.</w:t>
      </w:r>
      <w:r w:rsidR="00181929" w:rsidRPr="00AE15DA">
        <w:rPr>
          <w:rFonts w:asciiTheme="minorHAnsi" w:hAnsiTheme="minorHAnsi"/>
          <w:b/>
          <w:color w:val="000000"/>
          <w:sz w:val="22"/>
          <w:szCs w:val="22"/>
        </w:rPr>
        <w:t xml:space="preserve"> </w:t>
      </w:r>
      <w:r w:rsidR="001A1AC8" w:rsidRPr="001A1AC8">
        <w:rPr>
          <w:rFonts w:asciiTheme="minorHAnsi" w:hAnsiTheme="minorHAnsi"/>
          <w:b/>
          <w:color w:val="000000"/>
          <w:sz w:val="22"/>
          <w:szCs w:val="22"/>
        </w:rPr>
        <w:t>Het gebruik van digoxine in doses hoger dan 0,125 mg/dag is niet geschikt (risico op toxiciteit)</w:t>
      </w:r>
    </w:p>
    <w:p w14:paraId="528668F2" w14:textId="77777777" w:rsidR="0043334F" w:rsidRPr="00AE15DA" w:rsidRDefault="0043334F" w:rsidP="0043334F">
      <w:pPr>
        <w:spacing w:before="100" w:beforeAutospacing="1" w:after="100" w:afterAutospacing="1"/>
        <w:contextualSpacing/>
        <w:jc w:val="both"/>
        <w:rPr>
          <w:rFonts w:asciiTheme="minorHAnsi" w:hAnsiTheme="minorHAnsi" w:cstheme="minorHAnsi"/>
          <w:sz w:val="22"/>
          <w:szCs w:val="22"/>
          <w:lang w:eastAsia="en-GB"/>
        </w:rPr>
      </w:pPr>
    </w:p>
    <w:p w14:paraId="0974EDC6" w14:textId="0286EA2E" w:rsidR="0043334F" w:rsidRPr="00AE15DA" w:rsidRDefault="006C24B0" w:rsidP="0043334F">
      <w:pPr>
        <w:spacing w:before="100" w:beforeAutospacing="1" w:after="100" w:afterAutospacing="1"/>
        <w:contextualSpacing/>
        <w:jc w:val="both"/>
        <w:rPr>
          <w:rStyle w:val="normaltextrun"/>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Pr>
        <w:t>A3.</w:t>
      </w:r>
      <w:r w:rsidR="00181929" w:rsidRPr="00AE15DA">
        <w:rPr>
          <w:rStyle w:val="normaltextrun"/>
          <w:rFonts w:asciiTheme="minorHAnsi" w:eastAsiaTheme="majorEastAsia" w:hAnsiTheme="minorHAnsi"/>
          <w:b/>
          <w:bCs/>
          <w:sz w:val="22"/>
          <w:szCs w:val="22"/>
        </w:rPr>
        <w:t xml:space="preserve"> </w:t>
      </w:r>
      <w:r w:rsidR="001A1AC8" w:rsidRPr="001A1AC8">
        <w:rPr>
          <w:rStyle w:val="normaltextrun"/>
          <w:rFonts w:asciiTheme="minorHAnsi" w:eastAsiaTheme="majorEastAsia" w:hAnsiTheme="minorHAnsi"/>
          <w:b/>
          <w:bCs/>
          <w:sz w:val="22"/>
          <w:szCs w:val="22"/>
        </w:rPr>
        <w:t>Digoxine is niet geschikt voor indicatie van hartfalen met behouden (normale) EF.</w:t>
      </w:r>
    </w:p>
    <w:p w14:paraId="65D280F2" w14:textId="29CF88B3" w:rsidR="006C24B0" w:rsidRPr="00AE15DA" w:rsidRDefault="006C24B0" w:rsidP="0043334F">
      <w:pPr>
        <w:spacing w:before="100" w:beforeAutospacing="1" w:after="100" w:afterAutospacing="1"/>
        <w:contextualSpacing/>
        <w:jc w:val="both"/>
        <w:rPr>
          <w:rStyle w:val="normaltextrun"/>
          <w:rFonts w:asciiTheme="minorHAnsi" w:hAnsiTheme="minorHAnsi"/>
          <w:b/>
          <w:color w:val="000000"/>
          <w:sz w:val="22"/>
          <w:szCs w:val="22"/>
        </w:rPr>
      </w:pPr>
      <w:r w:rsidRPr="00AE15DA">
        <w:rPr>
          <w:rStyle w:val="eop"/>
          <w:rFonts w:asciiTheme="minorHAnsi" w:eastAsiaTheme="majorEastAsia" w:hAnsiTheme="minorHAnsi"/>
          <w:i/>
          <w:sz w:val="22"/>
          <w:szCs w:val="22"/>
        </w:rPr>
        <w:t>*</w:t>
      </w:r>
      <w:r w:rsidR="001A1AC8" w:rsidRPr="001A1AC8">
        <w:t xml:space="preserve"> </w:t>
      </w:r>
      <w:r w:rsidR="001A1AC8" w:rsidRPr="001A1AC8">
        <w:rPr>
          <w:rStyle w:val="eop"/>
          <w:rFonts w:asciiTheme="minorHAnsi" w:eastAsiaTheme="majorEastAsia" w:hAnsiTheme="minorHAnsi"/>
          <w:i/>
          <w:sz w:val="22"/>
          <w:szCs w:val="22"/>
        </w:rPr>
        <w:t>Digoxine kan geïndiceerd zijn voor gelijktijdige AF (zie A1).</w:t>
      </w:r>
    </w:p>
    <w:p w14:paraId="5C7ADC02" w14:textId="77777777" w:rsidR="00CA5845" w:rsidRPr="00AE15DA" w:rsidRDefault="00CA5845" w:rsidP="0043334F">
      <w:pPr>
        <w:pStyle w:val="HTMLncedenBiimlendirilmi"/>
        <w:contextualSpacing/>
        <w:jc w:val="both"/>
        <w:rPr>
          <w:rFonts w:asciiTheme="minorHAnsi" w:hAnsiTheme="minorHAnsi" w:cstheme="minorHAnsi"/>
          <w:color w:val="000000"/>
          <w:sz w:val="22"/>
          <w:szCs w:val="22"/>
        </w:rPr>
      </w:pPr>
    </w:p>
    <w:p w14:paraId="7057272B" w14:textId="4DF8848F" w:rsidR="006C24B0" w:rsidRPr="00AE15DA" w:rsidRDefault="006C24B0"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A4. </w:t>
      </w:r>
      <w:r w:rsidR="001A1AC8" w:rsidRPr="001A1AC8">
        <w:rPr>
          <w:rFonts w:asciiTheme="minorHAnsi" w:hAnsiTheme="minorHAnsi"/>
          <w:b/>
          <w:sz w:val="22"/>
          <w:szCs w:val="22"/>
        </w:rPr>
        <w:t>Het gebruik van diltiazem of verapamil is niet geschikt bij hartfalen met een lage EF.</w:t>
      </w:r>
    </w:p>
    <w:p w14:paraId="5A8692C8" w14:textId="77777777" w:rsidR="00CA5845" w:rsidRPr="00AE15DA" w:rsidRDefault="00CA5845" w:rsidP="0043334F">
      <w:pPr>
        <w:pStyle w:val="HTMLncedenBiimlendirilmi"/>
        <w:contextualSpacing/>
        <w:jc w:val="both"/>
        <w:rPr>
          <w:rFonts w:asciiTheme="minorHAnsi" w:hAnsiTheme="minorHAnsi" w:cstheme="minorHAnsi"/>
          <w:sz w:val="22"/>
          <w:szCs w:val="22"/>
        </w:rPr>
      </w:pPr>
    </w:p>
    <w:p w14:paraId="52A9EA40" w14:textId="77777777" w:rsidR="005E5EA5" w:rsidRPr="00AE15DA" w:rsidRDefault="005E5EA5" w:rsidP="0043334F">
      <w:pPr>
        <w:spacing w:after="100" w:afterAutospacing="1"/>
        <w:contextualSpacing/>
        <w:jc w:val="both"/>
        <w:rPr>
          <w:rFonts w:asciiTheme="minorHAnsi" w:hAnsiTheme="minorHAnsi"/>
          <w:b/>
          <w:sz w:val="22"/>
          <w:szCs w:val="22"/>
        </w:rPr>
      </w:pPr>
    </w:p>
    <w:p w14:paraId="4B1BF0C3" w14:textId="6F39E8C1" w:rsidR="001A1AC8" w:rsidRDefault="006C24B0" w:rsidP="0043334F">
      <w:pPr>
        <w:spacing w:after="100" w:afterAutospacing="1"/>
        <w:contextualSpacing/>
        <w:jc w:val="both"/>
        <w:rPr>
          <w:rFonts w:asciiTheme="minorHAnsi" w:hAnsiTheme="minorHAnsi"/>
          <w:b/>
          <w:sz w:val="22"/>
          <w:szCs w:val="22"/>
        </w:rPr>
      </w:pPr>
      <w:r w:rsidRPr="00AE15DA">
        <w:rPr>
          <w:rFonts w:asciiTheme="minorHAnsi" w:hAnsiTheme="minorHAnsi"/>
          <w:b/>
          <w:sz w:val="22"/>
          <w:szCs w:val="22"/>
        </w:rPr>
        <w:t>A5.</w:t>
      </w:r>
      <w:r w:rsidR="00181929" w:rsidRPr="00AE15DA">
        <w:rPr>
          <w:rFonts w:asciiTheme="minorHAnsi" w:hAnsiTheme="minorHAnsi"/>
          <w:b/>
          <w:sz w:val="22"/>
          <w:szCs w:val="22"/>
        </w:rPr>
        <w:t xml:space="preserve"> </w:t>
      </w:r>
      <w:r w:rsidR="001A1AC8" w:rsidRPr="001A1AC8">
        <w:rPr>
          <w:rFonts w:asciiTheme="minorHAnsi" w:hAnsiTheme="minorHAnsi"/>
          <w:b/>
          <w:sz w:val="22"/>
          <w:szCs w:val="22"/>
        </w:rPr>
        <w:t xml:space="preserve">Het is niet </w:t>
      </w:r>
      <w:r w:rsidR="001A1AC8">
        <w:rPr>
          <w:rFonts w:asciiTheme="minorHAnsi" w:hAnsiTheme="minorHAnsi"/>
          <w:b/>
          <w:sz w:val="22"/>
          <w:szCs w:val="22"/>
        </w:rPr>
        <w:t>geschikt</w:t>
      </w:r>
      <w:r w:rsidR="001A1AC8" w:rsidRPr="001A1AC8">
        <w:rPr>
          <w:rFonts w:asciiTheme="minorHAnsi" w:hAnsiTheme="minorHAnsi"/>
          <w:b/>
          <w:sz w:val="22"/>
          <w:szCs w:val="22"/>
        </w:rPr>
        <w:t xml:space="preserve"> om frequentiebeperkende therapie (bètablokker, verapamil, diltiazem, digoxine) te starten bij patiënten met bradycardie (&lt;50/min), type 2 hartblok of compleet hartblok</w:t>
      </w:r>
    </w:p>
    <w:p w14:paraId="0DCFD124" w14:textId="43106673" w:rsidR="009B4E92" w:rsidRPr="00AE15DA" w:rsidRDefault="006C24B0" w:rsidP="001A1AC8">
      <w:pPr>
        <w:spacing w:after="100" w:afterAutospacing="1"/>
        <w:contextualSpacing/>
        <w:jc w:val="both"/>
        <w:rPr>
          <w:rFonts w:asciiTheme="minorHAnsi" w:hAnsiTheme="minorHAnsi" w:cstheme="minorHAnsi"/>
          <w:sz w:val="22"/>
          <w:szCs w:val="22"/>
        </w:rPr>
      </w:pPr>
      <w:r w:rsidRPr="00AE15DA">
        <w:rPr>
          <w:rFonts w:asciiTheme="minorHAnsi" w:hAnsiTheme="minorHAnsi"/>
          <w:sz w:val="22"/>
          <w:szCs w:val="22"/>
        </w:rPr>
        <w:t>*</w:t>
      </w:r>
      <w:r w:rsidR="001A1AC8" w:rsidRPr="001A1AC8">
        <w:t xml:space="preserve"> </w:t>
      </w:r>
      <w:r w:rsidR="001A1AC8" w:rsidRPr="001A1AC8">
        <w:rPr>
          <w:rFonts w:asciiTheme="minorHAnsi" w:hAnsiTheme="minorHAnsi"/>
          <w:i/>
          <w:sz w:val="22"/>
          <w:szCs w:val="22"/>
        </w:rPr>
        <w:t>Bètablokkers zijn relatief gecontra-indiceerd in gevallen met een PR-interval &gt;240 ms. Bij patiënten die momenteel bètablokkers, diltiazem, verapamil en digoxine gebruiken, moet de dosis worden verlaagd in aanwezigheid van bradycardie (&lt;50/min).</w:t>
      </w:r>
    </w:p>
    <w:p w14:paraId="50B53F57" w14:textId="77777777" w:rsidR="00EB686B" w:rsidRPr="00AE15DA" w:rsidRDefault="00EB686B" w:rsidP="0043334F">
      <w:pPr>
        <w:spacing w:before="100" w:beforeAutospacing="1" w:after="100" w:afterAutospacing="1"/>
        <w:contextualSpacing/>
        <w:jc w:val="both"/>
        <w:rPr>
          <w:rFonts w:asciiTheme="minorHAnsi" w:hAnsiTheme="minorHAnsi"/>
          <w:b/>
          <w:sz w:val="22"/>
          <w:szCs w:val="22"/>
        </w:rPr>
      </w:pPr>
    </w:p>
    <w:p w14:paraId="544BBDAD"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59B5212C" w14:textId="7B458247" w:rsidR="009B4E92" w:rsidRPr="00AE15DA" w:rsidRDefault="006C24B0" w:rsidP="001A1AC8">
      <w:pPr>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sz w:val="22"/>
          <w:szCs w:val="22"/>
        </w:rPr>
        <w:t>A6.</w:t>
      </w:r>
      <w:r w:rsidR="00181929" w:rsidRPr="00AE15DA">
        <w:rPr>
          <w:rFonts w:asciiTheme="minorHAnsi" w:hAnsiTheme="minorHAnsi"/>
          <w:b/>
          <w:sz w:val="22"/>
          <w:szCs w:val="22"/>
        </w:rPr>
        <w:t xml:space="preserve"> </w:t>
      </w:r>
      <w:r w:rsidR="001A1AC8" w:rsidRPr="001A1AC8">
        <w:rPr>
          <w:rFonts w:asciiTheme="minorHAnsi" w:hAnsiTheme="minorHAnsi"/>
          <w:b/>
          <w:sz w:val="22"/>
          <w:szCs w:val="22"/>
        </w:rPr>
        <w:t>Lisdiuretica zijn niet geschikt voor enkeloedeem zonder klinische, biochemische of radiologische tekenen van hartfalen, leverfalen, nefrotisch syndroom of nierfalen (beenhoogte en/of compressiekousen zijn meestal geschikter)</w:t>
      </w:r>
    </w:p>
    <w:p w14:paraId="0A4FBBC7" w14:textId="77777777" w:rsidR="00EB686B" w:rsidRPr="00AE15DA" w:rsidRDefault="00EB686B" w:rsidP="0043334F">
      <w:pPr>
        <w:autoSpaceDE w:val="0"/>
        <w:autoSpaceDN w:val="0"/>
        <w:adjustRightInd w:val="0"/>
        <w:contextualSpacing/>
        <w:jc w:val="both"/>
        <w:rPr>
          <w:rFonts w:asciiTheme="minorHAnsi" w:hAnsiTheme="minorHAnsi"/>
          <w:b/>
          <w:color w:val="000000"/>
          <w:sz w:val="22"/>
          <w:szCs w:val="22"/>
        </w:rPr>
      </w:pPr>
    </w:p>
    <w:p w14:paraId="07B91CA5" w14:textId="0035BE2D" w:rsidR="002A1E62" w:rsidRPr="00AE15DA" w:rsidRDefault="006C24B0" w:rsidP="001A1AC8">
      <w:pPr>
        <w:autoSpaceDE w:val="0"/>
        <w:autoSpaceDN w:val="0"/>
        <w:adjustRightInd w:val="0"/>
        <w:contextualSpacing/>
        <w:jc w:val="both"/>
        <w:rPr>
          <w:rFonts w:asciiTheme="minorHAnsi" w:hAnsiTheme="minorHAnsi"/>
          <w:b/>
          <w:sz w:val="22"/>
          <w:szCs w:val="22"/>
        </w:rPr>
      </w:pPr>
      <w:r w:rsidRPr="00AE15DA">
        <w:rPr>
          <w:rFonts w:asciiTheme="minorHAnsi" w:hAnsiTheme="minorHAnsi"/>
          <w:b/>
          <w:color w:val="000000"/>
          <w:sz w:val="22"/>
          <w:szCs w:val="22"/>
        </w:rPr>
        <w:lastRenderedPageBreak/>
        <w:t>A7.</w:t>
      </w:r>
      <w:r w:rsidR="00181929" w:rsidRPr="00AE15DA">
        <w:rPr>
          <w:rFonts w:asciiTheme="minorHAnsi" w:hAnsiTheme="minorHAnsi"/>
          <w:b/>
          <w:color w:val="000000"/>
          <w:sz w:val="22"/>
          <w:szCs w:val="22"/>
        </w:rPr>
        <w:t xml:space="preserve"> </w:t>
      </w:r>
      <w:r w:rsidR="001A1AC8" w:rsidRPr="001A1AC8">
        <w:rPr>
          <w:rFonts w:asciiTheme="minorHAnsi" w:hAnsiTheme="minorHAnsi"/>
          <w:b/>
          <w:color w:val="000000"/>
          <w:sz w:val="22"/>
          <w:szCs w:val="22"/>
        </w:rPr>
        <w:t>Hoewel er geen specifieke indicatie is, zijn bètablokkers niet geschikt voor de behandeling van essentiële HT in de eerste lijn (vanwege verhoogd risico op hartblokkade, verminderde werkzaamheid bij het voorkomen van vermoeidheid, vermoeidheid, seksuele disfunctie en beroerte; daarnaast er is een afname van de β-adrenerge receptorfunctie bij veroudering)</w:t>
      </w:r>
    </w:p>
    <w:p w14:paraId="638CA2EE" w14:textId="77777777" w:rsidR="002A1E62" w:rsidRPr="00AE15DA" w:rsidRDefault="002A1E62" w:rsidP="0043334F">
      <w:pPr>
        <w:contextualSpacing/>
        <w:jc w:val="both"/>
        <w:rPr>
          <w:rFonts w:asciiTheme="minorHAnsi" w:hAnsiTheme="minorHAnsi"/>
          <w:b/>
          <w:sz w:val="22"/>
          <w:szCs w:val="22"/>
        </w:rPr>
      </w:pPr>
    </w:p>
    <w:p w14:paraId="5C0195FA" w14:textId="77777777" w:rsidR="001A1AC8" w:rsidRDefault="006C24B0" w:rsidP="001A1AC8">
      <w:pPr>
        <w:contextualSpacing/>
        <w:jc w:val="both"/>
        <w:rPr>
          <w:rFonts w:asciiTheme="minorHAnsi" w:hAnsiTheme="minorHAnsi"/>
          <w:b/>
          <w:sz w:val="22"/>
          <w:szCs w:val="22"/>
        </w:rPr>
      </w:pPr>
      <w:r w:rsidRPr="00AE15DA">
        <w:rPr>
          <w:rFonts w:asciiTheme="minorHAnsi" w:hAnsiTheme="minorHAnsi"/>
          <w:b/>
          <w:sz w:val="22"/>
          <w:szCs w:val="22"/>
        </w:rPr>
        <w:t>A8.</w:t>
      </w:r>
      <w:r w:rsidR="00181929" w:rsidRPr="00AE15DA">
        <w:rPr>
          <w:rFonts w:asciiTheme="minorHAnsi" w:hAnsiTheme="minorHAnsi"/>
          <w:b/>
          <w:sz w:val="22"/>
          <w:szCs w:val="22"/>
        </w:rPr>
        <w:t xml:space="preserve"> </w:t>
      </w:r>
      <w:r w:rsidR="001A1AC8" w:rsidRPr="001A1AC8">
        <w:rPr>
          <w:rFonts w:asciiTheme="minorHAnsi" w:hAnsiTheme="minorHAnsi"/>
          <w:b/>
          <w:sz w:val="22"/>
          <w:szCs w:val="22"/>
        </w:rPr>
        <w:t>Bij patiënten met urine-incontinentie is het gebruik van diuretica in de eerste stap niet geschikt voor de behandeling van essentiële HT (het kan de kwaliteit van leven verminderen door de incontinentie en het gevoel van aandrang te vergroten, en kan het vallen vergroten).</w:t>
      </w:r>
    </w:p>
    <w:p w14:paraId="0F408901" w14:textId="5A69A2EB" w:rsidR="006C24B0" w:rsidRPr="00AE15DA" w:rsidRDefault="006C24B0" w:rsidP="001A1AC8">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1A1AC8" w:rsidRPr="001A1AC8">
        <w:t xml:space="preserve"> </w:t>
      </w:r>
      <w:r w:rsidR="001A1AC8" w:rsidRPr="001A1AC8">
        <w:rPr>
          <w:rFonts w:asciiTheme="minorHAnsi" w:hAnsiTheme="minorHAnsi"/>
          <w:i/>
          <w:color w:val="000000" w:themeColor="text1"/>
          <w:sz w:val="22"/>
          <w:szCs w:val="22"/>
        </w:rPr>
        <w:t>Over het algemeen kunnen diuretica bij ouderen de kwaliteit van leven verminderen door het volume te verminderen/de frequentie en het volume van de mictie te verhogen en een gevoel van knijpen te veroorzaken, en kan een risicofactor zijn voor vallen. Gevallen waarin diuretica worden gebruikt, moeten in deze opzichten nauwlettend worden gevolgd.</w:t>
      </w:r>
    </w:p>
    <w:p w14:paraId="2DF5B03F" w14:textId="274E5CEF" w:rsidR="00CA5845" w:rsidRDefault="00CA584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04500522" w14:textId="77777777"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5772BE4" w14:textId="3B8161CB" w:rsidR="006C24B0"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A9.</w:t>
      </w:r>
      <w:r w:rsidR="002A1E62" w:rsidRPr="00AE15DA">
        <w:rPr>
          <w:rFonts w:asciiTheme="minorHAnsi" w:hAnsiTheme="minorHAnsi"/>
          <w:b/>
          <w:color w:val="000000"/>
          <w:sz w:val="22"/>
          <w:szCs w:val="22"/>
        </w:rPr>
        <w:t xml:space="preserve"> </w:t>
      </w:r>
      <w:r w:rsidR="001A1AC8" w:rsidRPr="001A1AC8">
        <w:rPr>
          <w:rFonts w:asciiTheme="minorHAnsi" w:hAnsiTheme="minorHAnsi"/>
          <w:b/>
          <w:color w:val="000000"/>
          <w:sz w:val="22"/>
          <w:szCs w:val="22"/>
        </w:rPr>
        <w:t>Het gebruik van alfa-1-blokkers of centraal werkende antihypertensiva (bijv. methyldopa, rilmenidine, reserpine) is niet geschikt bij de behandeling van HT, behalve in gevallen waarin andere klassen van antihypertensiva niet worden verdragen of ineffectief zijn (met alfa-1-blokkers, hartfalen en toename van cardiovasculaire voorvallen, orthostatische hypotensie, afname)</w:t>
      </w:r>
      <w:proofErr w:type="gramStart"/>
      <w:r w:rsidR="001A1AC8" w:rsidRPr="001A1AC8">
        <w:rPr>
          <w:rFonts w:asciiTheme="minorHAnsi" w:hAnsiTheme="minorHAnsi"/>
          <w:b/>
          <w:color w:val="000000"/>
          <w:sz w:val="22"/>
          <w:szCs w:val="22"/>
        </w:rPr>
        <w:t>.,</w:t>
      </w:r>
      <w:proofErr w:type="gramEnd"/>
      <w:r w:rsidR="001A1AC8" w:rsidRPr="001A1AC8">
        <w:rPr>
          <w:rFonts w:asciiTheme="minorHAnsi" w:hAnsiTheme="minorHAnsi"/>
          <w:b/>
          <w:color w:val="000000"/>
          <w:sz w:val="22"/>
          <w:szCs w:val="22"/>
        </w:rPr>
        <w:t xml:space="preserve"> syncope, verergering van urine-incontinentie bij vrouwen; CZS-bijwerkingen van centraal werkende antihypertensiva, sedatie-depressie-parkinsonisme en orthostatische hypotensie, bradycardie-bijwerkingen)</w:t>
      </w:r>
    </w:p>
    <w:p w14:paraId="07DB9CDA" w14:textId="77777777" w:rsidR="009B4E92" w:rsidRPr="00AE15DA" w:rsidRDefault="009B4E92" w:rsidP="0043334F">
      <w:pPr>
        <w:pStyle w:val="HTMLncedenBiimlendirilmi"/>
        <w:contextualSpacing/>
        <w:jc w:val="both"/>
        <w:rPr>
          <w:rFonts w:asciiTheme="minorHAnsi" w:hAnsiTheme="minorHAnsi" w:cstheme="minorHAnsi"/>
          <w:color w:val="000000" w:themeColor="text1"/>
          <w:sz w:val="22"/>
          <w:szCs w:val="22"/>
        </w:rPr>
      </w:pPr>
    </w:p>
    <w:p w14:paraId="70B7A5E3" w14:textId="77777777" w:rsidR="00C75B3A" w:rsidRPr="00AE15DA" w:rsidRDefault="00C75B3A" w:rsidP="0043334F">
      <w:pPr>
        <w:pStyle w:val="HTMLncedenBiimlendirilmi"/>
        <w:contextualSpacing/>
        <w:jc w:val="both"/>
        <w:rPr>
          <w:rFonts w:asciiTheme="minorHAnsi" w:hAnsiTheme="minorHAnsi" w:cstheme="minorHAnsi"/>
          <w:color w:val="000000"/>
          <w:sz w:val="22"/>
          <w:szCs w:val="22"/>
        </w:rPr>
      </w:pPr>
    </w:p>
    <w:p w14:paraId="5D861387" w14:textId="77777777" w:rsidR="001A1AC8" w:rsidRDefault="006C24B0" w:rsidP="001A1AC8">
      <w:pPr>
        <w:pStyle w:val="HTMLncedenBiimlendirilmi"/>
        <w:contextualSpacing/>
        <w:jc w:val="both"/>
        <w:rPr>
          <w:rFonts w:asciiTheme="minorHAnsi" w:hAnsiTheme="minorHAnsi"/>
          <w:b/>
          <w:sz w:val="22"/>
          <w:szCs w:val="22"/>
        </w:rPr>
      </w:pPr>
      <w:r w:rsidRPr="00AE15DA">
        <w:rPr>
          <w:rFonts w:asciiTheme="minorHAnsi" w:hAnsiTheme="minorHAnsi"/>
          <w:b/>
          <w:sz w:val="22"/>
          <w:szCs w:val="22"/>
        </w:rPr>
        <w:t>A10.</w:t>
      </w:r>
      <w:r w:rsidR="002A1E62" w:rsidRPr="00AE15DA">
        <w:rPr>
          <w:rFonts w:asciiTheme="minorHAnsi" w:hAnsiTheme="minorHAnsi"/>
          <w:b/>
          <w:sz w:val="22"/>
          <w:szCs w:val="22"/>
        </w:rPr>
        <w:t xml:space="preserve"> </w:t>
      </w:r>
      <w:r w:rsidR="001A1AC8" w:rsidRPr="001A1AC8">
        <w:rPr>
          <w:rFonts w:asciiTheme="minorHAnsi" w:hAnsiTheme="minorHAnsi"/>
          <w:b/>
          <w:sz w:val="22"/>
          <w:szCs w:val="22"/>
        </w:rPr>
        <w:t>Vasodilaterende antihypertensiva (alfa-1-blokkers)/nitraten zijn niet geschikt voor gebruik bij patiënten met orthostatische hypotensie (&gt;=20 mmHg verlaging van de systolische bloeddruk of &gt;=10 mmHg verlaging van de diastolische bloeddruk) (risico op verhoogde orthostatische hypotensie)</w:t>
      </w:r>
    </w:p>
    <w:p w14:paraId="0A04F7C9" w14:textId="4766D4A8" w:rsidR="009B4E92" w:rsidRPr="00AE15DA" w:rsidRDefault="006C24B0" w:rsidP="001A1AC8">
      <w:pPr>
        <w:pStyle w:val="HTMLncedenBiimlendirilmi"/>
        <w:contextualSpacing/>
        <w:jc w:val="both"/>
        <w:rPr>
          <w:rFonts w:asciiTheme="minorHAnsi" w:hAnsiTheme="minorHAnsi" w:cstheme="minorHAnsi"/>
          <w:sz w:val="22"/>
          <w:szCs w:val="22"/>
          <w:lang w:eastAsia="en-GB"/>
        </w:rPr>
      </w:pPr>
      <w:r w:rsidRPr="00AE15DA">
        <w:rPr>
          <w:rFonts w:asciiTheme="minorHAnsi" w:hAnsiTheme="minorHAnsi"/>
          <w:i/>
          <w:sz w:val="22"/>
          <w:szCs w:val="22"/>
        </w:rPr>
        <w:t>*</w:t>
      </w:r>
      <w:r w:rsidR="001A1AC8" w:rsidRPr="001A1AC8">
        <w:t xml:space="preserve"> </w:t>
      </w:r>
      <w:r w:rsidR="001A1AC8" w:rsidRPr="001A1AC8">
        <w:rPr>
          <w:rFonts w:asciiTheme="minorHAnsi" w:hAnsiTheme="minorHAnsi"/>
          <w:i/>
          <w:sz w:val="22"/>
          <w:szCs w:val="22"/>
        </w:rPr>
        <w:t>Het gebruik van vasodilaterende antihypertensiva in de aanwezigheid van orthostatische hypotensie kan alleen geschikt zijn als ernstige HT in rugligging niet onder controle kan worden gebracht met andere antihypertensiva. Als ze worden gebruikt, moeten gelijktijdig beschermende maatregelen tegen orthostatische hypotensie worden genomen. Alle antihypertensiva moeten worden beoordeeld op dosisverlaging in de aanwezigheid van orthostatische hypotensie.</w:t>
      </w:r>
    </w:p>
    <w:p w14:paraId="2E594CB6" w14:textId="77777777" w:rsidR="00E86B5B" w:rsidRPr="00AE15DA" w:rsidRDefault="00E86B5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p>
    <w:p w14:paraId="5DC1FA9A" w14:textId="1CAC72D8" w:rsidR="00C75B3A" w:rsidRPr="00AE15DA" w:rsidRDefault="006C24B0" w:rsidP="001A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eastAsiaTheme="minorHAnsi" w:hAnsiTheme="minorHAnsi" w:cstheme="minorHAnsi"/>
          <w:sz w:val="22"/>
          <w:szCs w:val="22"/>
        </w:rPr>
      </w:pPr>
      <w:r w:rsidRPr="00AE15DA">
        <w:rPr>
          <w:rFonts w:asciiTheme="minorHAnsi" w:hAnsiTheme="minorHAnsi"/>
          <w:b/>
          <w:sz w:val="22"/>
          <w:szCs w:val="22"/>
        </w:rPr>
        <w:t>A11.</w:t>
      </w:r>
      <w:r w:rsidR="00181929" w:rsidRPr="00AE15DA">
        <w:rPr>
          <w:rFonts w:asciiTheme="minorHAnsi" w:hAnsiTheme="minorHAnsi"/>
          <w:b/>
          <w:sz w:val="22"/>
          <w:szCs w:val="22"/>
        </w:rPr>
        <w:t xml:space="preserve"> </w:t>
      </w:r>
      <w:r w:rsidR="001A1AC8" w:rsidRPr="001A1AC8">
        <w:rPr>
          <w:rFonts w:asciiTheme="minorHAnsi" w:hAnsiTheme="minorHAnsi"/>
          <w:b/>
          <w:sz w:val="22"/>
          <w:szCs w:val="22"/>
        </w:rPr>
        <w:t>Een strikte bloeddrukcontrole (&lt;140/90 mmHg) is niet geschikt bij patiënten met orthostatische hypotensie/cognitieve stoornis (bijv. dementie)/functionele beperking/lage levensverwachting (&lt;2 jaar)/hoog risico op vallen</w:t>
      </w:r>
    </w:p>
    <w:p w14:paraId="75B7CC4B" w14:textId="77777777" w:rsidR="00C75B3A" w:rsidRPr="00AE15DA" w:rsidRDefault="00C75B3A" w:rsidP="0043334F">
      <w:pPr>
        <w:autoSpaceDE w:val="0"/>
        <w:autoSpaceDN w:val="0"/>
        <w:adjustRightInd w:val="0"/>
        <w:contextualSpacing/>
        <w:jc w:val="both"/>
        <w:rPr>
          <w:rFonts w:asciiTheme="minorHAnsi" w:eastAsiaTheme="minorHAnsi" w:hAnsiTheme="minorHAnsi" w:cstheme="minorHAnsi"/>
          <w:sz w:val="22"/>
          <w:szCs w:val="22"/>
        </w:rPr>
      </w:pPr>
    </w:p>
    <w:p w14:paraId="59EFB946" w14:textId="77777777" w:rsidR="001A1AC8" w:rsidRDefault="006C24B0" w:rsidP="001A1AC8">
      <w:pPr>
        <w:autoSpaceDE w:val="0"/>
        <w:autoSpaceDN w:val="0"/>
        <w:adjustRightInd w:val="0"/>
        <w:contextualSpacing/>
        <w:jc w:val="both"/>
        <w:rPr>
          <w:rFonts w:asciiTheme="minorHAnsi" w:hAnsiTheme="minorHAnsi"/>
          <w:b/>
          <w:color w:val="000000"/>
          <w:sz w:val="22"/>
          <w:szCs w:val="22"/>
        </w:rPr>
      </w:pPr>
      <w:r w:rsidRPr="00AE15DA">
        <w:rPr>
          <w:rFonts w:asciiTheme="minorHAnsi" w:hAnsiTheme="minorHAnsi"/>
          <w:b/>
          <w:sz w:val="22"/>
          <w:szCs w:val="22"/>
        </w:rPr>
        <w:t xml:space="preserve">A12. </w:t>
      </w:r>
      <w:r w:rsidR="001A1AC8" w:rsidRPr="001A1AC8">
        <w:rPr>
          <w:rFonts w:asciiTheme="minorHAnsi" w:hAnsiTheme="minorHAnsi"/>
          <w:b/>
          <w:color w:val="000000"/>
          <w:sz w:val="22"/>
          <w:szCs w:val="22"/>
        </w:rPr>
        <w:t>Fludrocortison is niet geschikt voor de behandeling van orthostatische hypotensie zonder secundaire factoren uit te sluiten en niet-medicamenteuze benaderingen toe te passen.</w:t>
      </w:r>
    </w:p>
    <w:p w14:paraId="560F3442" w14:textId="19AC6721" w:rsidR="00C75B3A" w:rsidRPr="00AE15DA" w:rsidRDefault="006C24B0" w:rsidP="001A1AC8">
      <w:pPr>
        <w:autoSpaceDE w:val="0"/>
        <w:autoSpaceDN w:val="0"/>
        <w:adjustRightInd w:val="0"/>
        <w:contextualSpacing/>
        <w:jc w:val="both"/>
        <w:rPr>
          <w:rFonts w:asciiTheme="minorHAnsi" w:hAnsiTheme="minorHAnsi"/>
          <w:i/>
          <w:sz w:val="22"/>
          <w:szCs w:val="22"/>
        </w:rPr>
      </w:pPr>
      <w:proofErr w:type="gramStart"/>
      <w:r w:rsidRPr="00AE15DA">
        <w:rPr>
          <w:rFonts w:asciiTheme="minorHAnsi" w:hAnsiTheme="minorHAnsi"/>
          <w:i/>
          <w:color w:val="000000" w:themeColor="text1"/>
          <w:sz w:val="22"/>
          <w:szCs w:val="22"/>
        </w:rPr>
        <w:t>*</w:t>
      </w:r>
      <w:r w:rsidR="001A1AC8" w:rsidRPr="001A1AC8">
        <w:t xml:space="preserve"> </w:t>
      </w:r>
      <w:r w:rsidR="001A1AC8" w:rsidRPr="001A1AC8">
        <w:rPr>
          <w:rFonts w:asciiTheme="minorHAnsi" w:hAnsiTheme="minorHAnsi"/>
          <w:i/>
          <w:color w:val="000000" w:themeColor="text1"/>
          <w:sz w:val="22"/>
          <w:szCs w:val="22"/>
        </w:rPr>
        <w:t>De niet-medicamenteuze benaderingen voor de behandeling van orthostatische hypotensie zijn als volgt: langzaam opstaan, weerstandsoefeningen in de onderste ledematen, het dragen van compressiekousen, voldoende vochtinname [2–3 l/dag], het vermijden van alcohol, het eten van kleine en frequente maaltijden, voldoende zout inname [6-10] g/dag], vermijd koolhydraatrijke voedingsmiddelen, vermijd intensieve lichaamsbeweging bij warm weer, liggend hoofd op 30-45 graden houden</w:t>
      </w:r>
      <w:proofErr w:type="gramEnd"/>
    </w:p>
    <w:p w14:paraId="63FE8218" w14:textId="77777777" w:rsidR="0077695B" w:rsidRPr="00AE15DA" w:rsidRDefault="0077695B" w:rsidP="0043334F">
      <w:pPr>
        <w:spacing w:before="100" w:beforeAutospacing="1"/>
        <w:contextualSpacing/>
        <w:jc w:val="both"/>
        <w:rPr>
          <w:rFonts w:asciiTheme="minorHAnsi" w:hAnsiTheme="minorHAnsi"/>
          <w:b/>
          <w:sz w:val="22"/>
          <w:szCs w:val="22"/>
        </w:rPr>
      </w:pPr>
    </w:p>
    <w:p w14:paraId="24BB0D05" w14:textId="77777777" w:rsidR="001A1AC8" w:rsidRDefault="006C24B0" w:rsidP="001A1AC8">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A13.</w:t>
      </w:r>
      <w:r w:rsidR="00181929" w:rsidRPr="00AE15DA">
        <w:rPr>
          <w:rFonts w:asciiTheme="minorHAnsi" w:hAnsiTheme="minorHAnsi"/>
          <w:b/>
          <w:sz w:val="22"/>
          <w:szCs w:val="22"/>
        </w:rPr>
        <w:t xml:space="preserve"> </w:t>
      </w:r>
      <w:r w:rsidR="001A1AC8" w:rsidRPr="001A1AC8">
        <w:rPr>
          <w:rFonts w:asciiTheme="minorHAnsi" w:hAnsiTheme="minorHAnsi"/>
          <w:b/>
          <w:sz w:val="22"/>
          <w:szCs w:val="22"/>
        </w:rPr>
        <w:t>Het gebruik van een bètablokker en een combinatie van verapamil/diltiazem is niet geschikt bij HT-patiënten (risico op een hartblok)</w:t>
      </w:r>
    </w:p>
    <w:p w14:paraId="64E3CA18" w14:textId="77777777" w:rsidR="001A1AC8" w:rsidRDefault="00EC68B4" w:rsidP="001A1AC8">
      <w:pPr>
        <w:spacing w:before="100" w:beforeAutospacing="1"/>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1A1AC8" w:rsidRPr="001A1AC8">
        <w:t xml:space="preserve"> </w:t>
      </w:r>
      <w:r w:rsidR="001A1AC8" w:rsidRPr="001A1AC8">
        <w:rPr>
          <w:rFonts w:asciiTheme="minorHAnsi" w:hAnsiTheme="minorHAnsi"/>
          <w:i/>
          <w:color w:val="000000" w:themeColor="text1"/>
          <w:sz w:val="22"/>
          <w:szCs w:val="22"/>
        </w:rPr>
        <w:t>Langwerkende calciumkanaalblokkers uit de dihydropyridinegroep verdienen de voorkeur bij de behandeling van HT bij ouderen (gebruik van verapamil/diltiazem kan het risico op een hartblok vergroten).</w:t>
      </w:r>
    </w:p>
    <w:p w14:paraId="77A0F571" w14:textId="553D88F2" w:rsidR="0077695B" w:rsidRDefault="006C24B0" w:rsidP="001A1AC8">
      <w:pPr>
        <w:spacing w:before="100" w:beforeAutospacing="1"/>
        <w:contextualSpacing/>
        <w:jc w:val="both"/>
        <w:rPr>
          <w:rFonts w:asciiTheme="minorHAnsi" w:hAnsiTheme="minorHAnsi"/>
          <w:i/>
          <w:color w:val="44546A" w:themeColor="text2"/>
          <w:sz w:val="22"/>
          <w:szCs w:val="22"/>
        </w:rPr>
      </w:pPr>
      <w:r w:rsidRPr="00AE15DA">
        <w:rPr>
          <w:rFonts w:asciiTheme="minorHAnsi" w:hAnsiTheme="minorHAnsi"/>
          <w:i/>
          <w:sz w:val="22"/>
          <w:szCs w:val="22"/>
        </w:rPr>
        <w:lastRenderedPageBreak/>
        <w:t xml:space="preserve"> *</w:t>
      </w:r>
      <w:r w:rsidR="001A1AC8" w:rsidRPr="001A1AC8">
        <w:t xml:space="preserve"> </w:t>
      </w:r>
      <w:r w:rsidR="001A1AC8" w:rsidRPr="001A1AC8">
        <w:rPr>
          <w:rFonts w:asciiTheme="minorHAnsi" w:hAnsiTheme="minorHAnsi"/>
          <w:i/>
          <w:sz w:val="22"/>
          <w:szCs w:val="22"/>
        </w:rPr>
        <w:t>Combinatie van bètablokkers met verapamil/diltiazem kan geschikt zijn in sommige gevallen van supraventriculaire tachycardie. In dit geval moet het met voorzichtigheid worden gebruikt.</w:t>
      </w:r>
    </w:p>
    <w:p w14:paraId="47EB0FEF" w14:textId="77777777" w:rsidR="00E85274" w:rsidRPr="00AE15DA" w:rsidRDefault="00E85274" w:rsidP="0043334F">
      <w:pPr>
        <w:contextualSpacing/>
        <w:jc w:val="both"/>
        <w:rPr>
          <w:rFonts w:asciiTheme="minorHAnsi" w:hAnsiTheme="minorHAnsi"/>
          <w:b/>
          <w:sz w:val="22"/>
          <w:szCs w:val="22"/>
        </w:rPr>
      </w:pPr>
    </w:p>
    <w:p w14:paraId="17858DAD" w14:textId="77777777" w:rsidR="001A1AC8" w:rsidRDefault="0018466D" w:rsidP="0043334F">
      <w:pPr>
        <w:contextualSpacing/>
        <w:jc w:val="both"/>
        <w:rPr>
          <w:rFonts w:asciiTheme="minorHAnsi" w:hAnsiTheme="minorHAnsi"/>
          <w:b/>
          <w:sz w:val="22"/>
          <w:szCs w:val="22"/>
        </w:rPr>
      </w:pPr>
      <w:r w:rsidRPr="00AE15DA">
        <w:rPr>
          <w:rFonts w:asciiTheme="minorHAnsi" w:hAnsiTheme="minorHAnsi"/>
          <w:b/>
          <w:sz w:val="22"/>
          <w:szCs w:val="22"/>
        </w:rPr>
        <w:t xml:space="preserve">A14. </w:t>
      </w:r>
      <w:r w:rsidR="001A1AC8" w:rsidRPr="001A1AC8">
        <w:rPr>
          <w:rFonts w:asciiTheme="minorHAnsi" w:hAnsiTheme="minorHAnsi"/>
          <w:b/>
          <w:sz w:val="22"/>
          <w:szCs w:val="22"/>
        </w:rPr>
        <w:t xml:space="preserve">Het is niet </w:t>
      </w:r>
      <w:r w:rsidR="001A1AC8">
        <w:rPr>
          <w:rFonts w:asciiTheme="minorHAnsi" w:hAnsiTheme="minorHAnsi"/>
          <w:b/>
          <w:sz w:val="22"/>
          <w:szCs w:val="22"/>
        </w:rPr>
        <w:t>geschikt</w:t>
      </w:r>
      <w:r w:rsidR="001A1AC8" w:rsidRPr="001A1AC8">
        <w:rPr>
          <w:rFonts w:asciiTheme="minorHAnsi" w:hAnsiTheme="minorHAnsi"/>
          <w:b/>
          <w:sz w:val="22"/>
          <w:szCs w:val="22"/>
        </w:rPr>
        <w:t xml:space="preserve"> om een ​​RAS-blokker (ACE-remmer, ARB, directe renine-remmer) of kaliumsparend diureticum (spironolacton, eplerenon, amiloride, triamtereen) te starten in gevallen met een serumkaliumspiegel hoger dan 5,5 mEq/L.</w:t>
      </w:r>
    </w:p>
    <w:p w14:paraId="7573AFEF" w14:textId="77777777" w:rsidR="001A1AC8" w:rsidRPr="001A1AC8" w:rsidRDefault="001A1AC8" w:rsidP="001A1AC8">
      <w:pPr>
        <w:contextualSpacing/>
        <w:rPr>
          <w:rFonts w:asciiTheme="minorHAnsi" w:hAnsiTheme="minorHAnsi"/>
          <w:sz w:val="22"/>
          <w:szCs w:val="22"/>
        </w:rPr>
      </w:pPr>
      <w:r w:rsidRPr="001A1AC8">
        <w:rPr>
          <w:rFonts w:asciiTheme="minorHAnsi" w:hAnsiTheme="minorHAnsi"/>
          <w:sz w:val="22"/>
          <w:szCs w:val="22"/>
        </w:rPr>
        <w:t>*Als deze groep geneesmiddelen wordt gebruikt in gevallen met een kaliumspiegel van meer dan 6 mEq/L, moeten ze worden stopgezet.</w:t>
      </w:r>
    </w:p>
    <w:p w14:paraId="4788B18B" w14:textId="6AF13CA2" w:rsidR="0077695B" w:rsidRDefault="001A1AC8" w:rsidP="001A1AC8">
      <w:pPr>
        <w:contextualSpacing/>
        <w:rPr>
          <w:rFonts w:asciiTheme="minorHAnsi" w:hAnsiTheme="minorHAnsi"/>
          <w:sz w:val="22"/>
          <w:szCs w:val="22"/>
        </w:rPr>
      </w:pPr>
      <w:r w:rsidRPr="001A1AC8">
        <w:rPr>
          <w:rFonts w:asciiTheme="minorHAnsi" w:hAnsiTheme="minorHAnsi"/>
          <w:sz w:val="22"/>
          <w:szCs w:val="22"/>
        </w:rPr>
        <w:t>*Het gecombineerde gebruik van ACE-remmers en ARB's voor antihypertensieve doeleinden is niet geschikt.</w:t>
      </w:r>
    </w:p>
    <w:p w14:paraId="43B00A10" w14:textId="77777777" w:rsidR="001A1AC8" w:rsidRPr="00AE15DA" w:rsidRDefault="001A1AC8" w:rsidP="001A1AC8">
      <w:pPr>
        <w:contextualSpacing/>
        <w:rPr>
          <w:rFonts w:asciiTheme="minorHAnsi" w:hAnsiTheme="minorHAnsi" w:cstheme="minorHAnsi"/>
          <w:color w:val="000000"/>
          <w:sz w:val="22"/>
          <w:szCs w:val="22"/>
        </w:rPr>
      </w:pPr>
    </w:p>
    <w:p w14:paraId="4DFEC116" w14:textId="5BBF5B10" w:rsidR="001A1AC8" w:rsidRDefault="0018466D" w:rsidP="001A1AC8">
      <w:pPr>
        <w:contextualSpacing/>
        <w:rPr>
          <w:rFonts w:asciiTheme="minorHAnsi" w:hAnsiTheme="minorHAnsi"/>
          <w:b/>
          <w:sz w:val="22"/>
          <w:szCs w:val="22"/>
        </w:rPr>
      </w:pPr>
      <w:r w:rsidRPr="00AE15DA">
        <w:rPr>
          <w:rFonts w:asciiTheme="minorHAnsi" w:hAnsiTheme="minorHAnsi"/>
          <w:b/>
          <w:sz w:val="22"/>
          <w:szCs w:val="22"/>
        </w:rPr>
        <w:t xml:space="preserve">A15. </w:t>
      </w:r>
      <w:r w:rsidR="001A1AC8" w:rsidRPr="001A1AC8">
        <w:rPr>
          <w:rFonts w:asciiTheme="minorHAnsi" w:hAnsiTheme="minorHAnsi"/>
          <w:b/>
          <w:sz w:val="22"/>
          <w:szCs w:val="22"/>
        </w:rPr>
        <w:t xml:space="preserve">Het is niet </w:t>
      </w:r>
      <w:r w:rsidR="001A1AC8">
        <w:rPr>
          <w:rFonts w:asciiTheme="minorHAnsi" w:hAnsiTheme="minorHAnsi"/>
          <w:b/>
          <w:sz w:val="22"/>
          <w:szCs w:val="22"/>
        </w:rPr>
        <w:t>geschikt</w:t>
      </w:r>
      <w:r w:rsidR="001A1AC8" w:rsidRPr="001A1AC8">
        <w:rPr>
          <w:rFonts w:asciiTheme="minorHAnsi" w:hAnsiTheme="minorHAnsi"/>
          <w:b/>
          <w:sz w:val="22"/>
          <w:szCs w:val="22"/>
        </w:rPr>
        <w:t xml:space="preserve"> om RAS-blokkers (ACEI, ARB, directe renineremmer) en kaliumsparende diuretica (spironolacton, eplerenon, amiloride, triamtereen) te combineren zonder de serumkaliumspiegel te controleren (risico op gevaarlijke hyperkaliëmie).</w:t>
      </w:r>
    </w:p>
    <w:p w14:paraId="2E8320E0" w14:textId="1075017F" w:rsidR="00E86B5B" w:rsidRDefault="0018466D" w:rsidP="001A1AC8">
      <w:pPr>
        <w:contextualSpacing/>
        <w:rPr>
          <w:rFonts w:asciiTheme="minorHAnsi" w:hAnsiTheme="minorHAnsi"/>
          <w:i/>
          <w:sz w:val="22"/>
          <w:szCs w:val="22"/>
        </w:rPr>
      </w:pPr>
      <w:r w:rsidRPr="00AE15DA">
        <w:rPr>
          <w:rFonts w:asciiTheme="minorHAnsi" w:hAnsiTheme="minorHAnsi"/>
          <w:i/>
          <w:sz w:val="22"/>
          <w:szCs w:val="22"/>
        </w:rPr>
        <w:t>*</w:t>
      </w:r>
      <w:r w:rsidR="001A1AC8" w:rsidRPr="001A1AC8">
        <w:t xml:space="preserve"> </w:t>
      </w:r>
      <w:r w:rsidR="001A1AC8" w:rsidRPr="001A1AC8">
        <w:rPr>
          <w:rFonts w:asciiTheme="minorHAnsi" w:hAnsiTheme="minorHAnsi"/>
          <w:i/>
          <w:sz w:val="22"/>
          <w:szCs w:val="22"/>
        </w:rPr>
        <w:t>Dit risico is vooral hoger bij patiënten met diabetes mellitus, nierfalen, ouderen en patiënten die kaliumzoutsupplementen gebruiken.</w:t>
      </w:r>
    </w:p>
    <w:p w14:paraId="73C71DC8" w14:textId="77777777" w:rsidR="001A1AC8" w:rsidRPr="00AE15DA" w:rsidRDefault="001A1AC8" w:rsidP="001A1AC8">
      <w:pPr>
        <w:contextualSpacing/>
        <w:rPr>
          <w:rFonts w:asciiTheme="minorHAnsi" w:hAnsiTheme="minorHAnsi"/>
          <w:b/>
          <w:color w:val="000000" w:themeColor="text1"/>
          <w:sz w:val="22"/>
          <w:szCs w:val="22"/>
        </w:rPr>
      </w:pPr>
    </w:p>
    <w:p w14:paraId="13200661" w14:textId="182F8681" w:rsidR="001D79D5" w:rsidRPr="00AE15DA" w:rsidRDefault="003814F4" w:rsidP="0043334F">
      <w:pPr>
        <w:contextualSpacing/>
        <w:jc w:val="both"/>
        <w:rPr>
          <w:rFonts w:asciiTheme="minorHAnsi" w:hAnsiTheme="minorHAnsi"/>
          <w:b/>
          <w:color w:val="000000" w:themeColor="text1"/>
          <w:sz w:val="22"/>
          <w:szCs w:val="22"/>
        </w:rPr>
      </w:pPr>
      <w:r w:rsidRPr="00AE15DA">
        <w:rPr>
          <w:rFonts w:asciiTheme="minorHAnsi" w:hAnsiTheme="minorHAnsi"/>
          <w:b/>
          <w:color w:val="000000" w:themeColor="text1"/>
          <w:sz w:val="22"/>
          <w:szCs w:val="22"/>
        </w:rPr>
        <w:t xml:space="preserve">A16. </w:t>
      </w:r>
      <w:r w:rsidR="00D121E9" w:rsidRPr="00D121E9">
        <w:rPr>
          <w:rFonts w:asciiTheme="minorHAnsi" w:hAnsiTheme="minorHAnsi"/>
          <w:b/>
          <w:color w:val="000000" w:themeColor="text1"/>
          <w:sz w:val="22"/>
          <w:szCs w:val="22"/>
        </w:rPr>
        <w:t>Kaliumsparende geneesmiddelen (aldosteronantagonisten, triamtereen, amiloride, ACEI, ARB) zijn niet geschikt voor gebruik bij patiënten met een GFR &lt; 30 ml/min/1,73 m2 en bij wie de serumkaliumspiegel niet nauwkeurig kan worden gecontroleerd (risico op hyperkaliëmie).</w:t>
      </w:r>
    </w:p>
    <w:p w14:paraId="486442FF" w14:textId="77777777" w:rsidR="009B4E92" w:rsidRPr="00AE15DA" w:rsidRDefault="009B4E92" w:rsidP="0043334F">
      <w:pPr>
        <w:contextualSpacing/>
        <w:jc w:val="both"/>
        <w:rPr>
          <w:rFonts w:asciiTheme="minorHAnsi" w:hAnsiTheme="minorHAnsi"/>
          <w:b/>
          <w:color w:val="000000" w:themeColor="text1"/>
          <w:sz w:val="22"/>
          <w:szCs w:val="22"/>
        </w:rPr>
      </w:pPr>
    </w:p>
    <w:p w14:paraId="2C1E893E" w14:textId="097F11FE" w:rsidR="0077695B"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A17.</w:t>
      </w:r>
      <w:r w:rsidR="00181929" w:rsidRPr="00AE15DA">
        <w:rPr>
          <w:rFonts w:asciiTheme="minorHAnsi" w:hAnsiTheme="minorHAnsi"/>
          <w:b/>
          <w:sz w:val="22"/>
          <w:szCs w:val="22"/>
        </w:rPr>
        <w:t xml:space="preserve"> </w:t>
      </w:r>
      <w:r w:rsidR="00D121E9" w:rsidRPr="00D121E9">
        <w:rPr>
          <w:rFonts w:asciiTheme="minorHAnsi" w:hAnsiTheme="minorHAnsi"/>
          <w:b/>
          <w:sz w:val="22"/>
          <w:szCs w:val="22"/>
        </w:rPr>
        <w:t>Thiazidediuretica zijn niet geschikt voor gebruik bij patiënten met een voorgeschiedenis van significante hypokaliëmie (serum K &lt; 3,0 mg/l), hyponatriëmie (serum Na &lt; 130 mEq/l), hypercalciëmie (gecorrigeerd serum Ca &gt; 10,6 mg/dl) of jicht</w:t>
      </w:r>
    </w:p>
    <w:p w14:paraId="2FED048F"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03D204F4" w14:textId="77777777" w:rsidR="00D121E9" w:rsidRDefault="006C24B0" w:rsidP="00D121E9">
      <w:pPr>
        <w:spacing w:before="100" w:beforeAutospacing="1"/>
        <w:contextualSpacing/>
        <w:jc w:val="both"/>
        <w:rPr>
          <w:rFonts w:asciiTheme="minorHAnsi" w:hAnsiTheme="minorHAnsi" w:cstheme="minorHAnsi"/>
          <w:b/>
          <w:sz w:val="22"/>
          <w:szCs w:val="22"/>
        </w:rPr>
      </w:pPr>
      <w:r w:rsidRPr="00AE15DA">
        <w:rPr>
          <w:rFonts w:asciiTheme="minorHAnsi" w:hAnsiTheme="minorHAnsi"/>
          <w:b/>
          <w:sz w:val="22"/>
          <w:szCs w:val="22"/>
        </w:rPr>
        <w:t>A18.</w:t>
      </w:r>
      <w:r w:rsidR="00181929" w:rsidRPr="00AE15DA">
        <w:rPr>
          <w:rFonts w:asciiTheme="minorHAnsi" w:hAnsiTheme="minorHAnsi"/>
          <w:b/>
          <w:sz w:val="22"/>
          <w:szCs w:val="22"/>
        </w:rPr>
        <w:t xml:space="preserve"> </w:t>
      </w:r>
      <w:r w:rsidR="00D121E9" w:rsidRPr="00D121E9">
        <w:rPr>
          <w:rFonts w:asciiTheme="minorHAnsi" w:hAnsiTheme="minorHAnsi" w:cstheme="minorHAnsi"/>
          <w:b/>
          <w:sz w:val="22"/>
          <w:szCs w:val="22"/>
        </w:rPr>
        <w:t xml:space="preserve">Het gebruik van NSAID's is niet geschikt bij patiënten met </w:t>
      </w:r>
      <w:proofErr w:type="gramStart"/>
      <w:r w:rsidR="00D121E9" w:rsidRPr="00D121E9">
        <w:rPr>
          <w:rFonts w:asciiTheme="minorHAnsi" w:hAnsiTheme="minorHAnsi" w:cstheme="minorHAnsi"/>
          <w:b/>
          <w:sz w:val="22"/>
          <w:szCs w:val="22"/>
        </w:rPr>
        <w:t>hart</w:t>
      </w:r>
      <w:proofErr w:type="gramEnd"/>
      <w:r w:rsidR="00D121E9" w:rsidRPr="00D121E9">
        <w:rPr>
          <w:rFonts w:asciiTheme="minorHAnsi" w:hAnsiTheme="minorHAnsi" w:cstheme="minorHAnsi"/>
          <w:b/>
          <w:sz w:val="22"/>
          <w:szCs w:val="22"/>
        </w:rPr>
        <w:t>- en vaatziekten (ernstige hypertensie, hartfalen of eerder MI, beroerte) (verhoogd cardiovasculair voorval: risico op MI, beroerte, hartfalen en overlijden)</w:t>
      </w:r>
    </w:p>
    <w:p w14:paraId="049B34FD" w14:textId="77777777" w:rsidR="00D121E9" w:rsidRPr="00D121E9" w:rsidRDefault="00D121E9" w:rsidP="00D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D121E9">
        <w:rPr>
          <w:rFonts w:asciiTheme="minorHAnsi" w:hAnsiTheme="minorHAnsi"/>
          <w:i/>
          <w:sz w:val="22"/>
          <w:szCs w:val="22"/>
        </w:rPr>
        <w:t>*In gevallen waar het gebruik van NSAID's klinisch geïndiceerd is, kan kortdurend gebruik met nauwgezette klinische controle en met de laagst mogelijke dosis de voorkeur hebben.</w:t>
      </w:r>
    </w:p>
    <w:p w14:paraId="514C7386" w14:textId="77777777" w:rsidR="00D121E9" w:rsidRPr="00D121E9" w:rsidRDefault="00D121E9" w:rsidP="00D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D121E9">
        <w:rPr>
          <w:rFonts w:asciiTheme="minorHAnsi" w:hAnsiTheme="minorHAnsi"/>
          <w:i/>
          <w:sz w:val="22"/>
          <w:szCs w:val="22"/>
        </w:rPr>
        <w:t>* Hoewel alle NSAID's riskant zijn vanuit cardiovasculair oogpunt, kunnen naproxen en ibuprofen relatief veilig zijn.</w:t>
      </w:r>
    </w:p>
    <w:p w14:paraId="145E6DCD" w14:textId="7CF8BC8F" w:rsidR="00D03264" w:rsidRPr="00AE15DA" w:rsidRDefault="00D121E9" w:rsidP="00D1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D121E9">
        <w:rPr>
          <w:rFonts w:asciiTheme="minorHAnsi" w:hAnsiTheme="minorHAnsi"/>
          <w:i/>
          <w:sz w:val="22"/>
          <w:szCs w:val="22"/>
        </w:rPr>
        <w:t>* Als NSAID's moeten worden gegeven aan een patiënt die aspirine gebruikt, kan het beter zijn om deze ten minste 2 uur na aspirine toe te dienen.</w:t>
      </w:r>
    </w:p>
    <w:p w14:paraId="05A6FCC9" w14:textId="77777777"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2A9FCBC" w14:textId="65341791" w:rsidR="009B4E92" w:rsidRPr="00AE15DA" w:rsidRDefault="006C24B0" w:rsidP="0021729B">
      <w:pPr>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sz w:val="22"/>
          <w:szCs w:val="22"/>
        </w:rPr>
        <w:t>A19.</w:t>
      </w:r>
      <w:r w:rsidR="00181929" w:rsidRPr="00AE15DA">
        <w:rPr>
          <w:rFonts w:asciiTheme="minorHAnsi" w:hAnsiTheme="minorHAnsi"/>
          <w:b/>
          <w:sz w:val="22"/>
          <w:szCs w:val="22"/>
        </w:rPr>
        <w:t xml:space="preserve"> </w:t>
      </w:r>
      <w:r w:rsidR="0021729B" w:rsidRPr="0021729B">
        <w:rPr>
          <w:rFonts w:asciiTheme="minorHAnsi" w:hAnsiTheme="minorHAnsi"/>
          <w:b/>
          <w:sz w:val="22"/>
          <w:szCs w:val="22"/>
        </w:rPr>
        <w:t>Bètablokkers zijn niet geschikt voor DM-patiënten met frequente episodes van hypoglykemie (risico op onderdrukking van hypoglykemische symptomen).</w:t>
      </w:r>
    </w:p>
    <w:p w14:paraId="1A3F951E" w14:textId="77777777"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5ECC0BAA" w14:textId="17022652" w:rsidR="00D03264" w:rsidRPr="00AE15DA" w:rsidRDefault="006C24B0" w:rsidP="0021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sz w:val="22"/>
          <w:szCs w:val="22"/>
        </w:rPr>
        <w:t>A20.</w:t>
      </w:r>
      <w:r w:rsidR="00181929" w:rsidRPr="00AE15DA">
        <w:rPr>
          <w:rFonts w:asciiTheme="minorHAnsi" w:hAnsiTheme="minorHAnsi"/>
          <w:b/>
          <w:sz w:val="22"/>
          <w:szCs w:val="22"/>
        </w:rPr>
        <w:t xml:space="preserve"> </w:t>
      </w:r>
      <w:r w:rsidR="0021729B" w:rsidRPr="0021729B">
        <w:rPr>
          <w:rFonts w:asciiTheme="minorHAnsi" w:hAnsiTheme="minorHAnsi"/>
          <w:b/>
          <w:sz w:val="22"/>
          <w:szCs w:val="22"/>
        </w:rPr>
        <w:t>Het gebruik van niet-selectieve bètablokkers (oraal of plaatselijk voor glaucoom) is niet geschikt bij patiënten met een voorgeschiedenis van astma (risico op verhoogde bronchospasmen)</w:t>
      </w:r>
    </w:p>
    <w:p w14:paraId="54E869D3" w14:textId="77777777" w:rsidR="009B4E92" w:rsidRPr="00AE15DA" w:rsidRDefault="009B4E92" w:rsidP="0043334F">
      <w:pPr>
        <w:pStyle w:val="HTMLncedenBiimlendirilmi"/>
        <w:contextualSpacing/>
        <w:jc w:val="both"/>
        <w:rPr>
          <w:rFonts w:asciiTheme="minorHAnsi" w:hAnsiTheme="minorHAnsi" w:cstheme="minorHAnsi"/>
          <w:color w:val="000000"/>
          <w:sz w:val="22"/>
          <w:szCs w:val="22"/>
        </w:rPr>
      </w:pPr>
    </w:p>
    <w:p w14:paraId="7330A129" w14:textId="42C82C20" w:rsidR="006C24B0" w:rsidRPr="00AE15DA" w:rsidRDefault="006C24B0" w:rsidP="0043334F">
      <w:pPr>
        <w:pStyle w:val="HTMLncedenBiimlendirilmi"/>
        <w:contextualSpacing/>
        <w:jc w:val="both"/>
        <w:rPr>
          <w:rFonts w:asciiTheme="minorHAnsi" w:hAnsiTheme="minorHAnsi" w:cs="Times New Roman"/>
          <w:b/>
          <w:sz w:val="22"/>
          <w:szCs w:val="22"/>
          <w:vertAlign w:val="superscript"/>
        </w:rPr>
      </w:pPr>
      <w:r w:rsidRPr="00AE15DA">
        <w:rPr>
          <w:rFonts w:asciiTheme="minorHAnsi" w:hAnsiTheme="minorHAnsi" w:cs="Times New Roman"/>
          <w:b/>
          <w:sz w:val="22"/>
          <w:szCs w:val="22"/>
        </w:rPr>
        <w:t xml:space="preserve">A21. </w:t>
      </w:r>
      <w:r w:rsidR="0021729B" w:rsidRPr="0021729B">
        <w:rPr>
          <w:rFonts w:asciiTheme="minorHAnsi" w:hAnsiTheme="minorHAnsi" w:cs="Times New Roman"/>
          <w:b/>
          <w:sz w:val="22"/>
          <w:szCs w:val="22"/>
        </w:rPr>
        <w:t>Chronisch gebruik van aspirine in doses hoger dan 75-150 mg/dag is niet geschikt voor primaire of secundaire cardiovasculaire bescherming (geen bewezen bijkomend voordeel en verhoogt het risico op bloedingen)</w:t>
      </w:r>
    </w:p>
    <w:p w14:paraId="2BA3961C" w14:textId="77777777" w:rsidR="006C24B0" w:rsidRPr="00AE15DA" w:rsidRDefault="006C24B0" w:rsidP="0043334F">
      <w:pPr>
        <w:pStyle w:val="HTMLncedenBiimlendirilmi"/>
        <w:contextualSpacing/>
        <w:jc w:val="both"/>
        <w:rPr>
          <w:rFonts w:asciiTheme="minorHAnsi" w:hAnsiTheme="minorHAnsi" w:cs="Times New Roman"/>
          <w:b/>
          <w:color w:val="000000" w:themeColor="text1"/>
          <w:sz w:val="22"/>
          <w:szCs w:val="22"/>
        </w:rPr>
      </w:pPr>
    </w:p>
    <w:p w14:paraId="6369DB6A" w14:textId="77777777" w:rsidR="0092741D" w:rsidRPr="00AE15DA" w:rsidRDefault="0092741D" w:rsidP="0043334F">
      <w:pPr>
        <w:spacing w:before="100" w:beforeAutospacing="1" w:after="100" w:afterAutospacing="1"/>
        <w:contextualSpacing/>
        <w:jc w:val="both"/>
        <w:rPr>
          <w:rFonts w:asciiTheme="minorHAnsi" w:hAnsiTheme="minorHAnsi"/>
          <w:b/>
          <w:sz w:val="22"/>
          <w:szCs w:val="22"/>
        </w:rPr>
      </w:pPr>
    </w:p>
    <w:p w14:paraId="6F136C9D" w14:textId="77777777" w:rsidR="009B4E92" w:rsidRPr="00AE15DA" w:rsidRDefault="009B4E92" w:rsidP="0043334F">
      <w:pPr>
        <w:spacing w:before="100" w:beforeAutospacing="1" w:after="100" w:afterAutospacing="1"/>
        <w:contextualSpacing/>
        <w:jc w:val="both"/>
        <w:rPr>
          <w:rFonts w:asciiTheme="minorHAnsi" w:hAnsiTheme="minorHAnsi"/>
          <w:b/>
          <w:sz w:val="22"/>
          <w:szCs w:val="22"/>
        </w:rPr>
      </w:pPr>
    </w:p>
    <w:p w14:paraId="0122125C" w14:textId="65D54890" w:rsidR="00C75B3A" w:rsidRPr="00AE15DA" w:rsidRDefault="00E66E29" w:rsidP="0043334F">
      <w:pPr>
        <w:spacing w:before="100" w:beforeAutospacing="1" w:after="100" w:afterAutospacing="1"/>
        <w:contextualSpacing/>
        <w:jc w:val="both"/>
        <w:rPr>
          <w:rFonts w:asciiTheme="minorHAnsi" w:hAnsiTheme="minorHAnsi"/>
          <w:b/>
          <w:sz w:val="22"/>
          <w:szCs w:val="22"/>
        </w:rPr>
      </w:pPr>
      <w:r w:rsidRPr="009460D3">
        <w:rPr>
          <w:rFonts w:ascii="Calibri" w:hAnsi="Calibri" w:cs="Calibri"/>
          <w:b/>
          <w:sz w:val="22"/>
          <w:szCs w:val="22"/>
        </w:rPr>
        <w:t>#</w:t>
      </w:r>
      <w:r w:rsidR="006C24B0" w:rsidRPr="009460D3">
        <w:rPr>
          <w:rFonts w:asciiTheme="minorHAnsi" w:hAnsiTheme="minorHAnsi"/>
          <w:b/>
          <w:sz w:val="22"/>
          <w:szCs w:val="22"/>
        </w:rPr>
        <w:t>A22</w:t>
      </w:r>
      <w:r w:rsidR="006C24B0" w:rsidRPr="00AE15DA">
        <w:rPr>
          <w:rFonts w:asciiTheme="minorHAnsi" w:hAnsiTheme="minorHAnsi"/>
          <w:b/>
          <w:sz w:val="22"/>
          <w:szCs w:val="22"/>
        </w:rPr>
        <w:t xml:space="preserve">. </w:t>
      </w:r>
      <w:r w:rsidR="0021729B" w:rsidRPr="0021729B">
        <w:rPr>
          <w:rFonts w:asciiTheme="minorHAnsi" w:hAnsiTheme="minorHAnsi"/>
          <w:b/>
          <w:sz w:val="22"/>
          <w:szCs w:val="22"/>
        </w:rPr>
        <w:t xml:space="preserve">Het gebruik van aspirine, clopidogrel, dipyridamol en OAK's (vitamine K-antagonisten, directe trombineremmer of factor Xa-remmers) is niet geschikt bij een significant bloedingsrisico (bijvoorbeeld bij patiënten met ongecontroleerde ernstige HT, bloedingsdiathese, </w:t>
      </w:r>
      <w:proofErr w:type="gramStart"/>
      <w:r w:rsidR="0021729B" w:rsidRPr="0021729B">
        <w:rPr>
          <w:rFonts w:asciiTheme="minorHAnsi" w:hAnsiTheme="minorHAnsi"/>
          <w:b/>
          <w:sz w:val="22"/>
          <w:szCs w:val="22"/>
        </w:rPr>
        <w:t>spontane</w:t>
      </w:r>
      <w:proofErr w:type="gramEnd"/>
      <w:r w:rsidR="0021729B" w:rsidRPr="0021729B">
        <w:rPr>
          <w:rFonts w:asciiTheme="minorHAnsi" w:hAnsiTheme="minorHAnsi"/>
          <w:b/>
          <w:sz w:val="22"/>
          <w:szCs w:val="22"/>
        </w:rPr>
        <w:t xml:space="preserve"> significante bloedingen) (hoog bloedingsrisico).</w:t>
      </w:r>
    </w:p>
    <w:p w14:paraId="377950A9" w14:textId="77777777"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59C47180" w14:textId="77777777" w:rsidR="0021729B" w:rsidRDefault="007662E6" w:rsidP="0021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222222"/>
          <w:sz w:val="22"/>
          <w:szCs w:val="22"/>
        </w:rPr>
      </w:pPr>
      <w:r w:rsidRPr="00AE15DA">
        <w:rPr>
          <w:rFonts w:asciiTheme="minorHAnsi" w:hAnsiTheme="minorHAnsi"/>
          <w:b/>
          <w:sz w:val="22"/>
          <w:szCs w:val="22"/>
        </w:rPr>
        <w:t xml:space="preserve">A23. </w:t>
      </w:r>
      <w:r w:rsidR="0021729B" w:rsidRPr="0021729B">
        <w:rPr>
          <w:rFonts w:asciiTheme="minorHAnsi" w:hAnsiTheme="minorHAnsi"/>
          <w:b/>
          <w:color w:val="222222"/>
          <w:sz w:val="22"/>
          <w:szCs w:val="22"/>
        </w:rPr>
        <w:t>Gelijktijdig gebruik van aspirine en clopidogrel is niet geschikt voor secundaire profylaxe van een beroerte, tenzij er een specifieke indicatie is voor het gecombineerde gebruik van aspirine en clopidogrel.</w:t>
      </w:r>
    </w:p>
    <w:p w14:paraId="466C9DED" w14:textId="77777777" w:rsidR="0021729B" w:rsidRDefault="003400E8" w:rsidP="00217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AE15DA">
        <w:rPr>
          <w:rFonts w:asciiTheme="minorHAnsi" w:hAnsiTheme="minorHAnsi"/>
          <w:i/>
          <w:sz w:val="22"/>
          <w:szCs w:val="22"/>
        </w:rPr>
        <w:t>*</w:t>
      </w:r>
      <w:r w:rsidR="0021729B" w:rsidRPr="0021729B">
        <w:t xml:space="preserve"> </w:t>
      </w:r>
      <w:r w:rsidR="0021729B" w:rsidRPr="0021729B">
        <w:rPr>
          <w:rFonts w:asciiTheme="minorHAnsi" w:hAnsiTheme="minorHAnsi"/>
          <w:i/>
          <w:sz w:val="22"/>
          <w:szCs w:val="22"/>
        </w:rPr>
        <w:t>Situaties waarin het gecombineerde gebruik van aspirine + clopidogrel geschikt is</w:t>
      </w:r>
    </w:p>
    <w:p w14:paraId="1795CAD3"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1. in de afgelopen 12 maanden acuut coronair syndroom of coronaire interventie hebben gehad (ballon en/of stent)</w:t>
      </w:r>
    </w:p>
    <w:p w14:paraId="6892BE17"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2. In de afgelopen 1 maand een ingreep hebben ondergaan vanwege perifere vaatziekte</w:t>
      </w:r>
    </w:p>
    <w:p w14:paraId="60937675"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Stentplaatsing (vanwege stenose van de halsslagader/slagaderziekte van de onderste extremiteit) in de afgelopen maand</w:t>
      </w:r>
    </w:p>
    <w:p w14:paraId="14345B3F"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Ballontoepassing op de onderste extremiteit in de afgelopen maand</w:t>
      </w:r>
    </w:p>
    <w:p w14:paraId="379D3337"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3. in de afgelopen 3 weken-3 maanden een beroerte-TIA hebben gehad</w:t>
      </w:r>
    </w:p>
    <w:p w14:paraId="24C288B8" w14:textId="77777777" w:rsidR="0021729B" w:rsidRPr="0021729B"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gedurende 3 maanden in geval van een beroerte of TIA als gevolg van intracraniële atherosclerose</w:t>
      </w:r>
    </w:p>
    <w:p w14:paraId="2FCC9416" w14:textId="5603B61C" w:rsidR="00C477FF" w:rsidRPr="00AE15DA" w:rsidRDefault="0021729B" w:rsidP="0021729B">
      <w:pPr>
        <w:ind w:firstLine="709"/>
        <w:contextualSpacing/>
        <w:jc w:val="both"/>
        <w:rPr>
          <w:rFonts w:asciiTheme="minorHAnsi" w:hAnsiTheme="minorHAnsi"/>
          <w:i/>
          <w:sz w:val="22"/>
          <w:szCs w:val="22"/>
        </w:rPr>
      </w:pPr>
      <w:r w:rsidRPr="0021729B">
        <w:rPr>
          <w:rFonts w:asciiTheme="minorHAnsi" w:hAnsiTheme="minorHAnsi"/>
          <w:i/>
          <w:sz w:val="22"/>
          <w:szCs w:val="22"/>
        </w:rPr>
        <w:t>gedurende 3 weken bij lichte beroerte of TIA-gevallen</w:t>
      </w:r>
    </w:p>
    <w:p w14:paraId="5DAE2BFD" w14:textId="77777777" w:rsidR="00701618" w:rsidRPr="00AE15DA" w:rsidRDefault="00701618" w:rsidP="0043334F">
      <w:pPr>
        <w:pStyle w:val="HTMLncedenBiimlendirilmi"/>
        <w:contextualSpacing/>
        <w:jc w:val="both"/>
        <w:rPr>
          <w:rFonts w:asciiTheme="minorHAnsi" w:hAnsiTheme="minorHAnsi" w:cs="Times New Roman"/>
          <w:b/>
          <w:sz w:val="22"/>
          <w:szCs w:val="22"/>
        </w:rPr>
      </w:pPr>
    </w:p>
    <w:p w14:paraId="0FAFF0F9" w14:textId="77777777" w:rsidR="0021729B" w:rsidRDefault="006C24B0" w:rsidP="0043334F">
      <w:pPr>
        <w:pStyle w:val="HTMLncedenBiimlendirilmi"/>
        <w:contextualSpacing/>
        <w:jc w:val="both"/>
        <w:rPr>
          <w:rFonts w:asciiTheme="minorHAnsi" w:hAnsiTheme="minorHAnsi" w:cs="Times New Roman"/>
          <w:b/>
          <w:sz w:val="22"/>
          <w:szCs w:val="22"/>
        </w:rPr>
      </w:pPr>
      <w:r w:rsidRPr="00AE15DA">
        <w:rPr>
          <w:rFonts w:asciiTheme="minorHAnsi" w:hAnsiTheme="minorHAnsi" w:cs="Times New Roman"/>
          <w:b/>
          <w:sz w:val="22"/>
          <w:szCs w:val="22"/>
        </w:rPr>
        <w:t>A2</w:t>
      </w:r>
      <w:r w:rsidR="00965815" w:rsidRPr="00AE15DA">
        <w:rPr>
          <w:rFonts w:asciiTheme="minorHAnsi" w:hAnsiTheme="minorHAnsi" w:cs="Times New Roman"/>
          <w:b/>
          <w:sz w:val="22"/>
          <w:szCs w:val="22"/>
        </w:rPr>
        <w:t>4</w:t>
      </w:r>
      <w:r w:rsidR="00B84A0C" w:rsidRPr="00AE15DA">
        <w:rPr>
          <w:rFonts w:asciiTheme="minorHAnsi" w:hAnsiTheme="minorHAnsi" w:cs="Times New Roman"/>
          <w:b/>
          <w:sz w:val="22"/>
          <w:szCs w:val="22"/>
        </w:rPr>
        <w:t>.</w:t>
      </w:r>
      <w:r w:rsidRPr="00AE15DA">
        <w:rPr>
          <w:rFonts w:asciiTheme="minorHAnsi" w:hAnsiTheme="minorHAnsi" w:cs="Times New Roman"/>
          <w:b/>
          <w:sz w:val="22"/>
          <w:szCs w:val="22"/>
        </w:rPr>
        <w:t xml:space="preserve"> </w:t>
      </w:r>
      <w:r w:rsidR="0021729B" w:rsidRPr="0021729B">
        <w:rPr>
          <w:rFonts w:asciiTheme="minorHAnsi" w:hAnsiTheme="minorHAnsi" w:cs="Times New Roman"/>
          <w:b/>
          <w:sz w:val="22"/>
          <w:szCs w:val="22"/>
        </w:rPr>
        <w:t>Als er geen aanvullende indicatie is voor het gebruik van aspirine/clopidogrel bij patiënten die OAC gebruiken voor chronische AF of om een ​​andere reden, is het niet aangewezen om aspirine/clopidogrel aan de behandeling toe te voegen (geen extra voordeel met aspirine)</w:t>
      </w:r>
    </w:p>
    <w:p w14:paraId="43A03159" w14:textId="37CD110D" w:rsidR="0021729B" w:rsidRPr="0021729B" w:rsidRDefault="006C24B0" w:rsidP="0021729B">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i/>
          <w:sz w:val="22"/>
          <w:szCs w:val="22"/>
        </w:rPr>
        <w:t>*</w:t>
      </w:r>
      <w:r w:rsidR="0021729B" w:rsidRPr="0021729B">
        <w:t xml:space="preserve"> </w:t>
      </w:r>
      <w:r w:rsidR="0021729B" w:rsidRPr="0021729B">
        <w:rPr>
          <w:rFonts w:asciiTheme="minorHAnsi" w:hAnsiTheme="minorHAnsi" w:cs="Times New Roman"/>
          <w:i/>
          <w:sz w:val="22"/>
          <w:szCs w:val="22"/>
        </w:rPr>
        <w:t>Omstandigheden waarin het gepast is om aspirine/clopidogrel toe te voegen aan de behandeling van patiënten met OAC-gebruik zijn:</w:t>
      </w:r>
    </w:p>
    <w:p w14:paraId="7391F800"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1. Acuut coronair syndroom of coronaire interventie in de afgelopen 12 maanden (ballon en/of stent)</w:t>
      </w:r>
    </w:p>
    <w:p w14:paraId="41E3FB94"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2. In de afgelopen 1 maand een ingreep hebben ondergaan vanwege perifere vaatziekte</w:t>
      </w:r>
    </w:p>
    <w:p w14:paraId="6237460A"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Stentplaatsing (vanwege stenose van de halsslagader/slagaderziekte van de onderste extremiteit) in de afgelopen maand</w:t>
      </w:r>
    </w:p>
    <w:p w14:paraId="04B06E21" w14:textId="77777777" w:rsid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Ballontoepassing op de onderste extremiteit in de afgelopen maand</w:t>
      </w:r>
    </w:p>
    <w:p w14:paraId="63163718" w14:textId="59D5206A" w:rsidR="0021729B" w:rsidRPr="0021729B" w:rsidRDefault="006C24B0" w:rsidP="0021729B">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i/>
          <w:sz w:val="22"/>
          <w:szCs w:val="22"/>
        </w:rPr>
        <w:t>*</w:t>
      </w:r>
      <w:r w:rsidR="0021729B" w:rsidRPr="0021729B">
        <w:t xml:space="preserve"> </w:t>
      </w:r>
      <w:r w:rsidR="0021729B" w:rsidRPr="0021729B">
        <w:rPr>
          <w:rFonts w:asciiTheme="minorHAnsi" w:hAnsiTheme="minorHAnsi" w:cs="Times New Roman"/>
          <w:i/>
          <w:sz w:val="22"/>
          <w:szCs w:val="22"/>
        </w:rPr>
        <w:t>Toevoeging van aspirine/clopidogrel aan de behandeling is niet geschikt bij patiënten die OAC gebruiken in de volgende situaties:</w:t>
      </w:r>
    </w:p>
    <w:p w14:paraId="664C86BB"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1. Perifere arteriële ziekte (stenose van de halsslagader, arteriële ziekte van de onderste ledematen, intracerebrale atherosclerose) behalve voor de bovenstaande aandoeningen</w:t>
      </w:r>
    </w:p>
    <w:p w14:paraId="76EDB675" w14:textId="20D9AD2B" w:rsidR="00873A44" w:rsidRPr="00AE15DA" w:rsidRDefault="0021729B" w:rsidP="0021729B">
      <w:pPr>
        <w:pStyle w:val="HTMLncedenBiimlendirilmi"/>
        <w:contextualSpacing/>
        <w:jc w:val="both"/>
        <w:rPr>
          <w:rFonts w:asciiTheme="minorHAnsi" w:hAnsiTheme="minorHAnsi"/>
          <w:b/>
          <w:sz w:val="22"/>
          <w:szCs w:val="22"/>
        </w:rPr>
      </w:pPr>
      <w:r w:rsidRPr="0021729B">
        <w:rPr>
          <w:rFonts w:asciiTheme="minorHAnsi" w:hAnsiTheme="minorHAnsi" w:cs="Times New Roman"/>
          <w:i/>
          <w:sz w:val="22"/>
          <w:szCs w:val="22"/>
        </w:rPr>
        <w:t>2. stabiele coronaire hartziekte (bijv. acuut coronair syndroom meer dan 12 maanden geleden of coronaire interventie)</w:t>
      </w:r>
    </w:p>
    <w:p w14:paraId="5295DF9E" w14:textId="071D011E" w:rsidR="00C75B3A" w:rsidRPr="00AE15DA" w:rsidRDefault="00112690" w:rsidP="0021729B">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sz w:val="22"/>
          <w:szCs w:val="22"/>
        </w:rPr>
        <w:t>A2</w:t>
      </w:r>
      <w:r w:rsidR="00965815" w:rsidRPr="00AE15DA">
        <w:rPr>
          <w:rFonts w:asciiTheme="minorHAnsi" w:hAnsiTheme="minorHAnsi"/>
          <w:b/>
          <w:sz w:val="22"/>
          <w:szCs w:val="22"/>
        </w:rPr>
        <w:t>5</w:t>
      </w:r>
      <w:r w:rsidRPr="00AE15DA">
        <w:rPr>
          <w:rFonts w:asciiTheme="minorHAnsi" w:hAnsiTheme="minorHAnsi"/>
          <w:b/>
          <w:sz w:val="22"/>
          <w:szCs w:val="22"/>
        </w:rPr>
        <w:t xml:space="preserve">. </w:t>
      </w:r>
      <w:r w:rsidR="0021729B" w:rsidRPr="0021729B">
        <w:rPr>
          <w:rFonts w:asciiTheme="minorHAnsi" w:hAnsiTheme="minorHAnsi"/>
          <w:b/>
          <w:sz w:val="22"/>
          <w:szCs w:val="22"/>
        </w:rPr>
        <w:t>OAC's (vitamine K-antagonisten, directe trombineremmers of factor Xa-remmers) zijn niet geschikt voor gebruik gedurende meer dan 6 maanden bij eerste diepe veneuze trombose zonder aanhoudende risicofactoren (geen bewezen bijkomend voordeel)</w:t>
      </w:r>
    </w:p>
    <w:p w14:paraId="5AB08810" w14:textId="77777777"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160BB95" w14:textId="56863D7A" w:rsidR="00112690" w:rsidRPr="00AE15DA"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Pr>
          <w:rFonts w:ascii="Calibri" w:hAnsi="Calibri" w:cs="Calibri"/>
          <w:b/>
          <w:sz w:val="22"/>
          <w:szCs w:val="22"/>
        </w:rPr>
        <w:t>#</w:t>
      </w:r>
      <w:r w:rsidR="00112690" w:rsidRPr="00AE15DA">
        <w:rPr>
          <w:rFonts w:asciiTheme="minorHAnsi" w:hAnsiTheme="minorHAnsi"/>
          <w:b/>
          <w:sz w:val="22"/>
          <w:szCs w:val="22"/>
        </w:rPr>
        <w:t>A2</w:t>
      </w:r>
      <w:r w:rsidR="00965815" w:rsidRPr="00AE15DA">
        <w:rPr>
          <w:rFonts w:asciiTheme="minorHAnsi" w:hAnsiTheme="minorHAnsi"/>
          <w:b/>
          <w:sz w:val="22"/>
          <w:szCs w:val="22"/>
        </w:rPr>
        <w:t>6</w:t>
      </w:r>
      <w:r w:rsidR="00112690" w:rsidRPr="00AE15DA">
        <w:rPr>
          <w:rFonts w:asciiTheme="minorHAnsi" w:hAnsiTheme="minorHAnsi"/>
          <w:b/>
          <w:sz w:val="22"/>
          <w:szCs w:val="22"/>
        </w:rPr>
        <w:t xml:space="preserve">. </w:t>
      </w:r>
      <w:r w:rsidR="0021729B" w:rsidRPr="0021729B">
        <w:rPr>
          <w:rFonts w:asciiTheme="minorHAnsi" w:hAnsiTheme="minorHAnsi"/>
          <w:b/>
          <w:sz w:val="22"/>
          <w:szCs w:val="22"/>
        </w:rPr>
        <w:t>OAC's (vitamine K-antagonisten, directe trombineremmers of factor Xa-remmers) zijn niet geschikt voor gebruik gedurende meer dan 12 maanden bij een eerste longembolie zonder aanhoudende risicofactoren (geen bewezen bijkomend voordeel)</w:t>
      </w:r>
    </w:p>
    <w:p w14:paraId="370920F1" w14:textId="77777777"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37312757" w14:textId="77777777" w:rsidR="00873A44" w:rsidRPr="00AE15DA" w:rsidRDefault="00873A44" w:rsidP="0043334F">
      <w:pPr>
        <w:pStyle w:val="HTMLncedenBiimlendirilmi"/>
        <w:contextualSpacing/>
        <w:jc w:val="both"/>
        <w:rPr>
          <w:rFonts w:asciiTheme="minorHAnsi" w:hAnsiTheme="minorHAnsi" w:cs="Times New Roman"/>
          <w:b/>
          <w:sz w:val="22"/>
          <w:szCs w:val="22"/>
        </w:rPr>
      </w:pPr>
    </w:p>
    <w:p w14:paraId="15F82CD4" w14:textId="77777777" w:rsidR="0021729B" w:rsidRDefault="00E66E29" w:rsidP="0043334F">
      <w:pPr>
        <w:pStyle w:val="HTMLncedenBiimlendirilmi"/>
        <w:contextualSpacing/>
        <w:jc w:val="both"/>
        <w:rPr>
          <w:rFonts w:asciiTheme="minorHAnsi" w:hAnsiTheme="minorHAnsi" w:cs="Times New Roman"/>
          <w:b/>
          <w:sz w:val="22"/>
          <w:szCs w:val="22"/>
        </w:rPr>
      </w:pPr>
      <w:r>
        <w:rPr>
          <w:rFonts w:ascii="Calibri" w:hAnsi="Calibri" w:cs="Calibri"/>
          <w:b/>
          <w:sz w:val="22"/>
          <w:szCs w:val="22"/>
        </w:rPr>
        <w:t>#</w:t>
      </w:r>
      <w:r w:rsidR="006C24B0" w:rsidRPr="00AE15DA">
        <w:rPr>
          <w:rFonts w:asciiTheme="minorHAnsi" w:hAnsiTheme="minorHAnsi" w:cs="Times New Roman"/>
          <w:b/>
          <w:sz w:val="22"/>
          <w:szCs w:val="22"/>
        </w:rPr>
        <w:t>A2</w:t>
      </w:r>
      <w:r w:rsidR="00965815" w:rsidRPr="00AE15DA">
        <w:rPr>
          <w:rFonts w:asciiTheme="minorHAnsi" w:hAnsiTheme="minorHAnsi" w:cs="Times New Roman"/>
          <w:b/>
          <w:sz w:val="22"/>
          <w:szCs w:val="22"/>
        </w:rPr>
        <w:t>7</w:t>
      </w:r>
      <w:r w:rsidR="006C24B0" w:rsidRPr="00AE15DA">
        <w:rPr>
          <w:rFonts w:asciiTheme="minorHAnsi" w:hAnsiTheme="minorHAnsi" w:cs="Times New Roman"/>
          <w:b/>
          <w:sz w:val="22"/>
          <w:szCs w:val="22"/>
        </w:rPr>
        <w:t xml:space="preserve">. </w:t>
      </w:r>
      <w:r w:rsidR="0021729B" w:rsidRPr="0021729B">
        <w:rPr>
          <w:rFonts w:asciiTheme="minorHAnsi" w:hAnsiTheme="minorHAnsi" w:cs="Times New Roman"/>
          <w:b/>
          <w:sz w:val="22"/>
          <w:szCs w:val="22"/>
        </w:rPr>
        <w:t>Monotherapie met aspirine of clopidogrel is niet geschikt bij patiënten met chronisch AF voor wie OAC's (vitamine K-antagonisten, directe trombineremmers of factor Xa-remmers) gecontra-indiceerd zijn.</w:t>
      </w:r>
    </w:p>
    <w:p w14:paraId="3A756699"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 Monotherapie met aspirine of clopidogrel wordt niet aanbevolen voor de preventie van beroertes bij patiënten met AF, het is schadelijk.</w:t>
      </w:r>
    </w:p>
    <w:p w14:paraId="44EDE169" w14:textId="77777777" w:rsidR="0021729B"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*Dubbele antibloedplaatjestherapie wordt ook niet aanbevolen bij patiënten met gecontra-indiceerde OAC vanwege het risico op bloedingen.</w:t>
      </w:r>
    </w:p>
    <w:p w14:paraId="6599E1B5" w14:textId="4EB8092D" w:rsidR="00A67B6A" w:rsidRPr="0021729B" w:rsidRDefault="0021729B" w:rsidP="0021729B">
      <w:pPr>
        <w:pStyle w:val="HTMLncedenBiimlendirilmi"/>
        <w:contextualSpacing/>
        <w:jc w:val="both"/>
        <w:rPr>
          <w:rFonts w:asciiTheme="minorHAnsi" w:hAnsiTheme="minorHAnsi" w:cs="Times New Roman"/>
          <w:i/>
          <w:sz w:val="22"/>
          <w:szCs w:val="22"/>
        </w:rPr>
      </w:pPr>
      <w:r w:rsidRPr="0021729B">
        <w:rPr>
          <w:rFonts w:asciiTheme="minorHAnsi" w:hAnsiTheme="minorHAnsi" w:cs="Times New Roman"/>
          <w:i/>
          <w:sz w:val="22"/>
          <w:szCs w:val="22"/>
        </w:rPr>
        <w:t>* Bij deze patiënten, in gevallen met een hoog risico op een beroerte, kan sluiting van de linker atrium appendix worden aanbevolen.</w:t>
      </w:r>
    </w:p>
    <w:p w14:paraId="0544E73B" w14:textId="77777777" w:rsidR="0021729B" w:rsidRPr="00AE15DA" w:rsidRDefault="0021729B" w:rsidP="0021729B">
      <w:pPr>
        <w:pStyle w:val="HTMLncedenBiimlendirilmi"/>
        <w:contextualSpacing/>
        <w:jc w:val="both"/>
        <w:rPr>
          <w:rFonts w:asciiTheme="minorHAnsi" w:hAnsiTheme="minorHAnsi" w:cstheme="minorHAnsi"/>
          <w:sz w:val="22"/>
          <w:szCs w:val="22"/>
        </w:rPr>
      </w:pPr>
    </w:p>
    <w:p w14:paraId="21A54672" w14:textId="77777777" w:rsidR="0021729B" w:rsidRDefault="006C24B0" w:rsidP="0021729B">
      <w:pPr>
        <w:pStyle w:val="HTMLncedenBiimlendirilmi"/>
        <w:contextualSpacing/>
        <w:jc w:val="both"/>
        <w:rPr>
          <w:rFonts w:asciiTheme="minorHAnsi" w:hAnsiTheme="minorHAnsi"/>
          <w:b/>
          <w:sz w:val="22"/>
          <w:szCs w:val="22"/>
        </w:rPr>
      </w:pPr>
      <w:r w:rsidRPr="00AE15DA">
        <w:rPr>
          <w:rFonts w:asciiTheme="minorHAnsi" w:hAnsiTheme="minorHAnsi"/>
          <w:b/>
          <w:sz w:val="22"/>
          <w:szCs w:val="22"/>
        </w:rPr>
        <w:lastRenderedPageBreak/>
        <w:t>A2</w:t>
      </w:r>
      <w:r w:rsidR="00965815" w:rsidRPr="00AE15DA">
        <w:rPr>
          <w:rFonts w:asciiTheme="minorHAnsi" w:hAnsiTheme="minorHAnsi"/>
          <w:b/>
          <w:sz w:val="22"/>
          <w:szCs w:val="22"/>
        </w:rPr>
        <w:t>8</w:t>
      </w:r>
      <w:r w:rsidRPr="00AE15DA">
        <w:rPr>
          <w:rFonts w:asciiTheme="minorHAnsi" w:hAnsiTheme="minorHAnsi"/>
          <w:b/>
          <w:sz w:val="22"/>
          <w:szCs w:val="22"/>
        </w:rPr>
        <w:t xml:space="preserve">. </w:t>
      </w:r>
      <w:r w:rsidR="0021729B" w:rsidRPr="0021729B">
        <w:rPr>
          <w:rFonts w:asciiTheme="minorHAnsi" w:hAnsiTheme="minorHAnsi"/>
          <w:b/>
          <w:sz w:val="22"/>
          <w:szCs w:val="22"/>
        </w:rPr>
        <w:t>Dabigatran is niet geschikt voor gebruik bij patiënten met een GFR &lt;30 ml/min/1,73 m2</w:t>
      </w:r>
    </w:p>
    <w:p w14:paraId="1B1E4643" w14:textId="77777777" w:rsidR="0021729B" w:rsidRPr="0021729B" w:rsidRDefault="0021729B" w:rsidP="0021729B">
      <w:pPr>
        <w:contextualSpacing/>
        <w:jc w:val="both"/>
        <w:rPr>
          <w:rFonts w:asciiTheme="minorHAnsi" w:hAnsiTheme="minorHAnsi" w:cs="Courier New"/>
          <w:i/>
          <w:sz w:val="22"/>
          <w:szCs w:val="22"/>
        </w:rPr>
      </w:pPr>
      <w:r w:rsidRPr="0021729B">
        <w:rPr>
          <w:rFonts w:asciiTheme="minorHAnsi" w:hAnsiTheme="minorHAnsi" w:cs="Courier New"/>
          <w:i/>
          <w:sz w:val="22"/>
          <w:szCs w:val="22"/>
        </w:rPr>
        <w:t>*Als de GFR &lt;15 ml/min/1,73 m2 is, mogen geen NOAC's worden gebruikt.</w:t>
      </w:r>
    </w:p>
    <w:p w14:paraId="737A2FC9" w14:textId="77777777" w:rsidR="0021729B" w:rsidRPr="0021729B" w:rsidRDefault="0021729B" w:rsidP="0021729B">
      <w:pPr>
        <w:contextualSpacing/>
        <w:jc w:val="both"/>
        <w:rPr>
          <w:rFonts w:asciiTheme="minorHAnsi" w:hAnsiTheme="minorHAnsi" w:cs="Courier New"/>
          <w:i/>
          <w:sz w:val="22"/>
          <w:szCs w:val="22"/>
        </w:rPr>
      </w:pPr>
      <w:r w:rsidRPr="0021729B">
        <w:rPr>
          <w:rFonts w:asciiTheme="minorHAnsi" w:hAnsiTheme="minorHAnsi" w:cs="Courier New"/>
          <w:i/>
          <w:sz w:val="22"/>
          <w:szCs w:val="22"/>
        </w:rPr>
        <w:t>*Hoewel er beperkt bewijs is voor apixaban, rivaroxaban en edoxaban bij patiënten met een GFR van 15-30 ml/min/1,73 m2, wordt het gebruik ervan over het algemeen niet aanbevolen.</w:t>
      </w:r>
    </w:p>
    <w:p w14:paraId="21DDD94D" w14:textId="77777777" w:rsidR="0021729B" w:rsidRDefault="0021729B" w:rsidP="0021729B">
      <w:pPr>
        <w:contextualSpacing/>
        <w:jc w:val="both"/>
        <w:rPr>
          <w:rFonts w:asciiTheme="minorHAnsi" w:hAnsiTheme="minorHAnsi" w:cs="Courier New"/>
          <w:i/>
          <w:sz w:val="22"/>
          <w:szCs w:val="22"/>
        </w:rPr>
      </w:pPr>
      <w:proofErr w:type="gramStart"/>
      <w:r w:rsidRPr="0021729B">
        <w:rPr>
          <w:rFonts w:asciiTheme="minorHAnsi" w:hAnsiTheme="minorHAnsi" w:cs="Courier New"/>
          <w:i/>
          <w:sz w:val="22"/>
          <w:szCs w:val="22"/>
        </w:rPr>
        <w:t>*Anticoagulantia mogen niet worden gegeven in AF-gevallen met GFR &lt;30 ml/min/1,73 m2, bij patiënten met een hoog risico op vallen of die levensbedreigende bloedingen hebben gehad, bij patiënten die geen bloeding willen riskeren, bij patiënten die moeite hebben met het onder controle houden van de INR bij patiënten met slecht gereguleerde HT.</w:t>
      </w:r>
      <w:proofErr w:type="gramEnd"/>
    </w:p>
    <w:p w14:paraId="4BCE9784" w14:textId="62783D54" w:rsidR="0021729B" w:rsidRPr="0021729B" w:rsidRDefault="00227CEA" w:rsidP="0021729B">
      <w:pPr>
        <w:contextualSpacing/>
        <w:jc w:val="both"/>
        <w:rPr>
          <w:rFonts w:asciiTheme="minorHAnsi" w:hAnsiTheme="minorHAnsi"/>
          <w:i/>
          <w:sz w:val="22"/>
          <w:szCs w:val="22"/>
        </w:rPr>
      </w:pPr>
      <w:r w:rsidRPr="00AE15DA">
        <w:rPr>
          <w:rFonts w:asciiTheme="minorHAnsi" w:hAnsiTheme="minorHAnsi"/>
          <w:i/>
          <w:sz w:val="22"/>
          <w:szCs w:val="22"/>
        </w:rPr>
        <w:t>*</w:t>
      </w:r>
      <w:r w:rsidR="0021729B" w:rsidRPr="0021729B">
        <w:t xml:space="preserve"> </w:t>
      </w:r>
      <w:r w:rsidR="0021729B" w:rsidRPr="0021729B">
        <w:rPr>
          <w:rFonts w:asciiTheme="minorHAnsi" w:hAnsiTheme="minorHAnsi"/>
          <w:i/>
          <w:sz w:val="22"/>
          <w:szCs w:val="22"/>
        </w:rPr>
        <w:t>Anticoagulantia worden niet aanbevolen bij AF-patiënten die dialyse ondergaan [tenzij er een zeer hoog risico op een beroerte is: atriale trombus, eerdere TIA-beroerte, klepziekte: (matig ernstige MS, klepprothese)]. Als antistolling geïndiceerd is, wordt warfarine aanbevolen.</w:t>
      </w:r>
    </w:p>
    <w:p w14:paraId="4F978914" w14:textId="77777777" w:rsidR="0021729B" w:rsidRPr="0021729B" w:rsidRDefault="0021729B" w:rsidP="0021729B">
      <w:pPr>
        <w:contextualSpacing/>
        <w:jc w:val="both"/>
        <w:rPr>
          <w:rFonts w:asciiTheme="minorHAnsi" w:hAnsiTheme="minorHAnsi"/>
          <w:i/>
          <w:sz w:val="22"/>
          <w:szCs w:val="22"/>
        </w:rPr>
      </w:pPr>
      <w:r w:rsidRPr="0021729B">
        <w:rPr>
          <w:rFonts w:asciiTheme="minorHAnsi" w:hAnsiTheme="minorHAnsi"/>
          <w:i/>
          <w:sz w:val="22"/>
          <w:szCs w:val="22"/>
        </w:rPr>
        <w:t>* In AF-gevallen met een hoog risico op een beroerte, kan sluiting van de linkerboezemappendix worden aanbevolen als OAC's niet kunnen worden gebruikt.</w:t>
      </w:r>
    </w:p>
    <w:p w14:paraId="61799AF6" w14:textId="0372B436" w:rsidR="00A67B6A" w:rsidRPr="00AE15DA" w:rsidRDefault="0021729B" w:rsidP="0021729B">
      <w:pPr>
        <w:contextualSpacing/>
        <w:jc w:val="both"/>
        <w:rPr>
          <w:rFonts w:asciiTheme="minorHAnsi" w:hAnsiTheme="minorHAnsi"/>
          <w:i/>
          <w:sz w:val="22"/>
          <w:szCs w:val="22"/>
        </w:rPr>
      </w:pPr>
      <w:r w:rsidRPr="0021729B">
        <w:rPr>
          <w:rFonts w:asciiTheme="minorHAnsi" w:hAnsiTheme="minorHAnsi"/>
          <w:i/>
          <w:sz w:val="22"/>
          <w:szCs w:val="22"/>
        </w:rPr>
        <w:t>*Edoxaban mag niet worden gebruikt in gevallen met een GFR&gt;95 ml/min/1,73 m2.</w:t>
      </w:r>
    </w:p>
    <w:p w14:paraId="2E07400A" w14:textId="77777777" w:rsidR="00873A44" w:rsidRPr="00AE15DA" w:rsidRDefault="00873A44" w:rsidP="0043334F">
      <w:pPr>
        <w:spacing w:before="100" w:beforeAutospacing="1" w:after="100" w:afterAutospacing="1"/>
        <w:contextualSpacing/>
        <w:jc w:val="both"/>
        <w:rPr>
          <w:rFonts w:asciiTheme="minorHAnsi" w:hAnsiTheme="minorHAnsi"/>
          <w:b/>
          <w:sz w:val="22"/>
          <w:szCs w:val="22"/>
        </w:rPr>
      </w:pPr>
    </w:p>
    <w:p w14:paraId="4CADBD73" w14:textId="1F6AD673" w:rsidR="00A67B6A" w:rsidRPr="00AE15DA" w:rsidRDefault="00E66E29" w:rsidP="0043334F">
      <w:pPr>
        <w:spacing w:before="100" w:beforeAutospacing="1" w:after="100" w:afterAutospacing="1"/>
        <w:contextualSpacing/>
        <w:jc w:val="both"/>
        <w:rPr>
          <w:rFonts w:asciiTheme="minorHAnsi" w:hAnsiTheme="minorHAnsi"/>
          <w:b/>
          <w:sz w:val="22"/>
          <w:szCs w:val="22"/>
        </w:rPr>
      </w:pPr>
      <w:r>
        <w:rPr>
          <w:rFonts w:ascii="Calibri" w:hAnsi="Calibri" w:cs="Calibri"/>
          <w:b/>
          <w:sz w:val="22"/>
          <w:szCs w:val="22"/>
        </w:rPr>
        <w:t>#</w:t>
      </w:r>
      <w:r w:rsidR="006C24B0" w:rsidRPr="00AE15DA">
        <w:rPr>
          <w:rFonts w:asciiTheme="minorHAnsi" w:hAnsiTheme="minorHAnsi"/>
          <w:b/>
          <w:sz w:val="22"/>
          <w:szCs w:val="22"/>
        </w:rPr>
        <w:t>A</w:t>
      </w:r>
      <w:r w:rsidR="00965815" w:rsidRPr="00AE15DA">
        <w:rPr>
          <w:rFonts w:asciiTheme="minorHAnsi" w:hAnsiTheme="minorHAnsi"/>
          <w:b/>
          <w:sz w:val="22"/>
          <w:szCs w:val="22"/>
        </w:rPr>
        <w:t>29</w:t>
      </w:r>
      <w:r w:rsidR="006C24B0" w:rsidRPr="00AE15DA">
        <w:rPr>
          <w:rFonts w:asciiTheme="minorHAnsi" w:hAnsiTheme="minorHAnsi"/>
          <w:b/>
          <w:sz w:val="22"/>
          <w:szCs w:val="22"/>
        </w:rPr>
        <w:t xml:space="preserve">. </w:t>
      </w:r>
      <w:r w:rsidR="0021729B" w:rsidRPr="0021729B">
        <w:rPr>
          <w:rFonts w:asciiTheme="minorHAnsi" w:hAnsiTheme="minorHAnsi"/>
          <w:b/>
          <w:sz w:val="22"/>
          <w:szCs w:val="22"/>
        </w:rPr>
        <w:t>Het gebruik van warfarine is niet geschikt bij patiënten met niet-valvulair AF die ondervoed zijn of een onregelmatige voedselinname hebben.</w:t>
      </w:r>
    </w:p>
    <w:p w14:paraId="04BDDC27"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sz w:val="22"/>
          <w:szCs w:val="22"/>
          <w:lang w:eastAsia="en-GB"/>
        </w:rPr>
      </w:pPr>
    </w:p>
    <w:p w14:paraId="02B36417" w14:textId="3FDAC7EB" w:rsidR="00873A44"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0</w:t>
      </w:r>
      <w:r w:rsidRPr="00AE15DA">
        <w:rPr>
          <w:rFonts w:asciiTheme="minorHAnsi" w:hAnsiTheme="minorHAnsi"/>
          <w:b/>
          <w:sz w:val="22"/>
          <w:szCs w:val="22"/>
        </w:rPr>
        <w:t xml:space="preserve">. </w:t>
      </w:r>
      <w:r w:rsidR="0021729B" w:rsidRPr="0021729B">
        <w:rPr>
          <w:rFonts w:asciiTheme="minorHAnsi" w:hAnsiTheme="minorHAnsi"/>
          <w:b/>
          <w:sz w:val="22"/>
          <w:szCs w:val="22"/>
        </w:rPr>
        <w:t>Het gebruik van geneesmiddelen met een smalle therapeutische breedte, zoals warfarine en digoxine, is niet geschikt bij patiënten die moeite hebben met het gebruik en de behandeling van hun medicatie (bijv. patiënten met cognitieve stoornissen) en bij afwezigheid van helpers (bijv. zorgverleners) (risico levensbedreigende toxiciteit).</w:t>
      </w:r>
    </w:p>
    <w:p w14:paraId="1D252E3E"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14:paraId="366BAF94" w14:textId="77777777"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14:paraId="5C3B9D4D" w14:textId="1B693035" w:rsidR="006C24B0" w:rsidRPr="00AE15DA" w:rsidRDefault="00E66E29" w:rsidP="0043334F">
      <w:pPr>
        <w:spacing w:before="100" w:beforeAutospacing="1" w:after="100" w:afterAutospacing="1"/>
        <w:contextualSpacing/>
        <w:jc w:val="both"/>
        <w:rPr>
          <w:rFonts w:asciiTheme="minorHAnsi" w:hAnsiTheme="minorHAnsi"/>
          <w:b/>
          <w:i/>
          <w:sz w:val="22"/>
          <w:szCs w:val="22"/>
        </w:rPr>
      </w:pPr>
      <w:r>
        <w:rPr>
          <w:rFonts w:ascii="Calibri" w:hAnsi="Calibri" w:cs="Calibri"/>
          <w:b/>
          <w:sz w:val="22"/>
          <w:szCs w:val="22"/>
        </w:rPr>
        <w:t>#</w:t>
      </w:r>
      <w:r w:rsidR="006C24B0" w:rsidRPr="00AE15DA">
        <w:rPr>
          <w:rFonts w:asciiTheme="minorHAnsi" w:hAnsiTheme="minorHAnsi"/>
          <w:b/>
          <w:sz w:val="22"/>
          <w:szCs w:val="22"/>
        </w:rPr>
        <w:t>A3</w:t>
      </w:r>
      <w:r w:rsidR="00965815" w:rsidRPr="00AE15DA">
        <w:rPr>
          <w:rFonts w:asciiTheme="minorHAnsi" w:hAnsiTheme="minorHAnsi"/>
          <w:b/>
          <w:sz w:val="22"/>
          <w:szCs w:val="22"/>
        </w:rPr>
        <w:t>1</w:t>
      </w:r>
      <w:r w:rsidR="006C24B0" w:rsidRPr="00AE15DA">
        <w:rPr>
          <w:rFonts w:asciiTheme="minorHAnsi" w:hAnsiTheme="minorHAnsi"/>
          <w:b/>
          <w:sz w:val="22"/>
          <w:szCs w:val="22"/>
        </w:rPr>
        <w:t>.</w:t>
      </w:r>
      <w:r w:rsidR="00181929" w:rsidRPr="00AE15DA">
        <w:rPr>
          <w:rFonts w:asciiTheme="minorHAnsi" w:hAnsiTheme="minorHAnsi"/>
          <w:b/>
          <w:sz w:val="22"/>
          <w:szCs w:val="22"/>
        </w:rPr>
        <w:t xml:space="preserve"> </w:t>
      </w:r>
      <w:r w:rsidR="0021729B" w:rsidRPr="0021729B">
        <w:rPr>
          <w:rFonts w:asciiTheme="minorHAnsi" w:hAnsiTheme="minorHAnsi"/>
          <w:b/>
          <w:sz w:val="22"/>
          <w:szCs w:val="22"/>
        </w:rPr>
        <w:t>Prasugrel is niet geschikt voor gebruik bij patiënten van 75 jaar of ouder of bij patiënten die een TIA/beroerte hebben gehad</w:t>
      </w:r>
    </w:p>
    <w:p w14:paraId="760E7952" w14:textId="77777777" w:rsidR="00873A44" w:rsidRPr="00AE15DA" w:rsidRDefault="00873A44" w:rsidP="0043334F">
      <w:pPr>
        <w:spacing w:before="100" w:beforeAutospacing="1" w:after="100" w:afterAutospacing="1"/>
        <w:contextualSpacing/>
        <w:jc w:val="both"/>
        <w:rPr>
          <w:rFonts w:asciiTheme="minorHAnsi" w:hAnsiTheme="minorHAnsi" w:cstheme="minorHAnsi"/>
          <w:sz w:val="22"/>
          <w:szCs w:val="22"/>
        </w:rPr>
      </w:pPr>
    </w:p>
    <w:p w14:paraId="7FB30D64" w14:textId="77777777"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14:paraId="1315BD07" w14:textId="455CFDCC" w:rsidR="006C24B0" w:rsidRPr="00AE15DA" w:rsidRDefault="006C24B0" w:rsidP="0043334F">
      <w:pPr>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2</w:t>
      </w:r>
      <w:r w:rsidRPr="00AE15DA">
        <w:rPr>
          <w:rFonts w:asciiTheme="minorHAnsi" w:hAnsiTheme="minorHAnsi"/>
          <w:b/>
          <w:sz w:val="22"/>
          <w:szCs w:val="22"/>
        </w:rPr>
        <w:t xml:space="preserve">. </w:t>
      </w:r>
      <w:r w:rsidR="0021729B" w:rsidRPr="0021729B">
        <w:rPr>
          <w:rFonts w:asciiTheme="minorHAnsi" w:hAnsiTheme="minorHAnsi"/>
          <w:b/>
          <w:sz w:val="22"/>
          <w:szCs w:val="22"/>
        </w:rPr>
        <w:t>Ticlopidine is niet geschikt voor gebruik als antibloedplaatjes (clopidogrel of ticagrelor of prasugrel hebben een hogere werkzaamheid, meer bewijs en minder bijwerkingen)</w:t>
      </w:r>
    </w:p>
    <w:p w14:paraId="44016738" w14:textId="77777777"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14:paraId="76F15606" w14:textId="77777777" w:rsidR="00977134" w:rsidRPr="00AE15DA" w:rsidRDefault="0097713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03030"/>
          <w:sz w:val="22"/>
          <w:szCs w:val="22"/>
          <w:shd w:val="clear" w:color="auto" w:fill="FFFFFF"/>
        </w:rPr>
      </w:pPr>
    </w:p>
    <w:p w14:paraId="38917D6C" w14:textId="48F1B322" w:rsidR="0077695B" w:rsidRPr="00AE15DA" w:rsidRDefault="006C24B0"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A3</w:t>
      </w:r>
      <w:r w:rsidR="00965815"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21729B" w:rsidRPr="0021729B">
        <w:rPr>
          <w:rFonts w:asciiTheme="minorHAnsi" w:hAnsiTheme="minorHAnsi"/>
          <w:b/>
          <w:color w:val="000000"/>
          <w:sz w:val="22"/>
          <w:szCs w:val="22"/>
        </w:rPr>
        <w:t>Het gebruik van kortwerkend dipyridamol is niet geschikt voor het antibloedplaatjes-antiaggregant effect (bijwerking van orthostatische hypotensie en beschikbaarheid van effectievere middelen)</w:t>
      </w:r>
    </w:p>
    <w:p w14:paraId="274D24A1" w14:textId="77777777"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14:paraId="18C07888" w14:textId="2DCE1D6B" w:rsidR="0077695B" w:rsidRPr="00AE15DA" w:rsidRDefault="006C24B0"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4</w:t>
      </w:r>
      <w:r w:rsidRPr="00AE15DA">
        <w:rPr>
          <w:rFonts w:asciiTheme="minorHAnsi" w:hAnsiTheme="minorHAnsi"/>
          <w:b/>
          <w:sz w:val="22"/>
          <w:szCs w:val="22"/>
        </w:rPr>
        <w:t xml:space="preserve">. </w:t>
      </w:r>
      <w:r w:rsidR="0021729B" w:rsidRPr="0021729B">
        <w:rPr>
          <w:rFonts w:asciiTheme="minorHAnsi" w:hAnsiTheme="minorHAnsi"/>
          <w:b/>
          <w:sz w:val="22"/>
          <w:szCs w:val="22"/>
        </w:rPr>
        <w:t>Het gebruik van statines voor primaire profylaxe is niet geschikt bij ouderen met een lage levensverwachting (&lt;2 jaar) of gevorderde dementie.</w:t>
      </w:r>
    </w:p>
    <w:p w14:paraId="2ADCA7DD" w14:textId="77777777" w:rsidR="0077695B" w:rsidRPr="00AE15DA" w:rsidRDefault="0077695B" w:rsidP="0043334F">
      <w:pPr>
        <w:spacing w:before="100" w:beforeAutospacing="1" w:after="100" w:afterAutospacing="1"/>
        <w:contextualSpacing/>
        <w:jc w:val="both"/>
        <w:rPr>
          <w:rFonts w:asciiTheme="minorHAnsi" w:hAnsiTheme="minorHAnsi" w:cstheme="minorHAnsi"/>
          <w:color w:val="000000"/>
          <w:sz w:val="22"/>
          <w:szCs w:val="22"/>
        </w:rPr>
      </w:pPr>
    </w:p>
    <w:p w14:paraId="2BB55905" w14:textId="77777777" w:rsidR="0021729B" w:rsidRDefault="006C24B0" w:rsidP="0021729B">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5</w:t>
      </w:r>
      <w:r w:rsidRPr="00AE15DA">
        <w:rPr>
          <w:rFonts w:asciiTheme="minorHAnsi" w:hAnsiTheme="minorHAnsi"/>
          <w:b/>
          <w:sz w:val="22"/>
          <w:szCs w:val="22"/>
        </w:rPr>
        <w:t xml:space="preserve">. </w:t>
      </w:r>
      <w:r w:rsidR="0021729B" w:rsidRPr="0021729B">
        <w:rPr>
          <w:rFonts w:asciiTheme="minorHAnsi" w:hAnsiTheme="minorHAnsi"/>
          <w:b/>
          <w:sz w:val="22"/>
          <w:szCs w:val="22"/>
        </w:rPr>
        <w:t>Starten met allopurinol is niet geschikt voor asymptomatische hyperurikemie (gevallen zonder jicht of nefrolithiasis) (geen bewijs van voordeel, risico op bijwerkingen bij gebruik van xanthine-oxidaseremmers) (geen bewijs dat behandeling het cardiovasculaire risico of jicht vermindert)</w:t>
      </w:r>
    </w:p>
    <w:p w14:paraId="5A0DA57D" w14:textId="74CBB5A0" w:rsidR="009D2A23" w:rsidRPr="00AE15DA" w:rsidRDefault="0021729B" w:rsidP="0043334F">
      <w:pPr>
        <w:contextualSpacing/>
        <w:jc w:val="both"/>
        <w:rPr>
          <w:rFonts w:asciiTheme="minorHAnsi" w:hAnsiTheme="minorHAnsi"/>
          <w:b/>
          <w:i/>
          <w:sz w:val="22"/>
          <w:szCs w:val="22"/>
          <w:u w:val="single"/>
        </w:rPr>
      </w:pPr>
      <w:r w:rsidRPr="0021729B">
        <w:rPr>
          <w:rFonts w:asciiTheme="minorHAnsi" w:hAnsiTheme="minorHAnsi"/>
          <w:i/>
          <w:color w:val="000000"/>
          <w:sz w:val="22"/>
          <w:szCs w:val="22"/>
          <w:shd w:val="clear" w:color="auto" w:fill="FFFFFF"/>
        </w:rPr>
        <w:t>*Als de urinezuurspiegel in serum &gt; 10 mg/dl bij vrouwen en &gt; 13 mg/dl bij mannen is, kan urinezuurverlagende therapie worden aanbevolen vanwege het risico op chronische nierziekte.</w:t>
      </w:r>
    </w:p>
    <w:p w14:paraId="58929CE0" w14:textId="77777777" w:rsidR="009D2A23" w:rsidRPr="00AE15DA" w:rsidRDefault="009D2A23" w:rsidP="0043334F">
      <w:pPr>
        <w:contextualSpacing/>
        <w:jc w:val="both"/>
        <w:rPr>
          <w:rFonts w:asciiTheme="minorHAnsi" w:hAnsiTheme="minorHAnsi"/>
          <w:b/>
          <w:i/>
          <w:sz w:val="22"/>
          <w:szCs w:val="22"/>
          <w:u w:val="single"/>
        </w:rPr>
      </w:pPr>
    </w:p>
    <w:p w14:paraId="0B992FDE" w14:textId="77777777" w:rsidR="009D2A23" w:rsidRPr="00AE15DA" w:rsidRDefault="009D2A23" w:rsidP="0043334F">
      <w:pPr>
        <w:contextualSpacing/>
        <w:jc w:val="both"/>
        <w:rPr>
          <w:rFonts w:asciiTheme="minorHAnsi" w:hAnsiTheme="minorHAnsi"/>
          <w:b/>
          <w:i/>
          <w:sz w:val="22"/>
          <w:szCs w:val="22"/>
          <w:u w:val="single"/>
        </w:rPr>
      </w:pPr>
    </w:p>
    <w:p w14:paraId="0ECE201C" w14:textId="487F31A4" w:rsidR="00AF251E" w:rsidRPr="00AE15DA" w:rsidRDefault="00873A44" w:rsidP="0043334F">
      <w:pPr>
        <w:contextualSpacing/>
        <w:jc w:val="both"/>
        <w:rPr>
          <w:rFonts w:asciiTheme="minorHAnsi" w:hAnsiTheme="minorHAnsi"/>
          <w:b/>
          <w:sz w:val="28"/>
          <w:szCs w:val="28"/>
        </w:rPr>
      </w:pPr>
      <w:r w:rsidRPr="00AE15DA">
        <w:rPr>
          <w:rFonts w:asciiTheme="minorHAnsi" w:hAnsiTheme="minorHAnsi"/>
          <w:b/>
          <w:sz w:val="28"/>
          <w:szCs w:val="28"/>
        </w:rPr>
        <w:t>B</w:t>
      </w:r>
      <w:r w:rsidR="00556579" w:rsidRPr="00AE15DA">
        <w:rPr>
          <w:rFonts w:asciiTheme="minorHAnsi" w:hAnsiTheme="minorHAnsi"/>
          <w:b/>
          <w:sz w:val="28"/>
          <w:szCs w:val="28"/>
        </w:rPr>
        <w:t>:</w:t>
      </w:r>
      <w:r w:rsidRPr="00AE15DA">
        <w:rPr>
          <w:rFonts w:asciiTheme="minorHAnsi" w:hAnsiTheme="minorHAnsi"/>
          <w:b/>
          <w:sz w:val="28"/>
          <w:szCs w:val="28"/>
        </w:rPr>
        <w:t xml:space="preserve"> </w:t>
      </w:r>
      <w:r w:rsidR="0021729B" w:rsidRPr="0021729B">
        <w:rPr>
          <w:rFonts w:asciiTheme="minorHAnsi" w:hAnsiTheme="minorHAnsi"/>
          <w:b/>
          <w:sz w:val="28"/>
          <w:szCs w:val="28"/>
        </w:rPr>
        <w:t>Criteria voor het centrale zenuwstelsel.</w:t>
      </w:r>
    </w:p>
    <w:p w14:paraId="5FBC2C00" w14:textId="77777777" w:rsidR="0043334F" w:rsidRPr="00AE15DA" w:rsidRDefault="0043334F" w:rsidP="0043334F">
      <w:pPr>
        <w:contextualSpacing/>
        <w:jc w:val="both"/>
        <w:rPr>
          <w:rFonts w:asciiTheme="minorHAnsi" w:hAnsiTheme="minorHAnsi"/>
          <w:b/>
          <w:sz w:val="28"/>
          <w:szCs w:val="28"/>
        </w:rPr>
      </w:pPr>
    </w:p>
    <w:p w14:paraId="7ABE1AF0" w14:textId="0704ED25" w:rsidR="001B712D" w:rsidRPr="00AE15DA" w:rsidRDefault="006C24B0"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sz w:val="22"/>
          <w:szCs w:val="22"/>
        </w:rPr>
        <w:t>B1.</w:t>
      </w:r>
      <w:r w:rsidR="00181929" w:rsidRPr="00AE15DA">
        <w:rPr>
          <w:rFonts w:asciiTheme="minorHAnsi" w:hAnsiTheme="minorHAnsi"/>
          <w:b/>
          <w:sz w:val="22"/>
          <w:szCs w:val="22"/>
        </w:rPr>
        <w:t xml:space="preserve"> </w:t>
      </w:r>
      <w:r w:rsidR="0021729B" w:rsidRPr="0021729B">
        <w:rPr>
          <w:rFonts w:asciiTheme="minorHAnsi" w:hAnsiTheme="minorHAnsi"/>
          <w:b/>
          <w:sz w:val="22"/>
          <w:szCs w:val="22"/>
        </w:rPr>
        <w:t>Gebruik van tricyclische antidepressiva is niet geschikt (hoog anticholinergisch effect, cognitieve achteruitgang, hartgeleidingsstoornis, orthostatische hypotensie, urineretentie, verergering van prostatisme, verergering van nauwekamerhoekglaucoom)</w:t>
      </w:r>
    </w:p>
    <w:p w14:paraId="6A1C687D"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1EDCAB14" w14:textId="4AD68A87" w:rsidR="001B712D" w:rsidRPr="00AE15DA" w:rsidRDefault="006C24B0" w:rsidP="0043334F">
      <w:pPr>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color w:val="000000"/>
          <w:sz w:val="22"/>
          <w:szCs w:val="22"/>
        </w:rPr>
        <w:t xml:space="preserve">B2. </w:t>
      </w:r>
      <w:r w:rsidR="0021729B" w:rsidRPr="0021729B">
        <w:rPr>
          <w:rFonts w:asciiTheme="minorHAnsi" w:hAnsiTheme="minorHAnsi"/>
          <w:b/>
          <w:color w:val="000000"/>
          <w:sz w:val="22"/>
          <w:szCs w:val="22"/>
        </w:rPr>
        <w:t>Het is niet gepast om in de eerste stap de voorkeur te geven aan paroxetine, fluoxetine en fluvaxamine in gevallen waarin SSRI-behandeling zal worden gestart (vanwege het hoge anticholinerge effect van paroxetine, lange halfwaardetijd van fluoxetine, frequente geneesmiddelinteracties van fluoxetine en fluvacamine).</w:t>
      </w:r>
    </w:p>
    <w:p w14:paraId="129BD411" w14:textId="77777777"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14:paraId="3B0DD6AF" w14:textId="77777777" w:rsidR="0021729B"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B3. </w:t>
      </w:r>
      <w:r w:rsidR="0021729B" w:rsidRPr="0021729B">
        <w:rPr>
          <w:rFonts w:asciiTheme="minorHAnsi" w:hAnsiTheme="minorHAnsi"/>
          <w:b/>
          <w:sz w:val="22"/>
          <w:szCs w:val="22"/>
        </w:rPr>
        <w:t>Het gebruik van SSRI's is niet geschikt bij patiënten met een recente of huidige voorgeschiedenis van significante hyponatriëmie (serum Na&lt; 130 mEq/L) (verhoogd risico op hyponatriëmie bij gebruik van SSRI's)</w:t>
      </w:r>
    </w:p>
    <w:p w14:paraId="7D0F41F1" w14:textId="77777777" w:rsidR="0021729B" w:rsidRPr="0021729B" w:rsidRDefault="0021729B" w:rsidP="0021729B">
      <w:pPr>
        <w:autoSpaceDE w:val="0"/>
        <w:autoSpaceDN w:val="0"/>
        <w:adjustRightInd w:val="0"/>
        <w:contextualSpacing/>
        <w:jc w:val="both"/>
        <w:rPr>
          <w:rFonts w:asciiTheme="minorHAnsi" w:hAnsiTheme="minorHAnsi"/>
          <w:i/>
          <w:sz w:val="22"/>
          <w:szCs w:val="22"/>
          <w:shd w:val="clear" w:color="auto" w:fill="FFFFFF"/>
        </w:rPr>
      </w:pPr>
      <w:r w:rsidRPr="0021729B">
        <w:rPr>
          <w:rFonts w:asciiTheme="minorHAnsi" w:hAnsiTheme="minorHAnsi"/>
          <w:i/>
          <w:sz w:val="22"/>
          <w:szCs w:val="22"/>
          <w:shd w:val="clear" w:color="auto" w:fill="FFFFFF"/>
        </w:rPr>
        <w:t>*Risicofactoren voor de ontwikkeling van hyponatriëmie met SSRI's zijn hoge leeftijd, vrouwelijk geslacht, gelijktijdig gebruik van diuretica, laag lichaamsgewicht en lage baseline Na.</w:t>
      </w:r>
    </w:p>
    <w:p w14:paraId="4D61B2BC" w14:textId="77777777" w:rsidR="0021729B" w:rsidRPr="0021729B" w:rsidRDefault="0021729B" w:rsidP="0021729B">
      <w:pPr>
        <w:autoSpaceDE w:val="0"/>
        <w:autoSpaceDN w:val="0"/>
        <w:adjustRightInd w:val="0"/>
        <w:contextualSpacing/>
        <w:jc w:val="both"/>
        <w:rPr>
          <w:rFonts w:asciiTheme="minorHAnsi" w:hAnsiTheme="minorHAnsi"/>
          <w:i/>
          <w:sz w:val="22"/>
          <w:szCs w:val="22"/>
          <w:shd w:val="clear" w:color="auto" w:fill="FFFFFF"/>
        </w:rPr>
      </w:pPr>
      <w:r w:rsidRPr="0021729B">
        <w:rPr>
          <w:rFonts w:asciiTheme="minorHAnsi" w:hAnsiTheme="minorHAnsi"/>
          <w:i/>
          <w:sz w:val="22"/>
          <w:szCs w:val="22"/>
          <w:shd w:val="clear" w:color="auto" w:fill="FFFFFF"/>
        </w:rPr>
        <w:t>*Patiënten die zijn gestart met een SSRI of van wie de dosis is verhoogd, moeten worden geïnformeerd over de klinische bevindingen van hyponatriëmie. De eerste 4 weken zijn de meest risicovolle tijd.</w:t>
      </w:r>
    </w:p>
    <w:p w14:paraId="2FD2FA1F" w14:textId="3812BDA0" w:rsidR="006C24B0" w:rsidRPr="00AE15DA" w:rsidRDefault="0021729B" w:rsidP="0021729B">
      <w:pPr>
        <w:autoSpaceDE w:val="0"/>
        <w:autoSpaceDN w:val="0"/>
        <w:adjustRightInd w:val="0"/>
        <w:contextualSpacing/>
        <w:jc w:val="both"/>
        <w:rPr>
          <w:rFonts w:asciiTheme="minorHAnsi" w:hAnsiTheme="minorHAnsi"/>
          <w:b/>
          <w:sz w:val="22"/>
          <w:szCs w:val="22"/>
        </w:rPr>
      </w:pPr>
      <w:r w:rsidRPr="0021729B">
        <w:rPr>
          <w:rFonts w:asciiTheme="minorHAnsi" w:hAnsiTheme="minorHAnsi"/>
          <w:i/>
          <w:sz w:val="22"/>
          <w:szCs w:val="22"/>
          <w:shd w:val="clear" w:color="auto" w:fill="FFFFFF"/>
        </w:rPr>
        <w:t>*Bij patiënten met een risico op hyponatriëmie kan het aangewezen zijn om de voorkeur te geven aan mirtazapine of bupropion boven SSRI's.</w:t>
      </w:r>
    </w:p>
    <w:p w14:paraId="4BD2506D" w14:textId="77777777" w:rsidR="00DB20DE" w:rsidRPr="00AE15DA" w:rsidRDefault="00DB20DE" w:rsidP="0043334F">
      <w:pPr>
        <w:autoSpaceDE w:val="0"/>
        <w:autoSpaceDN w:val="0"/>
        <w:adjustRightInd w:val="0"/>
        <w:contextualSpacing/>
        <w:jc w:val="both"/>
        <w:rPr>
          <w:rFonts w:asciiTheme="minorHAnsi" w:hAnsiTheme="minorHAnsi"/>
          <w:b/>
          <w:sz w:val="22"/>
          <w:szCs w:val="22"/>
        </w:rPr>
      </w:pPr>
    </w:p>
    <w:p w14:paraId="2B5EC32E" w14:textId="77777777" w:rsidR="0021729B" w:rsidRDefault="00E66E29" w:rsidP="0043334F">
      <w:pPr>
        <w:autoSpaceDE w:val="0"/>
        <w:autoSpaceDN w:val="0"/>
        <w:adjustRightInd w:val="0"/>
        <w:contextualSpacing/>
        <w:jc w:val="both"/>
        <w:rPr>
          <w:rFonts w:asciiTheme="minorHAnsi" w:hAnsiTheme="minorHAnsi"/>
          <w:b/>
          <w:color w:val="000000"/>
          <w:sz w:val="22"/>
          <w:szCs w:val="22"/>
        </w:rPr>
      </w:pPr>
      <w:r>
        <w:rPr>
          <w:rFonts w:ascii="Calibri" w:hAnsi="Calibri" w:cs="Calibri"/>
          <w:b/>
          <w:sz w:val="22"/>
          <w:szCs w:val="22"/>
        </w:rPr>
        <w:t>#</w:t>
      </w:r>
      <w:r w:rsidR="006C24B0" w:rsidRPr="00AE15DA">
        <w:rPr>
          <w:rFonts w:asciiTheme="minorHAnsi" w:hAnsiTheme="minorHAnsi"/>
          <w:b/>
          <w:sz w:val="22"/>
          <w:szCs w:val="22"/>
        </w:rPr>
        <w:t xml:space="preserve">B4. </w:t>
      </w:r>
      <w:r w:rsidR="0021729B" w:rsidRPr="0021729B">
        <w:rPr>
          <w:rFonts w:asciiTheme="minorHAnsi" w:hAnsiTheme="minorHAnsi"/>
          <w:b/>
          <w:color w:val="000000"/>
          <w:sz w:val="22"/>
          <w:szCs w:val="22"/>
        </w:rPr>
        <w:t>Het gebruik van SNRI is niet geschikt bij ongecontroleerde hypertensie.</w:t>
      </w:r>
    </w:p>
    <w:p w14:paraId="7B3BCDA2" w14:textId="77777777" w:rsidR="0021729B" w:rsidRPr="0021729B" w:rsidRDefault="0021729B" w:rsidP="0021729B">
      <w:pPr>
        <w:pStyle w:val="HTMLncedenBiimlendirilmi"/>
        <w:contextualSpacing/>
        <w:jc w:val="both"/>
        <w:rPr>
          <w:rFonts w:asciiTheme="minorHAnsi" w:hAnsiTheme="minorHAnsi" w:cs="Times New Roman"/>
          <w:i/>
          <w:color w:val="000000"/>
          <w:sz w:val="22"/>
          <w:szCs w:val="22"/>
        </w:rPr>
      </w:pPr>
      <w:r w:rsidRPr="0021729B">
        <w:rPr>
          <w:rFonts w:asciiTheme="minorHAnsi" w:hAnsiTheme="minorHAnsi" w:cs="Times New Roman"/>
          <w:i/>
          <w:color w:val="000000"/>
          <w:sz w:val="22"/>
          <w:szCs w:val="22"/>
        </w:rPr>
        <w:t>*De HT-bijwerking van venlafaxine is meer uitgesproken dan die van duloxetine.</w:t>
      </w:r>
    </w:p>
    <w:p w14:paraId="6ADE0DF6" w14:textId="404CC0A7" w:rsidR="001B712D" w:rsidRDefault="0021729B" w:rsidP="0021729B">
      <w:pPr>
        <w:pStyle w:val="HTMLncedenBiimlendirilmi"/>
        <w:contextualSpacing/>
        <w:jc w:val="both"/>
        <w:rPr>
          <w:rFonts w:asciiTheme="minorHAnsi" w:hAnsiTheme="minorHAnsi" w:cstheme="minorHAnsi"/>
          <w:color w:val="000000"/>
          <w:sz w:val="22"/>
          <w:szCs w:val="22"/>
        </w:rPr>
      </w:pPr>
      <w:r w:rsidRPr="0021729B">
        <w:rPr>
          <w:rFonts w:asciiTheme="minorHAnsi" w:hAnsiTheme="minorHAnsi" w:cs="Times New Roman"/>
          <w:i/>
          <w:color w:val="000000"/>
          <w:sz w:val="22"/>
          <w:szCs w:val="22"/>
        </w:rPr>
        <w:t>*HT-bijwerking van venlafaxine is meer uitgesproken bij doses &gt; 300 mg/dag.</w:t>
      </w:r>
    </w:p>
    <w:p w14:paraId="6A105924" w14:textId="77777777" w:rsidR="00E85274" w:rsidRPr="00AE15DA" w:rsidRDefault="00E85274" w:rsidP="0043334F">
      <w:pPr>
        <w:pStyle w:val="HTMLncedenBiimlendirilmi"/>
        <w:contextualSpacing/>
        <w:jc w:val="both"/>
        <w:rPr>
          <w:rFonts w:asciiTheme="minorHAnsi" w:hAnsiTheme="minorHAnsi" w:cstheme="minorHAnsi"/>
          <w:color w:val="000000"/>
          <w:sz w:val="22"/>
          <w:szCs w:val="22"/>
        </w:rPr>
      </w:pPr>
    </w:p>
    <w:p w14:paraId="4E56258E" w14:textId="77777777" w:rsidR="00EA1155" w:rsidRDefault="00AD4496" w:rsidP="0043334F">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B5. </w:t>
      </w:r>
      <w:r w:rsidR="00EA1155" w:rsidRPr="00EA1155">
        <w:rPr>
          <w:rFonts w:asciiTheme="minorHAnsi" w:hAnsiTheme="minorHAnsi"/>
          <w:b/>
          <w:color w:val="000000"/>
          <w:sz w:val="22"/>
          <w:szCs w:val="22"/>
        </w:rPr>
        <w:t>Het gebruik van duloxetine is niet geschikt bij patiënten met een GFR &lt; 30 ml/min/1,73 m2 (verhoogde GI-bijwerkingen)</w:t>
      </w:r>
    </w:p>
    <w:p w14:paraId="0F94E8DB" w14:textId="77777777" w:rsidR="00EA1155" w:rsidRDefault="00F63F30" w:rsidP="00EA1155">
      <w:pPr>
        <w:pStyle w:val="HTMLncedenBiimlendirilmi"/>
        <w:contextualSpacing/>
        <w:jc w:val="both"/>
        <w:rPr>
          <w:rFonts w:asciiTheme="minorHAnsi" w:hAnsiTheme="minorHAnsi"/>
          <w:i/>
          <w:color w:val="222222"/>
          <w:sz w:val="22"/>
          <w:szCs w:val="22"/>
        </w:rPr>
      </w:pPr>
      <w:r w:rsidRPr="00AE15DA">
        <w:rPr>
          <w:rFonts w:asciiTheme="minorHAnsi" w:hAnsiTheme="minorHAnsi"/>
          <w:color w:val="222222"/>
          <w:sz w:val="22"/>
          <w:szCs w:val="22"/>
        </w:rPr>
        <w:t>*</w:t>
      </w:r>
      <w:r w:rsidR="00EA1155" w:rsidRPr="00EA1155">
        <w:t xml:space="preserve"> </w:t>
      </w:r>
      <w:r w:rsidR="00EA1155" w:rsidRPr="00EA1155">
        <w:rPr>
          <w:rFonts w:asciiTheme="minorHAnsi" w:hAnsiTheme="minorHAnsi"/>
          <w:i/>
          <w:color w:val="222222"/>
          <w:sz w:val="22"/>
          <w:szCs w:val="22"/>
        </w:rPr>
        <w:t>Gebruik van andere veel voorkomende antidepressiva bij nierfalen:</w:t>
      </w:r>
    </w:p>
    <w:p w14:paraId="5CF35B7A" w14:textId="039E42DB" w:rsidR="00EA1155" w:rsidRPr="00EA1155" w:rsidRDefault="00EA1155" w:rsidP="00EA1155">
      <w:pPr>
        <w:pStyle w:val="HTMLncedenBiimlendirilmi"/>
        <w:contextualSpacing/>
        <w:jc w:val="both"/>
        <w:rPr>
          <w:rFonts w:asciiTheme="minorHAnsi" w:hAnsiTheme="minorHAnsi" w:cs="Times New Roman"/>
          <w:i/>
          <w:color w:val="000000"/>
          <w:sz w:val="22"/>
          <w:szCs w:val="22"/>
        </w:rPr>
      </w:pPr>
      <w:r w:rsidRPr="00EA1155">
        <w:rPr>
          <w:rFonts w:asciiTheme="minorHAnsi" w:hAnsiTheme="minorHAnsi"/>
          <w:i/>
          <w:color w:val="000000"/>
          <w:sz w:val="22"/>
          <w:szCs w:val="22"/>
        </w:rPr>
        <w:t>Citalopram en escitalopram: Er is geen dosisaanpassing nodig bij lichte tot matige nierinsufficiëntie. Dosisaanpassing is niet nodig bij ernstig (GFR&lt;20 ml/min/1,73m2) nierfalen, maar moet met voorzichtigheid worden gebruikt.</w:t>
      </w:r>
    </w:p>
    <w:p w14:paraId="7F094264" w14:textId="77777777" w:rsidR="00EA1155" w:rsidRPr="00EA1155" w:rsidRDefault="00EA1155" w:rsidP="00EA1155">
      <w:pPr>
        <w:pStyle w:val="NormalWeb"/>
        <w:contextualSpacing/>
        <w:jc w:val="both"/>
        <w:rPr>
          <w:rFonts w:asciiTheme="minorHAnsi" w:hAnsiTheme="minorHAnsi"/>
          <w:i/>
          <w:color w:val="000000"/>
          <w:sz w:val="22"/>
          <w:szCs w:val="22"/>
        </w:rPr>
      </w:pPr>
      <w:r w:rsidRPr="00EA1155">
        <w:rPr>
          <w:rFonts w:asciiTheme="minorHAnsi" w:hAnsiTheme="minorHAnsi"/>
          <w:i/>
          <w:color w:val="000000"/>
          <w:sz w:val="22"/>
          <w:szCs w:val="22"/>
        </w:rPr>
        <w:t>Sertraline: Bij nierfalen is geen dosisaanpassing nodig.</w:t>
      </w:r>
    </w:p>
    <w:p w14:paraId="2144E5D3" w14:textId="77777777" w:rsidR="00EA1155" w:rsidRPr="00EA1155" w:rsidRDefault="00EA1155" w:rsidP="00EA1155">
      <w:pPr>
        <w:pStyle w:val="NormalWeb"/>
        <w:contextualSpacing/>
        <w:jc w:val="both"/>
        <w:rPr>
          <w:rFonts w:asciiTheme="minorHAnsi" w:hAnsiTheme="minorHAnsi"/>
          <w:i/>
          <w:color w:val="000000"/>
          <w:sz w:val="22"/>
          <w:szCs w:val="22"/>
        </w:rPr>
      </w:pPr>
      <w:r w:rsidRPr="00EA1155">
        <w:rPr>
          <w:rFonts w:asciiTheme="minorHAnsi" w:hAnsiTheme="minorHAnsi"/>
          <w:i/>
          <w:color w:val="000000"/>
          <w:sz w:val="22"/>
          <w:szCs w:val="22"/>
        </w:rPr>
        <w:t>Paroxetine: Als GFR &lt; 30 ml/min/1,73 m2 is, is de maximale dosis 40 mg in tabletten met directe afgifte, maximale dosis in preparaten met verlengde afgifte: 50 mg/dag.</w:t>
      </w:r>
    </w:p>
    <w:p w14:paraId="6B318DEA" w14:textId="77777777" w:rsidR="00EA1155" w:rsidRPr="00EA1155" w:rsidRDefault="00EA1155" w:rsidP="00EA1155">
      <w:pPr>
        <w:pStyle w:val="NormalWeb"/>
        <w:contextualSpacing/>
        <w:jc w:val="both"/>
        <w:rPr>
          <w:rFonts w:asciiTheme="minorHAnsi" w:hAnsiTheme="minorHAnsi"/>
          <w:i/>
          <w:color w:val="000000"/>
          <w:sz w:val="22"/>
          <w:szCs w:val="22"/>
        </w:rPr>
      </w:pPr>
      <w:r w:rsidRPr="00EA1155">
        <w:rPr>
          <w:rFonts w:asciiTheme="minorHAnsi" w:hAnsiTheme="minorHAnsi"/>
          <w:i/>
          <w:color w:val="000000"/>
          <w:sz w:val="22"/>
          <w:szCs w:val="22"/>
        </w:rPr>
        <w:t>Venlafaxine: Als de GFR &lt; 30 ml/min/1,73 m2 is, moet de dosis met 50% worden verlaagd bij preparaten met verlengde afgifte; Bij preparaten met directe afgifte moet de dosis met 25% worden verlaagd als de GFR 10-75 ml/min/1,73 m2 is.</w:t>
      </w:r>
    </w:p>
    <w:p w14:paraId="671E4809" w14:textId="77777777" w:rsidR="00EA1155" w:rsidRPr="00EA1155" w:rsidRDefault="00EA1155" w:rsidP="00EA1155">
      <w:pPr>
        <w:pStyle w:val="NormalWeb"/>
        <w:contextualSpacing/>
        <w:jc w:val="both"/>
        <w:rPr>
          <w:rFonts w:asciiTheme="minorHAnsi" w:hAnsiTheme="minorHAnsi"/>
          <w:i/>
          <w:color w:val="000000"/>
          <w:sz w:val="22"/>
          <w:szCs w:val="22"/>
        </w:rPr>
      </w:pPr>
      <w:r w:rsidRPr="00EA1155">
        <w:rPr>
          <w:rFonts w:asciiTheme="minorHAnsi" w:hAnsiTheme="minorHAnsi"/>
          <w:i/>
          <w:color w:val="000000"/>
          <w:sz w:val="22"/>
          <w:szCs w:val="22"/>
        </w:rPr>
        <w:t>Mirtazapine: Er is geen dosisaanpassing nodig bij nierinsufficiëntie, maar moet met voorzichtigheid worden gebruikt bij matige tot ernstige nierinsufficiëntie.</w:t>
      </w:r>
    </w:p>
    <w:p w14:paraId="0FBE6F31" w14:textId="77777777" w:rsidR="00EA1155" w:rsidRPr="00EA1155" w:rsidRDefault="00EA1155" w:rsidP="00EA1155">
      <w:pPr>
        <w:pStyle w:val="NormalWeb"/>
        <w:contextualSpacing/>
        <w:jc w:val="both"/>
        <w:rPr>
          <w:rFonts w:asciiTheme="minorHAnsi" w:hAnsiTheme="minorHAnsi"/>
          <w:i/>
          <w:color w:val="000000"/>
          <w:sz w:val="22"/>
          <w:szCs w:val="22"/>
        </w:rPr>
      </w:pPr>
      <w:r w:rsidRPr="00EA1155">
        <w:rPr>
          <w:rFonts w:asciiTheme="minorHAnsi" w:hAnsiTheme="minorHAnsi"/>
          <w:i/>
          <w:color w:val="000000"/>
          <w:sz w:val="22"/>
          <w:szCs w:val="22"/>
        </w:rPr>
        <w:t>Agomelatine: Bij nierfalen is geen dosisaanpassing nodig.</w:t>
      </w:r>
    </w:p>
    <w:p w14:paraId="02B8E7F8" w14:textId="17BC7030" w:rsidR="005B2907" w:rsidRPr="00AE15DA" w:rsidRDefault="00EA1155" w:rsidP="00EA1155">
      <w:pPr>
        <w:pStyle w:val="NormalWeb"/>
        <w:spacing w:before="0" w:beforeAutospacing="0" w:after="0" w:afterAutospacing="0"/>
        <w:contextualSpacing/>
        <w:jc w:val="both"/>
        <w:rPr>
          <w:rFonts w:asciiTheme="minorHAnsi" w:hAnsiTheme="minorHAnsi"/>
          <w:b/>
          <w:i/>
          <w:color w:val="000000"/>
          <w:sz w:val="22"/>
          <w:szCs w:val="22"/>
        </w:rPr>
      </w:pPr>
      <w:r w:rsidRPr="00EA1155">
        <w:rPr>
          <w:rFonts w:asciiTheme="minorHAnsi" w:hAnsiTheme="minorHAnsi"/>
          <w:i/>
          <w:color w:val="000000"/>
          <w:sz w:val="22"/>
          <w:szCs w:val="22"/>
        </w:rPr>
        <w:t>Vortioxetine: Bij nierfalen is geen dosisaanpassing nodig.</w:t>
      </w:r>
    </w:p>
    <w:p w14:paraId="0605A6D7" w14:textId="77777777" w:rsidR="00744A29" w:rsidRPr="00AE15DA" w:rsidRDefault="00744A29" w:rsidP="0043334F">
      <w:pPr>
        <w:pStyle w:val="HTMLncedenBiimlendirilmi"/>
        <w:contextualSpacing/>
        <w:jc w:val="both"/>
        <w:rPr>
          <w:rFonts w:asciiTheme="minorHAnsi" w:hAnsiTheme="minorHAnsi" w:cstheme="minorHAnsi"/>
          <w:sz w:val="22"/>
          <w:szCs w:val="22"/>
        </w:rPr>
      </w:pPr>
    </w:p>
    <w:p w14:paraId="6414C927" w14:textId="36A41DEE" w:rsidR="00744A29" w:rsidRDefault="006C24B0" w:rsidP="0043334F">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B6. </w:t>
      </w:r>
      <w:r w:rsidR="00EA1155" w:rsidRPr="00EA1155">
        <w:rPr>
          <w:rFonts w:asciiTheme="minorHAnsi" w:hAnsiTheme="minorHAnsi"/>
          <w:b/>
          <w:color w:val="000000"/>
          <w:sz w:val="22"/>
          <w:szCs w:val="22"/>
        </w:rPr>
        <w:t>Bij een GFR &lt; 60 ml/min/1,73 m2 is het gebruik van pregabaline en gabapentine zonder dosisverlaging niet geschikt.</w:t>
      </w:r>
    </w:p>
    <w:p w14:paraId="511D00F0" w14:textId="77777777" w:rsidR="00EA1155" w:rsidRPr="00AE15DA" w:rsidRDefault="00EA1155" w:rsidP="0043334F">
      <w:pPr>
        <w:pStyle w:val="HTMLncedenBiimlendirilmi"/>
        <w:contextualSpacing/>
        <w:jc w:val="both"/>
        <w:rPr>
          <w:rFonts w:asciiTheme="minorHAnsi" w:hAnsiTheme="minorHAnsi"/>
          <w:b/>
          <w:color w:val="000000"/>
          <w:sz w:val="22"/>
          <w:szCs w:val="22"/>
        </w:rPr>
      </w:pPr>
    </w:p>
    <w:p w14:paraId="336DFD36" w14:textId="77777777" w:rsidR="00EA1155" w:rsidRDefault="006C24B0" w:rsidP="00EA1155">
      <w:pPr>
        <w:pStyle w:val="HTMLncedenBiimlendirilmi"/>
        <w:contextualSpacing/>
        <w:jc w:val="both"/>
        <w:rPr>
          <w:rFonts w:asciiTheme="minorHAnsi" w:hAnsiTheme="minorHAnsi"/>
          <w:b/>
          <w:sz w:val="22"/>
          <w:szCs w:val="22"/>
        </w:rPr>
      </w:pPr>
      <w:r w:rsidRPr="00AE15DA">
        <w:rPr>
          <w:rFonts w:asciiTheme="minorHAnsi" w:hAnsiTheme="minorHAnsi"/>
          <w:b/>
          <w:sz w:val="22"/>
          <w:szCs w:val="22"/>
        </w:rPr>
        <w:t xml:space="preserve">B7. </w:t>
      </w:r>
      <w:r w:rsidR="00EA1155" w:rsidRPr="00EA1155">
        <w:rPr>
          <w:rFonts w:asciiTheme="minorHAnsi" w:hAnsiTheme="minorHAnsi"/>
          <w:b/>
          <w:sz w:val="22"/>
          <w:szCs w:val="22"/>
        </w:rPr>
        <w:t>Bij patiënten met delirium of dementie, geneesmiddelen met sterke anticholinerge effecten (amitriptyline, paroxetine, dicyclomine, L-hyoscyamine, thioridazine, chloorpromazine, clozapine, olanzapine, urinaire antimuscarinica, H1-receptorblokkers, vooral 1e generatie H1-receptorblokkers, H1-receptorblokkers, H1-receptorblokkers, fenefenamine) het gebruik van receptorblokkers is niet aangewezen (risico op cognitieve achteruitgang)</w:t>
      </w:r>
    </w:p>
    <w:p w14:paraId="3E36B8D9" w14:textId="77777777" w:rsidR="00EA1155" w:rsidRDefault="00EA1155" w:rsidP="0043334F">
      <w:pPr>
        <w:pStyle w:val="NormalWeb"/>
        <w:spacing w:before="0" w:beforeAutospacing="0" w:after="0" w:afterAutospacing="0"/>
        <w:contextualSpacing/>
        <w:jc w:val="both"/>
        <w:rPr>
          <w:rFonts w:asciiTheme="minorHAnsi" w:hAnsiTheme="minorHAnsi" w:cs="Courier New"/>
          <w:i/>
          <w:sz w:val="22"/>
          <w:szCs w:val="22"/>
        </w:rPr>
      </w:pPr>
      <w:r w:rsidRPr="00EA1155">
        <w:rPr>
          <w:rFonts w:asciiTheme="minorHAnsi" w:hAnsiTheme="minorHAnsi" w:cs="Courier New"/>
          <w:i/>
          <w:sz w:val="22"/>
          <w:szCs w:val="22"/>
        </w:rPr>
        <w:t>*Bij patiënten met extrapiramidale systeembevindingen (parkinsonisme), zoals Parkinson-dementie en Lewy body-dementie, kan het gebruik van clozapine in de klinische praktijk nodig zijn voor de behandeling van ernstige gedragssymptomen van dementie/delirium. In dit geval moet het zo kort mogelijk worden gebruikt, in de laagste dosis en met nauwlettende controle van de cognitieve functie.</w:t>
      </w:r>
    </w:p>
    <w:p w14:paraId="4728AD16" w14:textId="77777777" w:rsidR="00EA1155" w:rsidRDefault="00EA1155" w:rsidP="00EA1155">
      <w:pPr>
        <w:pStyle w:val="HTMLncedenBiimlendirilmi"/>
        <w:contextualSpacing/>
        <w:jc w:val="both"/>
        <w:rPr>
          <w:rFonts w:asciiTheme="minorHAnsi" w:hAnsiTheme="minorHAnsi" w:cs="Times New Roman"/>
          <w:i/>
          <w:sz w:val="22"/>
          <w:szCs w:val="22"/>
        </w:rPr>
      </w:pPr>
    </w:p>
    <w:p w14:paraId="4E555E97" w14:textId="6559F569" w:rsidR="00EA1155" w:rsidRPr="00EA1155" w:rsidRDefault="00EA1155" w:rsidP="00EA1155">
      <w:pPr>
        <w:pStyle w:val="HTMLncedenBiimlendirilmi"/>
        <w:contextualSpacing/>
        <w:jc w:val="both"/>
        <w:rPr>
          <w:rFonts w:asciiTheme="minorHAnsi" w:hAnsiTheme="minorHAnsi" w:cs="Times New Roman"/>
          <w:i/>
          <w:sz w:val="22"/>
          <w:szCs w:val="22"/>
        </w:rPr>
      </w:pPr>
      <w:r w:rsidRPr="00EA1155">
        <w:rPr>
          <w:rFonts w:asciiTheme="minorHAnsi" w:hAnsiTheme="minorHAnsi" w:cs="Times New Roman"/>
          <w:i/>
          <w:sz w:val="22"/>
          <w:szCs w:val="22"/>
        </w:rPr>
        <w:lastRenderedPageBreak/>
        <w:t>*Bij patiënten met extrapiramidale systeembevindingen (parkinsonismebevindingen) zoals Parkinson-dementie en Lewy body-dementie, is behandeling met quetiapine aangewezen in de eerste stap voorafgaand aan de behandeling met clozapine als neuroleptisch gebruik vereist is vanwege ernstige gedragssymptomen.</w:t>
      </w:r>
    </w:p>
    <w:p w14:paraId="50371571" w14:textId="3C1AA5DD" w:rsidR="002247CF" w:rsidRPr="00AE15DA" w:rsidRDefault="00EA1155" w:rsidP="00EA1155">
      <w:pPr>
        <w:pStyle w:val="HTMLncedenBiimlendirilmi"/>
        <w:contextualSpacing/>
        <w:jc w:val="both"/>
        <w:rPr>
          <w:rFonts w:asciiTheme="minorHAnsi" w:hAnsiTheme="minorHAnsi" w:cs="Times New Roman"/>
          <w:b/>
          <w:i/>
          <w:color w:val="000000" w:themeColor="text1"/>
          <w:sz w:val="22"/>
          <w:szCs w:val="22"/>
          <w:shd w:val="clear" w:color="auto" w:fill="FFFFFF"/>
        </w:rPr>
      </w:pPr>
      <w:proofErr w:type="gramStart"/>
      <w:r w:rsidRPr="00EA1155">
        <w:rPr>
          <w:rFonts w:asciiTheme="minorHAnsi" w:hAnsiTheme="minorHAnsi" w:cs="Times New Roman"/>
          <w:i/>
          <w:sz w:val="22"/>
          <w:szCs w:val="22"/>
        </w:rPr>
        <w:t>*Rekening houdend met de behandeling moeten clozapine/quetiapine-behandelingen worden gestart met een dosis van 12,5 mg, bijwerkingen moeten nauwlettend worden gecontroleerd en indien nodig worden verhoogd tot doses van 12,5-25 mg. Nadat de symptoomcontrole is bereikt, moet worden geprobeerd deze binnen enkele weken te verminderen en te stoppen.</w:t>
      </w:r>
      <w:proofErr w:type="gramEnd"/>
    </w:p>
    <w:p w14:paraId="0B1123E3" w14:textId="77777777" w:rsidR="00F33DB8" w:rsidRPr="00AE15DA" w:rsidRDefault="00F33DB8" w:rsidP="0043334F">
      <w:pPr>
        <w:contextualSpacing/>
        <w:rPr>
          <w:rFonts w:asciiTheme="minorHAnsi" w:hAnsiTheme="minorHAnsi" w:cstheme="minorHAnsi"/>
          <w:color w:val="000000"/>
          <w:sz w:val="22"/>
          <w:szCs w:val="22"/>
        </w:rPr>
      </w:pPr>
    </w:p>
    <w:p w14:paraId="5D5A217E" w14:textId="15EFE5DB" w:rsidR="00873A44" w:rsidRPr="00AE15DA" w:rsidRDefault="006C24B0" w:rsidP="00EA1155">
      <w:pPr>
        <w:spacing w:before="100" w:beforeAutospacing="1" w:after="100" w:afterAutospacing="1"/>
        <w:contextualSpacing/>
        <w:jc w:val="both"/>
        <w:rPr>
          <w:rFonts w:asciiTheme="minorHAnsi" w:hAnsiTheme="minorHAnsi" w:cstheme="minorHAnsi"/>
          <w:color w:val="000000" w:themeColor="text1"/>
          <w:sz w:val="22"/>
          <w:szCs w:val="22"/>
        </w:rPr>
      </w:pPr>
      <w:r w:rsidRPr="00AE15DA">
        <w:rPr>
          <w:rFonts w:asciiTheme="minorHAnsi" w:hAnsiTheme="minorHAnsi"/>
          <w:b/>
          <w:color w:val="000000" w:themeColor="text1"/>
          <w:sz w:val="22"/>
          <w:szCs w:val="22"/>
        </w:rPr>
        <w:t xml:space="preserve">B8. </w:t>
      </w:r>
      <w:r w:rsidR="00EA1155" w:rsidRPr="00EA1155">
        <w:rPr>
          <w:rFonts w:asciiTheme="minorHAnsi" w:hAnsiTheme="minorHAnsi"/>
          <w:b/>
          <w:color w:val="000000" w:themeColor="text1"/>
          <w:sz w:val="22"/>
          <w:szCs w:val="22"/>
        </w:rPr>
        <w:t>Het gebruik van anticholinergica is niet geschikt bij de behandeling van de ziekte van Parkinson (verhoogd risico op bijwerkingen; er zijn geneesmiddelen die effectiever zijn en minder bijwerkingen hebben)</w:t>
      </w:r>
    </w:p>
    <w:p w14:paraId="1FA65CA4" w14:textId="77777777" w:rsidR="009D2A23" w:rsidRPr="00AE15DA" w:rsidRDefault="009D2A23" w:rsidP="0043334F">
      <w:pPr>
        <w:spacing w:before="100" w:beforeAutospacing="1" w:after="100" w:afterAutospacing="1"/>
        <w:contextualSpacing/>
        <w:jc w:val="both"/>
        <w:rPr>
          <w:rStyle w:val="Kpr"/>
          <w:rFonts w:asciiTheme="minorHAnsi" w:eastAsiaTheme="majorEastAsia" w:hAnsiTheme="minorHAnsi" w:cstheme="minorHAnsi"/>
          <w:color w:val="000000" w:themeColor="text1"/>
          <w:sz w:val="22"/>
          <w:szCs w:val="22"/>
          <w:u w:val="none"/>
        </w:rPr>
      </w:pPr>
    </w:p>
    <w:p w14:paraId="325D902C" w14:textId="1A3282D3" w:rsidR="009D247E" w:rsidRPr="00AE15DA" w:rsidRDefault="006C24B0"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B9. </w:t>
      </w:r>
      <w:r w:rsidR="00EA1155" w:rsidRPr="00EA1155">
        <w:rPr>
          <w:rFonts w:asciiTheme="minorHAnsi" w:hAnsiTheme="minorHAnsi"/>
          <w:b/>
          <w:sz w:val="22"/>
          <w:szCs w:val="22"/>
        </w:rPr>
        <w:t>Anticholinergica zijn niet geschikt voor de behandeling van extrapiramidale bijwerkingen van neuroleptica (risico op anticholinerge toxiciteit).</w:t>
      </w:r>
    </w:p>
    <w:p w14:paraId="4A70ABDE" w14:textId="77777777" w:rsidR="00524390" w:rsidRPr="00AE15DA" w:rsidRDefault="00524390" w:rsidP="0043334F">
      <w:pPr>
        <w:spacing w:before="100" w:beforeAutospacing="1" w:after="100" w:afterAutospacing="1"/>
        <w:contextualSpacing/>
        <w:jc w:val="both"/>
        <w:rPr>
          <w:rFonts w:asciiTheme="minorHAnsi" w:hAnsiTheme="minorHAnsi" w:cstheme="minorHAnsi"/>
          <w:color w:val="000000"/>
          <w:sz w:val="22"/>
          <w:szCs w:val="22"/>
        </w:rPr>
      </w:pPr>
    </w:p>
    <w:p w14:paraId="5CF3D27F" w14:textId="77777777" w:rsidR="00EA1155" w:rsidRDefault="006C24B0" w:rsidP="00EA1155">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B10.</w:t>
      </w:r>
      <w:r w:rsidR="00181929" w:rsidRPr="00AE15DA">
        <w:rPr>
          <w:rFonts w:asciiTheme="minorHAnsi" w:hAnsiTheme="minorHAnsi"/>
          <w:b/>
          <w:sz w:val="22"/>
          <w:szCs w:val="22"/>
        </w:rPr>
        <w:t xml:space="preserve"> </w:t>
      </w:r>
      <w:r w:rsidR="00EA1155" w:rsidRPr="00EA1155">
        <w:rPr>
          <w:rFonts w:asciiTheme="minorHAnsi" w:hAnsiTheme="minorHAnsi"/>
          <w:b/>
          <w:sz w:val="22"/>
          <w:szCs w:val="22"/>
        </w:rPr>
        <w:t>Het gebruik van neuroleptica/antipsychotica is niet aangewezen bij patiënten met dementie, behalve in gevallen waarin niet-medicamenteuze behandelingen niet effectief zijn in het verlichten van gedrags- en psychologische symptomen en de symptomen ernstig zijn (verhoogd risico op beroerte, hartfalen, longontsteking-infectie, overlijden).</w:t>
      </w:r>
    </w:p>
    <w:p w14:paraId="438DDC8E" w14:textId="77777777" w:rsidR="00EA1155" w:rsidRPr="00EA1155" w:rsidRDefault="00EA1155" w:rsidP="00EA1155">
      <w:pPr>
        <w:pStyle w:val="AklamaMetni"/>
        <w:contextualSpacing/>
        <w:jc w:val="both"/>
        <w:rPr>
          <w:rFonts w:eastAsia="Times New Roman" w:cs="Times New Roman"/>
          <w:i/>
          <w:sz w:val="22"/>
          <w:szCs w:val="22"/>
        </w:rPr>
      </w:pPr>
      <w:proofErr w:type="gramStart"/>
      <w:r w:rsidRPr="00EA1155">
        <w:rPr>
          <w:rFonts w:eastAsia="Times New Roman" w:cs="Times New Roman"/>
          <w:i/>
          <w:sz w:val="22"/>
          <w:szCs w:val="22"/>
        </w:rPr>
        <w:t>*In gevallen waarin niet-medicamenteuze behandelingen niet effectief zijn bij het verlichten van gedrags- en psychologische symptomen bij dementiepatiënten en de symptomen ernstig zijn, kunnen neuroleptica/antipsychotica worden gebruikt, maar in dit geval moeten ze worden gebruikt in de laagste dosis die de symptomen onder controle houdt en voor de kortste duur.</w:t>
      </w:r>
      <w:proofErr w:type="gramEnd"/>
    </w:p>
    <w:p w14:paraId="3453032A" w14:textId="77777777" w:rsidR="00EA1155" w:rsidRPr="00EA1155" w:rsidRDefault="00EA1155" w:rsidP="00EA1155">
      <w:pPr>
        <w:pStyle w:val="AklamaMetni"/>
        <w:contextualSpacing/>
        <w:jc w:val="both"/>
        <w:rPr>
          <w:rFonts w:eastAsia="Times New Roman" w:cs="Times New Roman"/>
          <w:i/>
          <w:sz w:val="22"/>
          <w:szCs w:val="22"/>
        </w:rPr>
      </w:pPr>
      <w:r w:rsidRPr="00EA1155">
        <w:rPr>
          <w:rFonts w:eastAsia="Times New Roman" w:cs="Times New Roman"/>
          <w:i/>
          <w:sz w:val="22"/>
          <w:szCs w:val="22"/>
        </w:rPr>
        <w:t>*De primaire benadering bij het verlichten van gedrags- en psychologische symptomen bij dementiepatiënten is het toedienen van een optimale dementiebehandeling (ChEi/memantine). Geselecteerde SSRI's (vooral citalopram) kunnen dan worden geprobeerd.</w:t>
      </w:r>
    </w:p>
    <w:p w14:paraId="0975C5C3" w14:textId="6FAD28FD" w:rsidR="009E4B52" w:rsidRPr="00AE15DA" w:rsidRDefault="00EA1155" w:rsidP="00EA1155">
      <w:pPr>
        <w:pStyle w:val="AklamaMetni"/>
        <w:spacing w:after="0"/>
        <w:contextualSpacing/>
        <w:jc w:val="both"/>
        <w:rPr>
          <w:rFonts w:cs="Times New Roman"/>
          <w:i/>
          <w:sz w:val="22"/>
          <w:szCs w:val="22"/>
        </w:rPr>
      </w:pPr>
      <w:r w:rsidRPr="00EA1155">
        <w:rPr>
          <w:rFonts w:eastAsia="Times New Roman" w:cs="Times New Roman"/>
          <w:i/>
          <w:sz w:val="22"/>
          <w:szCs w:val="22"/>
        </w:rPr>
        <w:t>*Er is tegenstrijdige informatie over de werkzaamheid van sertraline, trazadon en melatonine bij het verlichten van gedrags- en psychologische symptomen bij dementiepatiënten.</w:t>
      </w:r>
    </w:p>
    <w:p w14:paraId="2509FE3E" w14:textId="77777777" w:rsidR="009D2A23" w:rsidRPr="00AE15DA" w:rsidRDefault="009D2A23" w:rsidP="0043334F">
      <w:pPr>
        <w:pStyle w:val="AklamaMetni"/>
        <w:contextualSpacing/>
        <w:jc w:val="both"/>
        <w:rPr>
          <w:rFonts w:cstheme="minorHAnsi"/>
          <w:color w:val="000000"/>
          <w:sz w:val="22"/>
          <w:szCs w:val="22"/>
        </w:rPr>
      </w:pPr>
    </w:p>
    <w:p w14:paraId="0DC2DA8A" w14:textId="77777777" w:rsidR="001C3B9F" w:rsidRDefault="007D439E" w:rsidP="001C3B9F">
      <w:pPr>
        <w:pStyle w:val="AklamaMetni"/>
        <w:contextualSpacing/>
        <w:jc w:val="both"/>
        <w:rPr>
          <w:b/>
          <w:color w:val="000000"/>
          <w:sz w:val="22"/>
          <w:szCs w:val="22"/>
        </w:rPr>
      </w:pPr>
      <w:r w:rsidRPr="00AE15DA">
        <w:rPr>
          <w:b/>
          <w:color w:val="000000"/>
          <w:sz w:val="22"/>
          <w:szCs w:val="22"/>
        </w:rPr>
        <w:t xml:space="preserve">B11. </w:t>
      </w:r>
      <w:r w:rsidR="001C3B9F" w:rsidRPr="001C3B9F">
        <w:rPr>
          <w:b/>
          <w:color w:val="000000"/>
          <w:sz w:val="22"/>
          <w:szCs w:val="22"/>
        </w:rPr>
        <w:t>Het gebruik van neuroleptica/antipsychotica voor hypnotische doeleinden is niet aangewezen (verhoogde verwardheid, hypotensie, extrapiramidale bijwerkingen, valrisico)</w:t>
      </w:r>
    </w:p>
    <w:p w14:paraId="43F6C23C" w14:textId="77777777" w:rsidR="001C3B9F" w:rsidRPr="001C3B9F" w:rsidRDefault="001C3B9F" w:rsidP="001C3B9F">
      <w:pPr>
        <w:spacing w:before="100" w:beforeAutospacing="1" w:after="100" w:afterAutospacing="1"/>
        <w:contextualSpacing/>
        <w:jc w:val="both"/>
        <w:rPr>
          <w:rFonts w:asciiTheme="minorHAnsi" w:eastAsiaTheme="minorEastAsia" w:hAnsiTheme="minorHAnsi" w:cstheme="minorBidi"/>
          <w:sz w:val="22"/>
          <w:szCs w:val="22"/>
          <w:lang w:eastAsia="en-GB"/>
        </w:rPr>
      </w:pPr>
      <w:r w:rsidRPr="001C3B9F">
        <w:rPr>
          <w:rFonts w:asciiTheme="minorHAnsi" w:eastAsiaTheme="minorEastAsia" w:hAnsiTheme="minorHAnsi" w:cstheme="minorBidi"/>
          <w:sz w:val="22"/>
          <w:szCs w:val="22"/>
          <w:lang w:eastAsia="en-GB"/>
        </w:rPr>
        <w:t>*Bij de behandeling van slapeloosheid bij ouderen moeten eerst regulering van de slaaphygiëne en cognitieve gedragstherapieën worden toegepast.</w:t>
      </w:r>
    </w:p>
    <w:p w14:paraId="48C4239F" w14:textId="6C86535B" w:rsidR="00744B1A" w:rsidRPr="00AE15DA" w:rsidRDefault="001C3B9F" w:rsidP="001C3B9F">
      <w:pPr>
        <w:spacing w:before="100" w:beforeAutospacing="1" w:after="100" w:afterAutospacing="1"/>
        <w:contextualSpacing/>
        <w:jc w:val="both"/>
        <w:rPr>
          <w:rFonts w:asciiTheme="minorHAnsi" w:hAnsiTheme="minorHAnsi"/>
          <w:b/>
          <w:sz w:val="22"/>
          <w:szCs w:val="22"/>
        </w:rPr>
      </w:pPr>
      <w:r w:rsidRPr="001C3B9F">
        <w:rPr>
          <w:rFonts w:asciiTheme="minorHAnsi" w:eastAsiaTheme="minorEastAsia" w:hAnsiTheme="minorHAnsi" w:cstheme="minorBidi"/>
          <w:sz w:val="22"/>
          <w:szCs w:val="22"/>
          <w:lang w:eastAsia="en-GB"/>
        </w:rPr>
        <w:t>*Als farmacologische behandeling nodig is bij de behandeling van slapeloosheid bij ouderen, kan melatonine, melatoninereceptoragonist ramelteon worden gebruikt. Als er sprake is van een begeleidende depressie, kan het gebruik van sedatieve antidepressiva (mirtazapine, trazadon, agomelatine) worden geëvalueerd.</w:t>
      </w:r>
    </w:p>
    <w:p w14:paraId="27975E89" w14:textId="77777777" w:rsidR="001A75B0" w:rsidRPr="00AE15DA" w:rsidRDefault="001A75B0" w:rsidP="0043334F">
      <w:pPr>
        <w:spacing w:before="100" w:beforeAutospacing="1" w:after="100" w:afterAutospacing="1"/>
        <w:contextualSpacing/>
        <w:jc w:val="both"/>
        <w:rPr>
          <w:rFonts w:asciiTheme="minorHAnsi" w:hAnsiTheme="minorHAnsi"/>
          <w:b/>
          <w:sz w:val="22"/>
          <w:szCs w:val="22"/>
        </w:rPr>
      </w:pPr>
    </w:p>
    <w:p w14:paraId="5D96BAA5" w14:textId="4C35F9D9" w:rsidR="00EE065C" w:rsidRPr="00AE15DA" w:rsidRDefault="006C24B0" w:rsidP="001C3B9F">
      <w:pPr>
        <w:spacing w:before="100" w:beforeAutospacing="1" w:after="100" w:afterAutospacing="1"/>
        <w:contextualSpacing/>
        <w:jc w:val="both"/>
        <w:rPr>
          <w:rFonts w:asciiTheme="minorHAnsi" w:hAnsiTheme="minorHAnsi" w:cstheme="minorHAnsi"/>
          <w:sz w:val="22"/>
          <w:szCs w:val="22"/>
          <w:lang w:eastAsia="en-GB"/>
        </w:rPr>
      </w:pPr>
      <w:r w:rsidRPr="00AE15DA">
        <w:rPr>
          <w:rFonts w:asciiTheme="minorHAnsi" w:hAnsiTheme="minorHAnsi"/>
          <w:b/>
          <w:sz w:val="22"/>
          <w:szCs w:val="22"/>
        </w:rPr>
        <w:t xml:space="preserve">B12. </w:t>
      </w:r>
      <w:r w:rsidR="001C3B9F" w:rsidRPr="001C3B9F">
        <w:rPr>
          <w:rFonts w:asciiTheme="minorHAnsi" w:hAnsiTheme="minorHAnsi"/>
          <w:b/>
          <w:sz w:val="22"/>
          <w:szCs w:val="22"/>
        </w:rPr>
        <w:t>Het gebruik van neuroleptica/antipsychotica (behalve quetiapine of clozapine) is niet geschikt bij patiënten met parkinsonisme of dementie met Lewy-lichaampjes (risico op ernstige extrapiramidale symptomen)</w:t>
      </w:r>
    </w:p>
    <w:p w14:paraId="01E0E410" w14:textId="77777777" w:rsidR="001B712D" w:rsidRPr="00AE15DA" w:rsidRDefault="001B712D"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14812075" w14:textId="77777777" w:rsidR="001C3B9F" w:rsidRDefault="006C24B0" w:rsidP="001C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r w:rsidRPr="00AE15DA">
        <w:rPr>
          <w:rFonts w:asciiTheme="minorHAnsi" w:hAnsiTheme="minorHAnsi"/>
          <w:b/>
          <w:sz w:val="22"/>
          <w:szCs w:val="22"/>
        </w:rPr>
        <w:t>B13.</w:t>
      </w:r>
      <w:r w:rsidR="00181929" w:rsidRPr="00AE15DA">
        <w:rPr>
          <w:rFonts w:asciiTheme="minorHAnsi" w:hAnsiTheme="minorHAnsi"/>
          <w:b/>
          <w:sz w:val="22"/>
          <w:szCs w:val="22"/>
        </w:rPr>
        <w:t xml:space="preserve"> </w:t>
      </w:r>
      <w:r w:rsidR="001C3B9F" w:rsidRPr="001C3B9F">
        <w:rPr>
          <w:rFonts w:asciiTheme="minorHAnsi" w:hAnsiTheme="minorHAnsi"/>
          <w:b/>
          <w:sz w:val="22"/>
          <w:szCs w:val="22"/>
        </w:rPr>
        <w:t>Het gebruik van neuroleptica/antipsychotica (extrapiramidale bijwerkingen), benzodiazepines (sedatie, evenwichtsstoornis) en Z-type hypnotica (bijv. zopiclon, zolpidem, zaleplon) (langdurige sedatie gedurende de dag, ataxie) is niet geschikt bij patiënten met een hoog risico op vallen.</w:t>
      </w:r>
    </w:p>
    <w:p w14:paraId="61ACC838" w14:textId="5BD43701" w:rsidR="001A75B0" w:rsidRPr="00AE15DA" w:rsidRDefault="001C3B9F" w:rsidP="0043334F">
      <w:pPr>
        <w:contextualSpacing/>
        <w:jc w:val="both"/>
        <w:rPr>
          <w:rFonts w:asciiTheme="minorHAnsi" w:hAnsiTheme="minorHAnsi"/>
          <w:i/>
          <w:sz w:val="22"/>
          <w:szCs w:val="22"/>
        </w:rPr>
      </w:pPr>
      <w:r w:rsidRPr="001C3B9F">
        <w:rPr>
          <w:rFonts w:asciiTheme="minorHAnsi" w:hAnsiTheme="minorHAnsi"/>
          <w:i/>
          <w:sz w:val="22"/>
          <w:szCs w:val="22"/>
        </w:rPr>
        <w:t>*Over het algemeen gaat het bij deze groep geneesmiddelen om geneesmiddelen die het risico op vallen bij ouderen verhogen. Het gebruik ervan bij ouderen moet zoveel mogelijk worden vermeden.</w:t>
      </w:r>
    </w:p>
    <w:p w14:paraId="5D88ED87" w14:textId="77777777" w:rsidR="00B602B7" w:rsidRPr="00AE15DA" w:rsidRDefault="00B602B7"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690D3F0A" w14:textId="77777777" w:rsidR="009D247E" w:rsidRPr="00AE15DA" w:rsidRDefault="009D247E"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24177A62" w14:textId="77777777" w:rsidR="001C3B9F" w:rsidRDefault="006C24B0" w:rsidP="0043334F">
      <w:pPr>
        <w:contextualSpacing/>
        <w:jc w:val="both"/>
        <w:rPr>
          <w:rFonts w:asciiTheme="minorHAnsi" w:hAnsiTheme="minorHAnsi"/>
          <w:b/>
          <w:sz w:val="22"/>
          <w:szCs w:val="22"/>
        </w:rPr>
      </w:pPr>
      <w:r w:rsidRPr="00AE15DA">
        <w:rPr>
          <w:rFonts w:asciiTheme="minorHAnsi" w:hAnsiTheme="minorHAnsi"/>
          <w:b/>
          <w:sz w:val="22"/>
          <w:szCs w:val="22"/>
        </w:rPr>
        <w:lastRenderedPageBreak/>
        <w:t>B14.</w:t>
      </w:r>
      <w:r w:rsidR="00E60D55" w:rsidRPr="00AE15DA">
        <w:rPr>
          <w:rFonts w:asciiTheme="minorHAnsi" w:hAnsiTheme="minorHAnsi"/>
          <w:b/>
          <w:sz w:val="22"/>
          <w:szCs w:val="22"/>
        </w:rPr>
        <w:t xml:space="preserve"> </w:t>
      </w:r>
      <w:r w:rsidR="001C3B9F" w:rsidRPr="001C3B9F">
        <w:rPr>
          <w:rFonts w:asciiTheme="minorHAnsi" w:hAnsiTheme="minorHAnsi"/>
          <w:b/>
          <w:sz w:val="22"/>
          <w:szCs w:val="22"/>
        </w:rPr>
        <w:t>Het gebruik van benzodiazepinen langer dan 4 weken is niet aangewezen (langdurige sedatie, verwardheid, evenwichtsstoornis, vallen, risico op verkeersongevallen)</w:t>
      </w:r>
    </w:p>
    <w:p w14:paraId="48A60285"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*Over het algemeen moet het gebruik van benzodiazepinen worden vermeden vanwege hun grote kans op bijwerkingen.</w:t>
      </w:r>
    </w:p>
    <w:p w14:paraId="23BB8F6B"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*Kortwerkende benzodiazepinen kunnen met voorzichtigheid en voor een korte tijd (&lt;4 weken) worden gebruikt bij klinische indicaties (bijv. lorazepam kan worden gegeven bij aan dementie gerelateerde agitatie).</w:t>
      </w:r>
    </w:p>
    <w:p w14:paraId="6D79D34F"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 Clonazepam, een van de langwerkende benzodiazepinen, kan bij geselecteerde patiënten worden gegeven voor REM-slaapgedragsstoornis die niet onder controle kan worden gebracht met andere geneesmiddelen, maar in dit geval moet nauwgezette klinische controle worden gevolgd.</w:t>
      </w:r>
    </w:p>
    <w:p w14:paraId="2B5E06C3" w14:textId="75AC7CED" w:rsidR="008B50F1" w:rsidRPr="00AE15DA"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*Alle benzodiazepinen die gedurende 2 weken of langer worden gebruikt, moeten geleidelijk worden gestaakt, niet plotseling, om het 'benzodiazepine-ontwenningssyndroom' niet te veroorzaken.</w:t>
      </w:r>
    </w:p>
    <w:p w14:paraId="74A7DDF2" w14:textId="77777777" w:rsidR="00C846A1" w:rsidRPr="00AE15DA" w:rsidRDefault="00C846A1" w:rsidP="0043334F">
      <w:pPr>
        <w:contextualSpacing/>
        <w:jc w:val="both"/>
        <w:rPr>
          <w:rFonts w:asciiTheme="minorHAnsi" w:hAnsiTheme="minorHAnsi" w:cstheme="minorHAnsi"/>
          <w:sz w:val="22"/>
          <w:szCs w:val="22"/>
          <w:lang w:eastAsia="en-GB"/>
        </w:rPr>
      </w:pPr>
    </w:p>
    <w:p w14:paraId="33807B08" w14:textId="062A0AC8" w:rsidR="00C846A1" w:rsidRPr="00AE15DA" w:rsidRDefault="00B835E2"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B1</w:t>
      </w:r>
      <w:r w:rsidR="0058769E" w:rsidRPr="00AE15DA">
        <w:rPr>
          <w:rFonts w:asciiTheme="minorHAnsi" w:hAnsiTheme="minorHAnsi"/>
          <w:b/>
          <w:sz w:val="22"/>
          <w:szCs w:val="22"/>
        </w:rPr>
        <w:t>5</w:t>
      </w:r>
      <w:r w:rsidRPr="00AE15DA">
        <w:rPr>
          <w:rFonts w:asciiTheme="minorHAnsi" w:hAnsiTheme="minorHAnsi"/>
          <w:b/>
          <w:sz w:val="22"/>
          <w:szCs w:val="22"/>
        </w:rPr>
        <w:t>.</w:t>
      </w:r>
      <w:r w:rsidR="00E60D55" w:rsidRPr="00AE15DA">
        <w:rPr>
          <w:rFonts w:asciiTheme="minorHAnsi" w:hAnsiTheme="minorHAnsi"/>
          <w:b/>
          <w:sz w:val="22"/>
          <w:szCs w:val="22"/>
        </w:rPr>
        <w:t xml:space="preserve"> </w:t>
      </w:r>
      <w:r w:rsidR="001C3B9F" w:rsidRPr="001C3B9F">
        <w:rPr>
          <w:rFonts w:asciiTheme="minorHAnsi" w:hAnsiTheme="minorHAnsi"/>
          <w:b/>
          <w:sz w:val="22"/>
          <w:szCs w:val="22"/>
        </w:rPr>
        <w:t>Benzodiazepinen zijn niet geschikt voor gebruik bij acuut en chronisch ademhalingsfalen (PO2&lt; 60 mmHg en/of PCO2&gt; 50 mmHg) (verhoogd risico op ademhalingsfalen).</w:t>
      </w:r>
    </w:p>
    <w:p w14:paraId="65C5D23F"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645FB2F7" w14:textId="77777777" w:rsidR="001C3B9F" w:rsidRDefault="006C24B0" w:rsidP="001C3B9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B1</w:t>
      </w:r>
      <w:r w:rsidR="0058769E" w:rsidRPr="00AE15DA">
        <w:rPr>
          <w:rFonts w:asciiTheme="minorHAnsi" w:hAnsiTheme="minorHAnsi"/>
          <w:b/>
          <w:sz w:val="22"/>
          <w:szCs w:val="22"/>
        </w:rPr>
        <w:t>6</w:t>
      </w:r>
      <w:r w:rsidRPr="00AE15DA">
        <w:rPr>
          <w:rFonts w:asciiTheme="minorHAnsi" w:hAnsiTheme="minorHAnsi"/>
          <w:b/>
          <w:sz w:val="22"/>
          <w:szCs w:val="22"/>
        </w:rPr>
        <w:t xml:space="preserve">. </w:t>
      </w:r>
      <w:r w:rsidR="001C3B9F" w:rsidRPr="001C3B9F">
        <w:rPr>
          <w:rFonts w:asciiTheme="minorHAnsi" w:hAnsiTheme="minorHAnsi"/>
          <w:b/>
          <w:sz w:val="22"/>
          <w:szCs w:val="22"/>
        </w:rPr>
        <w:t>ChEi is niet geschikt voor gebruik bij patiënten met aanhoudende bradycardie (&lt;50/min), 2e of 3e graads hartblok of onverklaarde syncope, patiënten met verlengde QTc (&gt;470 msec bij vrouwen, &gt;450 msec bij mannen) (hartgeleidingsdefect, syncope, blessure) risico)</w:t>
      </w:r>
    </w:p>
    <w:p w14:paraId="7A88DD87" w14:textId="77777777" w:rsidR="001C3B9F" w:rsidRPr="001C3B9F" w:rsidRDefault="001C3B9F" w:rsidP="001C3B9F">
      <w:pPr>
        <w:pStyle w:val="HTMLncedenBiimlendirilmi"/>
        <w:contextualSpacing/>
        <w:jc w:val="both"/>
        <w:rPr>
          <w:rFonts w:asciiTheme="minorHAnsi" w:hAnsiTheme="minorHAnsi" w:cs="Times New Roman"/>
          <w:i/>
          <w:sz w:val="22"/>
          <w:szCs w:val="22"/>
        </w:rPr>
      </w:pPr>
      <w:r w:rsidRPr="001C3B9F">
        <w:rPr>
          <w:rFonts w:asciiTheme="minorHAnsi" w:hAnsiTheme="minorHAnsi" w:cs="Times New Roman"/>
          <w:i/>
          <w:sz w:val="22"/>
          <w:szCs w:val="22"/>
        </w:rPr>
        <w:t>*ChEi kan worden gestart bij patiënten met een hartfrequentie van 50-60/min en die asymptomatisch zijn. De polsslag en symptomen dienen 1 week na aanvang van de behandeling of dosisverhoging te worden gecontroleerd.</w:t>
      </w:r>
    </w:p>
    <w:p w14:paraId="6FA78E6F" w14:textId="77777777" w:rsidR="001C3B9F" w:rsidRPr="001C3B9F" w:rsidRDefault="001C3B9F" w:rsidP="001C3B9F">
      <w:pPr>
        <w:pStyle w:val="HTMLncedenBiimlendirilmi"/>
        <w:contextualSpacing/>
        <w:jc w:val="both"/>
        <w:rPr>
          <w:rFonts w:asciiTheme="minorHAnsi" w:hAnsiTheme="minorHAnsi" w:cs="Times New Roman"/>
          <w:i/>
          <w:sz w:val="22"/>
          <w:szCs w:val="22"/>
        </w:rPr>
      </w:pPr>
      <w:r w:rsidRPr="001C3B9F">
        <w:rPr>
          <w:rFonts w:asciiTheme="minorHAnsi" w:hAnsiTheme="minorHAnsi" w:cs="Times New Roman"/>
          <w:i/>
          <w:sz w:val="22"/>
          <w:szCs w:val="22"/>
        </w:rPr>
        <w:t>*Het kan met voorzichtigheid worden gebruikt als de hartslag niet &lt; 50/min is en er geen symptomen zijn bij gelijktijdig gebruik van snelheidsbeperkende geneesmiddelen. ChEi moet met voorzichtigheid worden gebruikt bij patiënten met LBBB of AF, en patiënten moeten worden opgevolgd.</w:t>
      </w:r>
    </w:p>
    <w:p w14:paraId="0A10250C" w14:textId="77777777" w:rsidR="001C3B9F" w:rsidRPr="001C3B9F" w:rsidRDefault="001C3B9F" w:rsidP="001C3B9F">
      <w:pPr>
        <w:pStyle w:val="HTMLncedenBiimlendirilmi"/>
        <w:contextualSpacing/>
        <w:jc w:val="both"/>
        <w:rPr>
          <w:rFonts w:asciiTheme="minorHAnsi" w:hAnsiTheme="minorHAnsi" w:cs="Times New Roman"/>
          <w:i/>
          <w:sz w:val="22"/>
          <w:szCs w:val="22"/>
        </w:rPr>
      </w:pPr>
      <w:r w:rsidRPr="001C3B9F">
        <w:rPr>
          <w:rFonts w:asciiTheme="minorHAnsi" w:hAnsiTheme="minorHAnsi" w:cs="Times New Roman"/>
          <w:i/>
          <w:sz w:val="22"/>
          <w:szCs w:val="22"/>
        </w:rPr>
        <w:t>*ChEi's moet met voorzichtigheid worden gebruikt bij patiënten met COPD of astma. Het kan bronchospasmen verergeren, het moet worden gevolgd.</w:t>
      </w:r>
    </w:p>
    <w:p w14:paraId="3E701B2B" w14:textId="286A066B" w:rsidR="00D43767" w:rsidRPr="00AE15DA" w:rsidRDefault="001C3B9F" w:rsidP="001C3B9F">
      <w:pPr>
        <w:pStyle w:val="HTMLncedenBiimlendirilmi"/>
        <w:contextualSpacing/>
        <w:jc w:val="both"/>
        <w:rPr>
          <w:rFonts w:asciiTheme="minorHAnsi" w:hAnsiTheme="minorHAnsi" w:cs="Times New Roman"/>
          <w:i/>
          <w:sz w:val="22"/>
          <w:szCs w:val="22"/>
        </w:rPr>
      </w:pPr>
      <w:r w:rsidRPr="001C3B9F">
        <w:rPr>
          <w:rFonts w:asciiTheme="minorHAnsi" w:hAnsiTheme="minorHAnsi" w:cs="Times New Roman"/>
          <w:i/>
          <w:sz w:val="22"/>
          <w:szCs w:val="22"/>
        </w:rPr>
        <w:t>*ChEi's moet met voorzichtigheid worden gebruikt bij patiënten met een voorgeschiedenis van maagzweren en bij patiënten die niet-steroïde anti-inflammatoire geneesmiddelen gebruiken. Deze patiënten moeten worden gecontroleerd op gastro-intestinale bloedingen.</w:t>
      </w:r>
    </w:p>
    <w:p w14:paraId="0FF63386" w14:textId="77777777" w:rsidR="001B712D" w:rsidRPr="00AE15DA" w:rsidRDefault="001B712D" w:rsidP="0043334F">
      <w:pPr>
        <w:pStyle w:val="HTMLncedenBiimlendirilmi"/>
        <w:contextualSpacing/>
        <w:jc w:val="both"/>
        <w:rPr>
          <w:rFonts w:asciiTheme="minorHAnsi" w:hAnsiTheme="minorHAnsi" w:cstheme="minorHAnsi"/>
          <w:sz w:val="22"/>
          <w:szCs w:val="22"/>
        </w:rPr>
      </w:pPr>
    </w:p>
    <w:p w14:paraId="2C9DA355" w14:textId="0ECC582E" w:rsidR="00EE065C" w:rsidRPr="00AE15DA" w:rsidRDefault="006C24B0" w:rsidP="001C3B9F">
      <w:pPr>
        <w:pStyle w:val="HTMLncedenBiimlendirilmi"/>
        <w:contextualSpacing/>
        <w:jc w:val="both"/>
        <w:rPr>
          <w:rFonts w:asciiTheme="minorHAnsi" w:hAnsiTheme="minorHAnsi" w:cstheme="minorHAnsi"/>
          <w:sz w:val="22"/>
          <w:szCs w:val="22"/>
          <w:lang w:eastAsia="en-GB"/>
        </w:rPr>
      </w:pPr>
      <w:r w:rsidRPr="00AE15DA">
        <w:rPr>
          <w:rFonts w:asciiTheme="minorHAnsi" w:hAnsiTheme="minorHAnsi"/>
          <w:b/>
          <w:sz w:val="22"/>
          <w:szCs w:val="22"/>
        </w:rPr>
        <w:t>B1</w:t>
      </w:r>
      <w:r w:rsidR="0058769E" w:rsidRPr="00AE15DA">
        <w:rPr>
          <w:rFonts w:asciiTheme="minorHAnsi" w:hAnsiTheme="minorHAnsi"/>
          <w:b/>
          <w:sz w:val="22"/>
          <w:szCs w:val="22"/>
        </w:rPr>
        <w:t>7</w:t>
      </w:r>
      <w:r w:rsidRPr="00AE15DA">
        <w:rPr>
          <w:rFonts w:asciiTheme="minorHAnsi" w:hAnsiTheme="minorHAnsi"/>
          <w:b/>
          <w:sz w:val="22"/>
          <w:szCs w:val="22"/>
        </w:rPr>
        <w:t xml:space="preserve">. </w:t>
      </w:r>
      <w:r w:rsidR="001C3B9F" w:rsidRPr="001C3B9F">
        <w:rPr>
          <w:rFonts w:asciiTheme="minorHAnsi" w:hAnsiTheme="minorHAnsi"/>
          <w:b/>
          <w:sz w:val="22"/>
          <w:szCs w:val="22"/>
        </w:rPr>
        <w:t>Het gebruik van levodopa of dopamine-agonisten is niet geschikt voor de behandeling van essentiële tremor (geen bewezen werkzaamheid)</w:t>
      </w:r>
    </w:p>
    <w:p w14:paraId="25EA5A85"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3E35FAB8" w14:textId="12893641" w:rsidR="001B712D" w:rsidRPr="00AE15DA" w:rsidRDefault="006C24B0" w:rsidP="0043334F">
      <w:pPr>
        <w:spacing w:before="100" w:beforeAutospacing="1" w:after="100" w:afterAutospacing="1"/>
        <w:contextualSpacing/>
        <w:jc w:val="both"/>
        <w:rPr>
          <w:rFonts w:asciiTheme="minorHAnsi" w:hAnsiTheme="minorHAnsi"/>
          <w:b/>
          <w:color w:val="000000" w:themeColor="text1"/>
          <w:sz w:val="22"/>
          <w:szCs w:val="22"/>
        </w:rPr>
      </w:pPr>
      <w:r w:rsidRPr="00AE15DA">
        <w:rPr>
          <w:rFonts w:asciiTheme="minorHAnsi" w:hAnsiTheme="minorHAnsi"/>
          <w:b/>
          <w:color w:val="000000"/>
          <w:sz w:val="22"/>
          <w:szCs w:val="22"/>
        </w:rPr>
        <w:t>B1</w:t>
      </w:r>
      <w:r w:rsidR="0058769E" w:rsidRPr="00AE15DA">
        <w:rPr>
          <w:rFonts w:asciiTheme="minorHAnsi" w:hAnsiTheme="minorHAnsi"/>
          <w:b/>
          <w:color w:val="000000"/>
          <w:sz w:val="22"/>
          <w:szCs w:val="22"/>
        </w:rPr>
        <w:t>8</w:t>
      </w:r>
      <w:r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Continu en langdurig gebruik van geneesmiddelen zoals betahistine, trimetazidine en dimenhydrinaat is niet geschikt voor de behandeling van duizeligheid (gebrek aan op bewijs gebaseerde gunstige effecten).</w:t>
      </w:r>
    </w:p>
    <w:p w14:paraId="5F1D7D1A" w14:textId="77777777"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14:paraId="250272A8" w14:textId="0C887A39" w:rsidR="006C24B0" w:rsidRPr="00AE15DA" w:rsidRDefault="00E66E29" w:rsidP="0043334F">
      <w:pPr>
        <w:spacing w:before="100" w:beforeAutospacing="1" w:after="100" w:afterAutospacing="1"/>
        <w:contextualSpacing/>
        <w:jc w:val="both"/>
        <w:rPr>
          <w:rFonts w:asciiTheme="minorHAnsi" w:hAnsiTheme="minorHAnsi" w:cstheme="minorHAnsi"/>
          <w:color w:val="000000"/>
          <w:sz w:val="22"/>
          <w:szCs w:val="22"/>
        </w:rPr>
      </w:pPr>
      <w:r>
        <w:rPr>
          <w:rFonts w:ascii="Calibri" w:hAnsi="Calibri" w:cs="Calibri"/>
          <w:b/>
          <w:sz w:val="22"/>
          <w:szCs w:val="22"/>
        </w:rPr>
        <w:t>#</w:t>
      </w:r>
      <w:r w:rsidR="006C24B0" w:rsidRPr="00AE15DA">
        <w:rPr>
          <w:rFonts w:asciiTheme="minorHAnsi" w:hAnsiTheme="minorHAnsi"/>
          <w:b/>
          <w:sz w:val="22"/>
          <w:szCs w:val="22"/>
        </w:rPr>
        <w:t>B1</w:t>
      </w:r>
      <w:r w:rsidR="0058769E" w:rsidRPr="00AE15DA">
        <w:rPr>
          <w:rFonts w:asciiTheme="minorHAnsi" w:hAnsiTheme="minorHAnsi"/>
          <w:b/>
          <w:sz w:val="22"/>
          <w:szCs w:val="22"/>
        </w:rPr>
        <w:t>9</w:t>
      </w:r>
      <w:r w:rsidR="006C24B0" w:rsidRPr="00AE15DA">
        <w:rPr>
          <w:rFonts w:asciiTheme="minorHAnsi" w:hAnsiTheme="minorHAnsi"/>
          <w:b/>
          <w:sz w:val="22"/>
          <w:szCs w:val="22"/>
        </w:rPr>
        <w:t xml:space="preserve">. </w:t>
      </w:r>
      <w:r w:rsidR="001C3B9F" w:rsidRPr="001C3B9F">
        <w:rPr>
          <w:rFonts w:asciiTheme="minorHAnsi" w:hAnsiTheme="minorHAnsi"/>
          <w:b/>
          <w:sz w:val="22"/>
          <w:szCs w:val="22"/>
        </w:rPr>
        <w:t>Cinnarizine is niet geschikt voor gebruik (extrapiramidale bijwerkingen, beperkt nut)</w:t>
      </w:r>
    </w:p>
    <w:p w14:paraId="69F55B4A" w14:textId="77777777"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14:paraId="6E196D8E" w14:textId="77777777" w:rsidR="00C846A1" w:rsidRPr="00AE15DA" w:rsidRDefault="00C846A1" w:rsidP="0043334F">
      <w:pPr>
        <w:spacing w:before="100" w:beforeAutospacing="1" w:after="100" w:afterAutospacing="1"/>
        <w:contextualSpacing/>
        <w:jc w:val="both"/>
        <w:rPr>
          <w:rFonts w:asciiTheme="minorHAnsi" w:hAnsiTheme="minorHAnsi" w:cstheme="minorHAnsi"/>
          <w:color w:val="000000"/>
          <w:sz w:val="22"/>
          <w:szCs w:val="22"/>
        </w:rPr>
      </w:pPr>
    </w:p>
    <w:p w14:paraId="6B9C28AC" w14:textId="77777777" w:rsidR="001C3B9F" w:rsidRDefault="005712F8"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B20. </w:t>
      </w:r>
      <w:r w:rsidR="001C3B9F" w:rsidRPr="001C3B9F">
        <w:rPr>
          <w:rFonts w:asciiTheme="minorHAnsi" w:hAnsiTheme="minorHAnsi"/>
          <w:b/>
          <w:color w:val="000000"/>
          <w:sz w:val="22"/>
          <w:szCs w:val="22"/>
        </w:rPr>
        <w:t>Piracetam is niet geschikt voor gebruik behalve bij de behandeling van myoclonische convulsies (vanwege het ontbreken van bewezen klinische werkzaamheid, kostenlast en mogelijke bijwerkingen)</w:t>
      </w:r>
    </w:p>
    <w:p w14:paraId="66279653" w14:textId="77777777" w:rsidR="001C3B9F" w:rsidRPr="001C3B9F" w:rsidRDefault="001C3B9F" w:rsidP="001C3B9F">
      <w:pPr>
        <w:tabs>
          <w:tab w:val="left" w:pos="708"/>
        </w:tabs>
        <w:contextualSpacing/>
        <w:jc w:val="both"/>
        <w:rPr>
          <w:rFonts w:asciiTheme="minorHAnsi" w:hAnsiTheme="minorHAnsi"/>
          <w:i/>
          <w:color w:val="000000"/>
          <w:sz w:val="22"/>
          <w:szCs w:val="22"/>
        </w:rPr>
      </w:pPr>
      <w:r w:rsidRPr="001C3B9F">
        <w:rPr>
          <w:rFonts w:asciiTheme="minorHAnsi" w:hAnsiTheme="minorHAnsi"/>
          <w:i/>
          <w:color w:val="000000"/>
          <w:sz w:val="22"/>
          <w:szCs w:val="22"/>
        </w:rPr>
        <w:t>*Het kan worden gebruikt bij patiënten van wie wordt aangenomen dat ze symptomatisch voordeel hebben bij behandeling met piracetam, rekening houdend met de winst-verliesbalans.</w:t>
      </w:r>
    </w:p>
    <w:p w14:paraId="687C6470" w14:textId="17BEE750" w:rsidR="005D469F" w:rsidRPr="00AE15DA" w:rsidRDefault="001C3B9F" w:rsidP="001C3B9F">
      <w:pPr>
        <w:tabs>
          <w:tab w:val="left" w:pos="708"/>
        </w:tabs>
        <w:contextualSpacing/>
        <w:jc w:val="both"/>
        <w:rPr>
          <w:rFonts w:asciiTheme="minorHAnsi" w:hAnsiTheme="minorHAnsi" w:cstheme="minorHAnsi"/>
          <w:sz w:val="22"/>
          <w:szCs w:val="22"/>
        </w:rPr>
      </w:pPr>
      <w:r w:rsidRPr="001C3B9F">
        <w:rPr>
          <w:rFonts w:asciiTheme="minorHAnsi" w:hAnsiTheme="minorHAnsi"/>
          <w:i/>
          <w:color w:val="000000"/>
          <w:sz w:val="22"/>
          <w:szCs w:val="22"/>
        </w:rPr>
        <w:t>*Er zijn onderzoeken die aantonen dat piracetam een ​​beperkt voordeel kan hebben bij de behandeling van acute afasie na een beroerte.</w:t>
      </w:r>
    </w:p>
    <w:p w14:paraId="07261C72" w14:textId="77777777" w:rsidR="005D469F" w:rsidRPr="00AE15DA" w:rsidRDefault="005D469F" w:rsidP="0043334F">
      <w:pPr>
        <w:tabs>
          <w:tab w:val="left" w:pos="708"/>
        </w:tabs>
        <w:contextualSpacing/>
        <w:jc w:val="both"/>
        <w:rPr>
          <w:rFonts w:asciiTheme="minorHAnsi" w:hAnsiTheme="minorHAnsi" w:cstheme="minorHAnsi"/>
          <w:sz w:val="22"/>
          <w:szCs w:val="22"/>
        </w:rPr>
      </w:pPr>
    </w:p>
    <w:p w14:paraId="572CBAFD" w14:textId="77777777" w:rsidR="001C3B9F" w:rsidRDefault="006C24B0" w:rsidP="001C3B9F">
      <w:pPr>
        <w:tabs>
          <w:tab w:val="left" w:pos="708"/>
        </w:tabs>
        <w:contextualSpacing/>
        <w:jc w:val="both"/>
        <w:rPr>
          <w:rFonts w:asciiTheme="minorHAnsi" w:hAnsiTheme="minorHAnsi"/>
          <w:b/>
          <w:color w:val="000000"/>
          <w:sz w:val="22"/>
          <w:szCs w:val="22"/>
        </w:rPr>
      </w:pPr>
      <w:r w:rsidRPr="00AE15DA">
        <w:rPr>
          <w:rFonts w:asciiTheme="minorHAnsi" w:hAnsiTheme="minorHAnsi"/>
          <w:b/>
          <w:color w:val="000000"/>
          <w:sz w:val="22"/>
          <w:szCs w:val="22"/>
        </w:rPr>
        <w:lastRenderedPageBreak/>
        <w:t>B2</w:t>
      </w:r>
      <w:r w:rsidR="0058769E" w:rsidRPr="00AE15DA">
        <w:rPr>
          <w:rFonts w:asciiTheme="minorHAnsi" w:hAnsiTheme="minorHAnsi"/>
          <w:b/>
          <w:color w:val="000000"/>
          <w:sz w:val="22"/>
          <w:szCs w:val="22"/>
        </w:rPr>
        <w:t>1</w:t>
      </w:r>
      <w:r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Eerstelijnsgebruik van carbamazepine, fenytoïne, fenobarbital of valproaat is niet geschikt bij de chronische behandeling van epilepsie (vanwege nadelige effecten op vitamine D, enzyminductie, valrisico; er zijn ook veiligere alternatieven)</w:t>
      </w:r>
    </w:p>
    <w:p w14:paraId="15694B70" w14:textId="09DDBBD7" w:rsidR="00C846A1" w:rsidRPr="00AE15DA" w:rsidRDefault="001C3B9F" w:rsidP="0043334F">
      <w:pPr>
        <w:tabs>
          <w:tab w:val="left" w:pos="708"/>
        </w:tabs>
        <w:contextualSpacing/>
        <w:rPr>
          <w:rFonts w:asciiTheme="minorHAnsi" w:hAnsiTheme="minorHAnsi" w:cstheme="minorHAnsi"/>
          <w:color w:val="000000" w:themeColor="text1"/>
          <w:sz w:val="22"/>
          <w:szCs w:val="22"/>
        </w:rPr>
      </w:pPr>
      <w:r w:rsidRPr="001C3B9F">
        <w:rPr>
          <w:rFonts w:asciiTheme="minorHAnsi" w:hAnsiTheme="minorHAnsi"/>
          <w:i/>
          <w:sz w:val="22"/>
          <w:szCs w:val="22"/>
        </w:rPr>
        <w:t>*Nieuwe middelen zoals levatiracetam, lamotrigine en gabapentine kunnen de voorkeur hebben bij de behandeling van chronische epilepsie bij ouderen.</w:t>
      </w:r>
    </w:p>
    <w:p w14:paraId="037FB699" w14:textId="77777777" w:rsidR="00C846A1" w:rsidRPr="00AE15DA" w:rsidRDefault="00C846A1" w:rsidP="0043334F">
      <w:pPr>
        <w:tabs>
          <w:tab w:val="left" w:pos="708"/>
        </w:tabs>
        <w:contextualSpacing/>
        <w:rPr>
          <w:rFonts w:asciiTheme="minorHAnsi" w:hAnsiTheme="minorHAnsi" w:cstheme="minorHAnsi"/>
          <w:color w:val="000000" w:themeColor="text1"/>
          <w:sz w:val="22"/>
          <w:szCs w:val="22"/>
        </w:rPr>
      </w:pPr>
    </w:p>
    <w:p w14:paraId="2C3EA5ED" w14:textId="70A9C8CB" w:rsidR="00C846A1" w:rsidRDefault="006C24B0" w:rsidP="001C3B9F">
      <w:pPr>
        <w:tabs>
          <w:tab w:val="left" w:pos="708"/>
        </w:tabs>
        <w:contextualSpacing/>
        <w:rPr>
          <w:rFonts w:asciiTheme="minorHAnsi" w:hAnsiTheme="minorHAnsi" w:cstheme="minorHAnsi"/>
          <w:color w:val="000000"/>
          <w:sz w:val="22"/>
          <w:szCs w:val="22"/>
        </w:rPr>
      </w:pPr>
      <w:r w:rsidRPr="00AE15DA">
        <w:rPr>
          <w:rFonts w:asciiTheme="minorHAnsi" w:hAnsiTheme="minorHAnsi"/>
          <w:b/>
          <w:color w:val="000000" w:themeColor="text1"/>
          <w:sz w:val="22"/>
          <w:szCs w:val="22"/>
        </w:rPr>
        <w:t>B2</w:t>
      </w:r>
      <w:r w:rsidR="0058769E" w:rsidRPr="00AE15DA">
        <w:rPr>
          <w:rFonts w:asciiTheme="minorHAnsi" w:hAnsiTheme="minorHAnsi"/>
          <w:b/>
          <w:color w:val="000000" w:themeColor="text1"/>
          <w:sz w:val="22"/>
          <w:szCs w:val="22"/>
        </w:rPr>
        <w:t>2</w:t>
      </w:r>
      <w:r w:rsidRPr="00AE15DA">
        <w:rPr>
          <w:rFonts w:asciiTheme="minorHAnsi" w:hAnsiTheme="minorHAnsi"/>
          <w:b/>
          <w:color w:val="000000" w:themeColor="text1"/>
          <w:sz w:val="22"/>
          <w:szCs w:val="22"/>
        </w:rPr>
        <w:t xml:space="preserve">. </w:t>
      </w:r>
      <w:r w:rsidR="001C3B9F" w:rsidRPr="001C3B9F">
        <w:rPr>
          <w:rFonts w:asciiTheme="minorHAnsi" w:hAnsiTheme="minorHAnsi"/>
          <w:b/>
          <w:color w:val="000000" w:themeColor="text1"/>
          <w:sz w:val="22"/>
          <w:szCs w:val="22"/>
        </w:rPr>
        <w:t>Tramadol, neuroleptica/antipsychotica (clozapine, olanzapine, chloorpromazine, thioridazine), bupropion en maprotiline zijn niet geschikt voor epilepsiepatiënten.</w:t>
      </w:r>
    </w:p>
    <w:p w14:paraId="6769BAB4" w14:textId="77777777" w:rsidR="00E85274" w:rsidRPr="00AE15DA" w:rsidRDefault="00E85274" w:rsidP="0043334F">
      <w:pPr>
        <w:pStyle w:val="HTMLncedenBiimlendirilmi"/>
        <w:contextualSpacing/>
        <w:jc w:val="both"/>
        <w:rPr>
          <w:rFonts w:asciiTheme="minorHAnsi" w:hAnsiTheme="minorHAnsi" w:cstheme="minorHAnsi"/>
          <w:color w:val="000000"/>
          <w:sz w:val="22"/>
          <w:szCs w:val="22"/>
        </w:rPr>
      </w:pPr>
    </w:p>
    <w:p w14:paraId="3DAAF9AD" w14:textId="77777777" w:rsidR="001C3B9F" w:rsidRDefault="006C24B0" w:rsidP="001C3B9F">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B2</w:t>
      </w:r>
      <w:r w:rsidR="0058769E"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Anti-epileptische therapie is niet geschikt voor profylaxe van aanvallen vanwege de aanwezigheid van ischemische/hemorragische beroerte bij een patiënt die geen eerdere convulsie heeft gehad.</w:t>
      </w:r>
    </w:p>
    <w:p w14:paraId="25F89D82" w14:textId="77777777" w:rsidR="001C3B9F" w:rsidRDefault="001C3B9F" w:rsidP="001C3B9F">
      <w:pPr>
        <w:pStyle w:val="HTMLncedenBiimlendirilmi"/>
        <w:contextualSpacing/>
        <w:jc w:val="both"/>
        <w:rPr>
          <w:rFonts w:asciiTheme="minorHAnsi" w:hAnsiTheme="minorHAnsi"/>
          <w:b/>
          <w:color w:val="000000"/>
          <w:sz w:val="22"/>
          <w:szCs w:val="22"/>
        </w:rPr>
      </w:pPr>
    </w:p>
    <w:p w14:paraId="6F963514" w14:textId="38859900" w:rsidR="00C846A1" w:rsidRPr="00AE15DA" w:rsidRDefault="00260D35" w:rsidP="001C3B9F">
      <w:pPr>
        <w:pStyle w:val="HTMLncedenBiimlendirilmi"/>
        <w:contextualSpacing/>
        <w:jc w:val="both"/>
        <w:rPr>
          <w:rFonts w:asciiTheme="minorHAnsi" w:hAnsiTheme="minorHAnsi"/>
          <w:b/>
          <w:sz w:val="22"/>
          <w:szCs w:val="22"/>
        </w:rPr>
      </w:pPr>
      <w:r w:rsidRPr="00AE15DA">
        <w:rPr>
          <w:rFonts w:asciiTheme="minorHAnsi" w:hAnsiTheme="minorHAnsi"/>
          <w:b/>
          <w:sz w:val="22"/>
          <w:szCs w:val="22"/>
        </w:rPr>
        <w:t>B2</w:t>
      </w:r>
      <w:r w:rsidR="0058769E" w:rsidRPr="00AE15DA">
        <w:rPr>
          <w:rFonts w:asciiTheme="minorHAnsi" w:hAnsiTheme="minorHAnsi"/>
          <w:b/>
          <w:sz w:val="22"/>
          <w:szCs w:val="22"/>
        </w:rPr>
        <w:t>4</w:t>
      </w:r>
      <w:r w:rsidR="00F412F2" w:rsidRPr="00AE15DA">
        <w:rPr>
          <w:rFonts w:asciiTheme="minorHAnsi" w:hAnsiTheme="minorHAnsi"/>
          <w:b/>
          <w:sz w:val="22"/>
          <w:szCs w:val="22"/>
        </w:rPr>
        <w:t xml:space="preserve">. </w:t>
      </w:r>
      <w:r w:rsidR="001C3B9F" w:rsidRPr="001C3B9F">
        <w:rPr>
          <w:rFonts w:asciiTheme="minorHAnsi" w:hAnsiTheme="minorHAnsi"/>
          <w:b/>
          <w:sz w:val="22"/>
          <w:szCs w:val="22"/>
        </w:rPr>
        <w:t>Het gebruik van citalopram in doses hoger dan 20 mg/dag en escitalopram hoger dan 10 mg/dag bij ouderen is niet geschikt (vanwege het risico op QTc-verlenging).</w:t>
      </w:r>
    </w:p>
    <w:p w14:paraId="3D3CB174"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5C709498"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660162CF" w14:textId="77777777"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14:paraId="5E388600" w14:textId="0F8D3B4B" w:rsidR="004816D3" w:rsidRPr="00AE15DA" w:rsidRDefault="00EE065C" w:rsidP="0043334F">
      <w:pPr>
        <w:spacing w:before="100" w:beforeAutospacing="1" w:after="100" w:afterAutospacing="1"/>
        <w:contextualSpacing/>
        <w:jc w:val="both"/>
        <w:rPr>
          <w:rFonts w:asciiTheme="minorHAnsi" w:hAnsiTheme="minorHAnsi"/>
          <w:b/>
          <w:sz w:val="28"/>
          <w:szCs w:val="28"/>
        </w:rPr>
      </w:pPr>
      <w:r w:rsidRPr="00AE15DA">
        <w:rPr>
          <w:rFonts w:asciiTheme="minorHAnsi" w:hAnsiTheme="minorHAnsi"/>
          <w:b/>
          <w:sz w:val="28"/>
          <w:szCs w:val="28"/>
        </w:rPr>
        <w:t xml:space="preserve">C: </w:t>
      </w:r>
      <w:r w:rsidR="001C3B9F" w:rsidRPr="001C3B9F">
        <w:rPr>
          <w:rFonts w:asciiTheme="minorHAnsi" w:hAnsiTheme="minorHAnsi"/>
          <w:b/>
          <w:sz w:val="28"/>
          <w:szCs w:val="28"/>
        </w:rPr>
        <w:t>Gastro-intestinale systeemcriteria.</w:t>
      </w:r>
    </w:p>
    <w:p w14:paraId="39798FEF"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079386D0" w14:textId="77777777" w:rsidR="00EE065C" w:rsidRPr="00AE15DA" w:rsidRDefault="00EE065C" w:rsidP="0043334F">
      <w:pPr>
        <w:spacing w:before="100" w:beforeAutospacing="1" w:after="100" w:afterAutospacing="1"/>
        <w:contextualSpacing/>
        <w:jc w:val="both"/>
        <w:rPr>
          <w:rFonts w:asciiTheme="minorHAnsi" w:hAnsiTheme="minorHAnsi"/>
          <w:b/>
          <w:sz w:val="22"/>
          <w:szCs w:val="22"/>
        </w:rPr>
      </w:pPr>
    </w:p>
    <w:p w14:paraId="41A79BE0" w14:textId="77777777" w:rsidR="005D469F" w:rsidRPr="00AE15DA" w:rsidRDefault="005D469F" w:rsidP="0043334F">
      <w:pPr>
        <w:spacing w:before="100" w:beforeAutospacing="1" w:after="100" w:afterAutospacing="1"/>
        <w:contextualSpacing/>
        <w:jc w:val="both"/>
        <w:rPr>
          <w:rFonts w:asciiTheme="minorHAnsi" w:hAnsiTheme="minorHAnsi"/>
          <w:b/>
          <w:sz w:val="22"/>
          <w:szCs w:val="22"/>
        </w:rPr>
      </w:pPr>
    </w:p>
    <w:p w14:paraId="4C6E9214" w14:textId="307CEC83" w:rsidR="00EE065C" w:rsidRPr="00AE15DA" w:rsidRDefault="007A7469" w:rsidP="001C3B9F">
      <w:pPr>
        <w:spacing w:before="100" w:beforeAutospacing="1" w:after="100" w:afterAutospacing="1"/>
        <w:contextualSpacing/>
        <w:jc w:val="both"/>
        <w:rPr>
          <w:rFonts w:asciiTheme="minorHAnsi" w:hAnsiTheme="minorHAnsi" w:cstheme="minorHAnsi"/>
          <w:sz w:val="22"/>
          <w:szCs w:val="22"/>
          <w:lang w:eastAsia="en-GB"/>
        </w:rPr>
      </w:pPr>
      <w:r w:rsidRPr="00AE15DA">
        <w:rPr>
          <w:rFonts w:asciiTheme="minorHAnsi" w:hAnsiTheme="minorHAnsi"/>
          <w:b/>
          <w:sz w:val="22"/>
          <w:szCs w:val="22"/>
        </w:rPr>
        <w:t xml:space="preserve">C1. </w:t>
      </w:r>
      <w:r w:rsidR="001C3B9F" w:rsidRPr="001C3B9F">
        <w:rPr>
          <w:rFonts w:asciiTheme="minorHAnsi" w:hAnsiTheme="minorHAnsi"/>
          <w:b/>
          <w:sz w:val="22"/>
          <w:szCs w:val="22"/>
        </w:rPr>
        <w:t>Gelijktijdig gebruik van NSAID's met OAK's (vitamine K-antagonisten, directe trombineremmers, factor Xa-remmers) is niet geschikt (risico op gastro-intestinale bloeding)</w:t>
      </w:r>
    </w:p>
    <w:p w14:paraId="53ABB89D" w14:textId="77777777" w:rsidR="00C846A1" w:rsidRPr="00AE15DA" w:rsidRDefault="00C846A1" w:rsidP="0043334F">
      <w:pPr>
        <w:tabs>
          <w:tab w:val="left" w:pos="708"/>
        </w:tabs>
        <w:contextualSpacing/>
        <w:jc w:val="both"/>
        <w:rPr>
          <w:rFonts w:asciiTheme="minorHAnsi" w:hAnsiTheme="minorHAnsi" w:cstheme="minorHAnsi"/>
          <w:sz w:val="22"/>
          <w:szCs w:val="22"/>
        </w:rPr>
      </w:pPr>
    </w:p>
    <w:p w14:paraId="037CA47E" w14:textId="45087DA0" w:rsidR="001C3B9F" w:rsidRPr="001C3B9F" w:rsidRDefault="007A7469" w:rsidP="0043334F">
      <w:pPr>
        <w:tabs>
          <w:tab w:val="left" w:pos="708"/>
        </w:tabs>
        <w:contextualSpacing/>
        <w:jc w:val="both"/>
        <w:rPr>
          <w:rFonts w:asciiTheme="minorHAnsi" w:hAnsiTheme="minorHAnsi"/>
          <w:b/>
          <w:sz w:val="22"/>
          <w:szCs w:val="22"/>
        </w:rPr>
      </w:pPr>
      <w:r w:rsidRPr="00AE15DA">
        <w:rPr>
          <w:rFonts w:asciiTheme="minorHAnsi" w:hAnsiTheme="minorHAnsi"/>
          <w:b/>
          <w:sz w:val="22"/>
          <w:szCs w:val="22"/>
        </w:rPr>
        <w:t xml:space="preserve">C2. </w:t>
      </w:r>
      <w:r w:rsidR="001C3B9F" w:rsidRPr="001C3B9F">
        <w:rPr>
          <w:rFonts w:asciiTheme="minorHAnsi" w:hAnsiTheme="minorHAnsi"/>
          <w:b/>
          <w:sz w:val="22"/>
          <w:szCs w:val="22"/>
        </w:rPr>
        <w:t>Aspirine, clopidogrel, NSAID of steroïden; Het is niet geschikt voor gebruik zonder PPI bij patiënten met een voorgeschiedenis van ulcus, bij patiënten die aanvullende plaatjesaggregatieremmers krijgen, bij patiënten die gelijktijdig anticoagulantia krijgen, bij patiënten die steroïden gebruiken en bij patiënten met dyspepsie-GER-symptomen.</w:t>
      </w:r>
    </w:p>
    <w:p w14:paraId="15A2452C"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*De aanbevolen dosis PPI bij het gebruik van PPI's voor profylaxe is de hoge dosis van de PPI die eenmaal per dag op de markt de voorkeur heeft.</w:t>
      </w:r>
    </w:p>
    <w:p w14:paraId="0D44696D"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*Bij andere comorbide aandoeningen dan dyspepsie is het aangewezen om door te gaan met een hoge dosis PPI.</w:t>
      </w:r>
    </w:p>
    <w:p w14:paraId="78936CFB" w14:textId="77777777" w:rsidR="001C3B9F" w:rsidRDefault="001C3B9F" w:rsidP="001C3B9F">
      <w:pPr>
        <w:contextualSpacing/>
        <w:jc w:val="both"/>
        <w:rPr>
          <w:rFonts w:asciiTheme="minorHAnsi" w:hAnsiTheme="minorHAnsi"/>
          <w:i/>
          <w:sz w:val="22"/>
          <w:szCs w:val="22"/>
        </w:rPr>
      </w:pPr>
      <w:proofErr w:type="gramStart"/>
      <w:r w:rsidRPr="001C3B9F">
        <w:rPr>
          <w:rFonts w:asciiTheme="minorHAnsi" w:hAnsiTheme="minorHAnsi"/>
          <w:i/>
          <w:sz w:val="22"/>
          <w:szCs w:val="22"/>
        </w:rPr>
        <w:t>*Vanwege de aanwezigheid van dyspepsie die gepaard gaat met het gebruik van de bovengenoemde geneesmiddelen, kan het in gevallen met een PPI-indicatie passend zijn om een ​​tijdje een hoge PPI-dosis te gebruiken en te verlagen tot de laagste PPI-dosis wanneer de symptomen van de patiënt niet terugkeren in de opvolgen.</w:t>
      </w:r>
      <w:proofErr w:type="gramEnd"/>
    </w:p>
    <w:p w14:paraId="2533296F" w14:textId="77777777" w:rsidR="001C3B9F" w:rsidRPr="001C3B9F" w:rsidRDefault="001C3B9F" w:rsidP="001C3B9F">
      <w:pPr>
        <w:spacing w:before="100" w:beforeAutospacing="1" w:after="100" w:afterAutospacing="1"/>
        <w:contextualSpacing/>
        <w:jc w:val="both"/>
        <w:rPr>
          <w:rFonts w:asciiTheme="minorHAnsi" w:hAnsiTheme="minorHAnsi"/>
          <w:i/>
          <w:color w:val="000000" w:themeColor="text1"/>
          <w:sz w:val="22"/>
          <w:szCs w:val="22"/>
        </w:rPr>
      </w:pPr>
      <w:r w:rsidRPr="001C3B9F">
        <w:rPr>
          <w:rFonts w:asciiTheme="minorHAnsi" w:hAnsiTheme="minorHAnsi"/>
          <w:i/>
          <w:color w:val="000000" w:themeColor="text1"/>
          <w:sz w:val="22"/>
          <w:szCs w:val="22"/>
        </w:rPr>
        <w:t>* PPI-gebruik is vereist bij ouderen die chronische NSAID's gebruiken. Bij chronisch gebruik van NSAID's bij ouderen moet PPI/misoprostol worden gegeven, zelfs als de bovengenoemde risicofactoren ontbreken.</w:t>
      </w:r>
    </w:p>
    <w:p w14:paraId="36C95C4B" w14:textId="77777777" w:rsidR="001C3B9F" w:rsidRPr="001C3B9F" w:rsidRDefault="001C3B9F" w:rsidP="001C3B9F">
      <w:pPr>
        <w:spacing w:before="100" w:beforeAutospacing="1" w:after="100" w:afterAutospacing="1"/>
        <w:contextualSpacing/>
        <w:jc w:val="both"/>
        <w:rPr>
          <w:rFonts w:asciiTheme="minorHAnsi" w:hAnsiTheme="minorHAnsi"/>
          <w:i/>
          <w:color w:val="000000" w:themeColor="text1"/>
          <w:sz w:val="22"/>
          <w:szCs w:val="22"/>
        </w:rPr>
      </w:pPr>
      <w:r w:rsidRPr="001C3B9F">
        <w:rPr>
          <w:rFonts w:asciiTheme="minorHAnsi" w:hAnsiTheme="minorHAnsi"/>
          <w:i/>
          <w:color w:val="000000" w:themeColor="text1"/>
          <w:sz w:val="22"/>
          <w:szCs w:val="22"/>
        </w:rPr>
        <w:t>*Bij ouderen die kortdurende NSAID's gebruiken, kan het aangewezen zijn om gelijktijdig PPI's te geven, zelfs als de bovengenoemde risicofactoren niet aanwezig zijn.</w:t>
      </w:r>
    </w:p>
    <w:p w14:paraId="65E68255" w14:textId="77777777" w:rsidR="001C3B9F" w:rsidRPr="001C3B9F" w:rsidRDefault="001C3B9F" w:rsidP="001C3B9F">
      <w:pPr>
        <w:spacing w:before="100" w:beforeAutospacing="1" w:after="100" w:afterAutospacing="1"/>
        <w:contextualSpacing/>
        <w:jc w:val="both"/>
        <w:rPr>
          <w:rFonts w:asciiTheme="minorHAnsi" w:hAnsiTheme="minorHAnsi"/>
          <w:i/>
          <w:color w:val="000000" w:themeColor="text1"/>
          <w:sz w:val="22"/>
          <w:szCs w:val="22"/>
        </w:rPr>
      </w:pPr>
      <w:r w:rsidRPr="001C3B9F">
        <w:rPr>
          <w:rFonts w:asciiTheme="minorHAnsi" w:hAnsiTheme="minorHAnsi"/>
          <w:i/>
          <w:color w:val="000000" w:themeColor="text1"/>
          <w:sz w:val="22"/>
          <w:szCs w:val="22"/>
        </w:rPr>
        <w:t>*Bij ouderen die alleen aspirine of clopidogrel gebruiken, is het gebruik van PPI waarschijnlijk niet nodig als geen van de bovengenoemde risicofactoren aanwezig is.</w:t>
      </w:r>
    </w:p>
    <w:p w14:paraId="5722F5F5" w14:textId="77777777" w:rsidR="001C3B9F" w:rsidRPr="001C3B9F" w:rsidRDefault="001C3B9F" w:rsidP="001C3B9F">
      <w:pPr>
        <w:spacing w:before="100" w:beforeAutospacing="1" w:after="100" w:afterAutospacing="1"/>
        <w:contextualSpacing/>
        <w:jc w:val="both"/>
        <w:rPr>
          <w:rFonts w:asciiTheme="minorHAnsi" w:hAnsiTheme="minorHAnsi"/>
          <w:i/>
          <w:color w:val="000000" w:themeColor="text1"/>
          <w:sz w:val="22"/>
          <w:szCs w:val="22"/>
        </w:rPr>
      </w:pPr>
      <w:r w:rsidRPr="001C3B9F">
        <w:rPr>
          <w:rFonts w:asciiTheme="minorHAnsi" w:hAnsiTheme="minorHAnsi"/>
          <w:i/>
          <w:color w:val="000000" w:themeColor="text1"/>
          <w:sz w:val="22"/>
          <w:szCs w:val="22"/>
        </w:rPr>
        <w:t>*Er zijn onderzoeken die aantonen dat de werkzaamheid van PPI's wordt verminderd bij gebruik in combinatie met clopidogrel. Een duidelijke aanbeveling kan op dit punt echter niet worden gedaan.</w:t>
      </w:r>
    </w:p>
    <w:p w14:paraId="7342943D" w14:textId="77777777" w:rsidR="001C3B9F" w:rsidRPr="001C3B9F" w:rsidRDefault="001C3B9F" w:rsidP="001C3B9F">
      <w:pPr>
        <w:spacing w:before="100" w:beforeAutospacing="1" w:after="100" w:afterAutospacing="1"/>
        <w:contextualSpacing/>
        <w:jc w:val="both"/>
        <w:rPr>
          <w:rFonts w:asciiTheme="minorHAnsi" w:hAnsiTheme="minorHAnsi"/>
          <w:i/>
          <w:color w:val="000000" w:themeColor="text1"/>
          <w:sz w:val="22"/>
          <w:szCs w:val="22"/>
        </w:rPr>
      </w:pPr>
      <w:r w:rsidRPr="001C3B9F">
        <w:rPr>
          <w:rFonts w:asciiTheme="minorHAnsi" w:hAnsiTheme="minorHAnsi"/>
          <w:i/>
          <w:color w:val="000000" w:themeColor="text1"/>
          <w:sz w:val="22"/>
          <w:szCs w:val="22"/>
        </w:rPr>
        <w:t>*Als er een indicatie is voor PPI-gebruik bij patiënten die warfarine gebruiken, heeft een andere PPI dan omeprazol de voorkeur (omeprazol verhoogt het niveau van warfarine).</w:t>
      </w:r>
    </w:p>
    <w:p w14:paraId="45076233" w14:textId="5C3DD900" w:rsidR="00263917" w:rsidRPr="00AE15DA" w:rsidRDefault="001C3B9F" w:rsidP="001C3B9F">
      <w:pPr>
        <w:spacing w:before="100" w:beforeAutospacing="1" w:after="100" w:afterAutospacing="1"/>
        <w:contextualSpacing/>
        <w:jc w:val="both"/>
        <w:rPr>
          <w:rFonts w:asciiTheme="minorHAnsi" w:hAnsiTheme="minorHAnsi" w:cstheme="minorHAnsi"/>
          <w:sz w:val="22"/>
          <w:szCs w:val="22"/>
          <w:lang w:eastAsia="en-GB"/>
        </w:rPr>
      </w:pPr>
      <w:r w:rsidRPr="001C3B9F">
        <w:rPr>
          <w:rFonts w:asciiTheme="minorHAnsi" w:hAnsiTheme="minorHAnsi"/>
          <w:i/>
          <w:color w:val="000000" w:themeColor="text1"/>
          <w:sz w:val="22"/>
          <w:szCs w:val="22"/>
        </w:rPr>
        <w:t>* Misoprostol of hooggedoseerde H2-receptorblokkers kunnen ook de voorkeur hebben in plaats van PPI-behandeling.</w:t>
      </w:r>
    </w:p>
    <w:p w14:paraId="55744D21" w14:textId="77777777" w:rsidR="00C846A1" w:rsidRPr="00AE15DA" w:rsidRDefault="00C846A1" w:rsidP="0043334F">
      <w:pPr>
        <w:contextualSpacing/>
        <w:rPr>
          <w:rFonts w:asciiTheme="minorHAnsi" w:hAnsiTheme="minorHAnsi" w:cstheme="minorHAnsi"/>
          <w:sz w:val="22"/>
          <w:szCs w:val="22"/>
          <w:lang w:eastAsia="en-GB"/>
        </w:rPr>
      </w:pPr>
    </w:p>
    <w:p w14:paraId="69BFD4DC" w14:textId="77777777" w:rsidR="00C846A1" w:rsidRPr="00AE15DA" w:rsidRDefault="00C846A1" w:rsidP="0043334F">
      <w:pPr>
        <w:contextualSpacing/>
        <w:rPr>
          <w:rFonts w:asciiTheme="minorHAnsi" w:hAnsiTheme="minorHAnsi" w:cstheme="minorHAnsi"/>
          <w:sz w:val="22"/>
          <w:szCs w:val="22"/>
          <w:lang w:eastAsia="en-GB"/>
        </w:rPr>
      </w:pPr>
    </w:p>
    <w:p w14:paraId="73D50292" w14:textId="77777777" w:rsidR="001C3B9F" w:rsidRDefault="00E66E29" w:rsidP="001C3B9F">
      <w:pPr>
        <w:spacing w:before="100" w:beforeAutospacing="1"/>
        <w:contextualSpacing/>
        <w:jc w:val="both"/>
        <w:rPr>
          <w:rFonts w:asciiTheme="minorHAnsi" w:hAnsiTheme="minorHAnsi"/>
          <w:b/>
          <w:sz w:val="22"/>
          <w:szCs w:val="22"/>
        </w:rPr>
      </w:pPr>
      <w:r>
        <w:rPr>
          <w:rFonts w:ascii="Calibri" w:hAnsi="Calibri" w:cs="Calibri"/>
          <w:b/>
          <w:sz w:val="22"/>
          <w:szCs w:val="22"/>
        </w:rPr>
        <w:t>#</w:t>
      </w:r>
      <w:r w:rsidR="007A7469" w:rsidRPr="00AE15DA">
        <w:rPr>
          <w:rFonts w:asciiTheme="minorHAnsi" w:hAnsiTheme="minorHAnsi"/>
          <w:b/>
          <w:sz w:val="22"/>
          <w:szCs w:val="22"/>
        </w:rPr>
        <w:t xml:space="preserve">C3. </w:t>
      </w:r>
      <w:r w:rsidR="001C3B9F" w:rsidRPr="001C3B9F">
        <w:rPr>
          <w:rFonts w:asciiTheme="minorHAnsi" w:hAnsiTheme="minorHAnsi"/>
          <w:b/>
          <w:sz w:val="22"/>
          <w:szCs w:val="22"/>
        </w:rPr>
        <w:t>Aspirine of NSAID's; Patiënten met een voorgeschiedenis van een maagzweer (gecompliceerd of ongecompliceerd, maag- of duodenum) zijn niet geschikt voor chronisch gebruik zonder testen op Helicobacter pylori.</w:t>
      </w:r>
    </w:p>
    <w:p w14:paraId="7823FB6A"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*H. pylori (+) wordt gedetecteerd, moet eradicatietherapie worden gegeven.</w:t>
      </w:r>
    </w:p>
    <w:p w14:paraId="1771171C"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*Als de patiënt al een tijdje aspirine/NSAID gebruikt, is het verwachte voordeel van eradicatietherapie met H. pylori laag, maar eradicatie heeft over het algemeen de voorkeur als deze wordt gescreend en in de praktijk positief wordt bevonden.</w:t>
      </w:r>
    </w:p>
    <w:p w14:paraId="68903B8D" w14:textId="77777777" w:rsidR="001C3B9F" w:rsidRPr="001C3B9F" w:rsidRDefault="001C3B9F" w:rsidP="001C3B9F">
      <w:pPr>
        <w:contextualSpacing/>
        <w:jc w:val="both"/>
        <w:rPr>
          <w:rFonts w:asciiTheme="minorHAnsi" w:hAnsiTheme="minorHAnsi"/>
          <w:i/>
          <w:sz w:val="22"/>
          <w:szCs w:val="22"/>
        </w:rPr>
      </w:pPr>
      <w:r w:rsidRPr="001C3B9F">
        <w:rPr>
          <w:rFonts w:asciiTheme="minorHAnsi" w:hAnsiTheme="minorHAnsi"/>
          <w:i/>
          <w:sz w:val="22"/>
          <w:szCs w:val="22"/>
        </w:rPr>
        <w:t>*H. Bij populaties met een hoge prevalentie van pylori kan een "test-behandeling"-benadering geschikt zijn voor H. pylori voordat chronisch gebruik van aspirine/NSAID's wordt gestart, zelfs in gevallen zonder een voorgeschiedenis van een maagzweer in de anamnese.</w:t>
      </w:r>
    </w:p>
    <w:p w14:paraId="0DC883D3" w14:textId="00497AC6" w:rsidR="0043334F" w:rsidRPr="00AE15DA" w:rsidRDefault="001C3B9F" w:rsidP="001C3B9F">
      <w:pPr>
        <w:contextualSpacing/>
        <w:jc w:val="both"/>
        <w:rPr>
          <w:rFonts w:asciiTheme="minorHAnsi" w:hAnsiTheme="minorHAnsi" w:cstheme="minorHAnsi"/>
          <w:color w:val="000000"/>
          <w:sz w:val="22"/>
          <w:szCs w:val="22"/>
        </w:rPr>
      </w:pPr>
      <w:r w:rsidRPr="001C3B9F">
        <w:rPr>
          <w:rFonts w:asciiTheme="minorHAnsi" w:hAnsiTheme="minorHAnsi"/>
          <w:i/>
          <w:sz w:val="22"/>
          <w:szCs w:val="22"/>
        </w:rPr>
        <w:t>*Bij patiënten die chronisch clopidogrel gaan gebruiken; Zelfs als er een voorgeschiedenis is van een maagzweer (gecompliceerd of ongecompliceerd, maag- of duodenum) in de anamnese, wordt H. pylori-test en/of H. pylori-eradicatiebehandeling niet aanbevolen (theoretische of praktische toepassing).</w:t>
      </w:r>
    </w:p>
    <w:p w14:paraId="6075E3F5" w14:textId="77777777" w:rsidR="0043334F" w:rsidRPr="00AE15DA" w:rsidRDefault="0043334F" w:rsidP="0043334F">
      <w:pPr>
        <w:contextualSpacing/>
        <w:jc w:val="both"/>
        <w:rPr>
          <w:rFonts w:asciiTheme="minorHAnsi" w:hAnsiTheme="minorHAnsi" w:cstheme="minorHAnsi"/>
          <w:color w:val="000000"/>
          <w:sz w:val="22"/>
          <w:szCs w:val="22"/>
        </w:rPr>
      </w:pPr>
    </w:p>
    <w:p w14:paraId="25B71196" w14:textId="7AFCD95C" w:rsidR="006658FF" w:rsidRPr="00AE15DA" w:rsidRDefault="007A7469" w:rsidP="0043334F">
      <w:pPr>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C4. </w:t>
      </w:r>
      <w:r w:rsidR="001C3B9F" w:rsidRPr="001C3B9F">
        <w:rPr>
          <w:rFonts w:asciiTheme="minorHAnsi" w:hAnsiTheme="minorHAnsi"/>
          <w:b/>
          <w:sz w:val="22"/>
          <w:szCs w:val="22"/>
        </w:rPr>
        <w:t>Het gebruik van PPI's in de volledige therapeutische dosis gedurende langer dan 8-12 weken is niet geschikt voor de behandeling van een ongecompliceerd ulcus pepticum of erosieve peptische oesofagitis (dosisverlaging of kortere onderbreking is geïndiceerd).</w:t>
      </w:r>
    </w:p>
    <w:p w14:paraId="1C6457E9" w14:textId="77777777" w:rsidR="001C3B9F" w:rsidRPr="001C3B9F" w:rsidRDefault="001C3B9F" w:rsidP="001C3B9F">
      <w:pPr>
        <w:pStyle w:val="HTMLncedenBiimlendirilmi"/>
        <w:contextualSpacing/>
        <w:jc w:val="both"/>
        <w:rPr>
          <w:rFonts w:asciiTheme="minorHAnsi" w:hAnsiTheme="minorHAnsi" w:cs="Times New Roman"/>
          <w:i/>
          <w:color w:val="000000"/>
          <w:sz w:val="22"/>
          <w:szCs w:val="22"/>
        </w:rPr>
      </w:pPr>
      <w:r w:rsidRPr="001C3B9F">
        <w:rPr>
          <w:rFonts w:asciiTheme="minorHAnsi" w:hAnsiTheme="minorHAnsi" w:cs="Times New Roman"/>
          <w:i/>
          <w:color w:val="000000"/>
          <w:sz w:val="22"/>
          <w:szCs w:val="22"/>
        </w:rPr>
        <w:t>*De therapeutische doseringsperiode van 8-12 weken is exclusief de duur van de PPI-therapie voor de uitroeiing van H. pylori.</w:t>
      </w:r>
    </w:p>
    <w:p w14:paraId="1E6FE7E5" w14:textId="564DBAFE" w:rsidR="0043334F" w:rsidRDefault="001C3B9F" w:rsidP="001C3B9F">
      <w:pPr>
        <w:pStyle w:val="HTMLncedenBiimlendirilmi"/>
        <w:contextualSpacing/>
        <w:jc w:val="both"/>
        <w:rPr>
          <w:rFonts w:asciiTheme="minorHAnsi" w:hAnsiTheme="minorHAnsi" w:cs="Times New Roman"/>
          <w:i/>
          <w:color w:val="000000"/>
          <w:sz w:val="22"/>
          <w:szCs w:val="22"/>
        </w:rPr>
      </w:pPr>
      <w:r w:rsidRPr="001C3B9F">
        <w:rPr>
          <w:rFonts w:asciiTheme="minorHAnsi" w:hAnsiTheme="minorHAnsi" w:cs="Times New Roman"/>
          <w:i/>
          <w:color w:val="000000"/>
          <w:sz w:val="22"/>
          <w:szCs w:val="22"/>
        </w:rPr>
        <w:t>*Om het rebound-effect tijdens de stopzettingsperiode te voorkomen, is het aangewezen om de PPI's te verlagen. (bijvoorbeeld halve dosis gedurende 1 week, om de dag gedurende 1 week, daarna stoppen)</w:t>
      </w:r>
    </w:p>
    <w:p w14:paraId="7F0B78E3" w14:textId="77777777" w:rsidR="001C3B9F" w:rsidRPr="00AE15DA" w:rsidRDefault="001C3B9F" w:rsidP="001C3B9F">
      <w:pPr>
        <w:pStyle w:val="HTMLncedenBiimlendirilmi"/>
        <w:contextualSpacing/>
        <w:jc w:val="both"/>
        <w:rPr>
          <w:rFonts w:asciiTheme="minorHAnsi" w:hAnsiTheme="minorHAnsi" w:cs="Times New Roman"/>
          <w:b/>
          <w:color w:val="000000"/>
          <w:sz w:val="22"/>
          <w:szCs w:val="22"/>
        </w:rPr>
      </w:pPr>
    </w:p>
    <w:p w14:paraId="38135D5E" w14:textId="77777777" w:rsidR="001C3B9F" w:rsidRDefault="007A7469" w:rsidP="0043334F">
      <w:pPr>
        <w:pStyle w:val="HTMLncedenBiimlendirilmi"/>
        <w:contextualSpacing/>
        <w:jc w:val="both"/>
        <w:rPr>
          <w:rFonts w:asciiTheme="minorHAnsi" w:hAnsiTheme="minorHAnsi" w:cs="Times New Roman"/>
          <w:b/>
          <w:color w:val="000000"/>
          <w:sz w:val="22"/>
          <w:szCs w:val="22"/>
        </w:rPr>
      </w:pPr>
      <w:r w:rsidRPr="00AE15DA">
        <w:rPr>
          <w:rFonts w:asciiTheme="minorHAnsi" w:hAnsiTheme="minorHAnsi" w:cs="Times New Roman"/>
          <w:b/>
          <w:color w:val="000000"/>
          <w:sz w:val="22"/>
          <w:szCs w:val="22"/>
        </w:rPr>
        <w:t xml:space="preserve">C5. </w:t>
      </w:r>
      <w:r w:rsidR="001C3B9F" w:rsidRPr="001C3B9F">
        <w:rPr>
          <w:rFonts w:asciiTheme="minorHAnsi" w:hAnsiTheme="minorHAnsi" w:cs="Times New Roman"/>
          <w:b/>
          <w:color w:val="000000"/>
          <w:sz w:val="22"/>
          <w:szCs w:val="22"/>
        </w:rPr>
        <w:t>PPI-gebruik is niet geschikt vanwege meervoudig drugsgebruik (geen voordeel, mogelijke schade)</w:t>
      </w:r>
    </w:p>
    <w:p w14:paraId="5C7B6D1B" w14:textId="5E961215" w:rsidR="00FF4066" w:rsidRDefault="001C3B9F" w:rsidP="0043334F">
      <w:pPr>
        <w:spacing w:before="100" w:beforeAutospacing="1" w:after="100" w:afterAutospacing="1"/>
        <w:contextualSpacing/>
        <w:jc w:val="both"/>
        <w:rPr>
          <w:rFonts w:asciiTheme="minorHAnsi" w:hAnsiTheme="minorHAnsi"/>
          <w:color w:val="000000"/>
          <w:sz w:val="22"/>
          <w:szCs w:val="22"/>
        </w:rPr>
      </w:pPr>
      <w:r w:rsidRPr="001C3B9F">
        <w:rPr>
          <w:rFonts w:asciiTheme="minorHAnsi" w:hAnsiTheme="minorHAnsi"/>
          <w:color w:val="000000"/>
          <w:sz w:val="22"/>
          <w:szCs w:val="22"/>
        </w:rPr>
        <w:t>*Er is geen indicatie van "meervoudig drugsgebruik" bij de indicaties voor PPI-gebruik. Aan de andere kant is chronisch PPI-gebruik een risicofactor voor chronisch nierfalen, fracturen, verhoogd risico op dementie, verhoogde frequentie van C. difficile-infectie, vitamine B12-tekort, hypomagnesiëmie, darminfecties - bacteriële overgroei.</w:t>
      </w:r>
    </w:p>
    <w:p w14:paraId="3E409F46" w14:textId="77777777" w:rsidR="001C3B9F" w:rsidRPr="00AE15DA" w:rsidRDefault="001C3B9F" w:rsidP="0043334F">
      <w:pPr>
        <w:spacing w:before="100" w:beforeAutospacing="1" w:after="100" w:afterAutospacing="1"/>
        <w:contextualSpacing/>
        <w:jc w:val="both"/>
        <w:rPr>
          <w:rFonts w:asciiTheme="minorHAnsi" w:hAnsiTheme="minorHAnsi"/>
          <w:b/>
          <w:sz w:val="22"/>
          <w:szCs w:val="22"/>
          <w:shd w:val="clear" w:color="auto" w:fill="FFFFFF"/>
        </w:rPr>
      </w:pPr>
    </w:p>
    <w:p w14:paraId="39AC0902" w14:textId="0CEFB011" w:rsidR="00A97094" w:rsidRPr="00AE15DA" w:rsidRDefault="007A7469" w:rsidP="001C3B9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shd w:val="clear" w:color="auto" w:fill="FFFFFF"/>
        </w:rPr>
        <w:t xml:space="preserve">C6. </w:t>
      </w:r>
      <w:r w:rsidR="001C3B9F" w:rsidRPr="001C3B9F">
        <w:rPr>
          <w:rFonts w:asciiTheme="minorHAnsi" w:hAnsiTheme="minorHAnsi"/>
          <w:b/>
          <w:sz w:val="22"/>
          <w:szCs w:val="22"/>
          <w:shd w:val="clear" w:color="auto" w:fill="FFFFFF"/>
        </w:rPr>
        <w:t xml:space="preserve">Het gebruik van anticholinergische GI-krampstillers (bijv. hyoscyamine) is niet geschikt </w:t>
      </w:r>
      <w:r w:rsidR="001C3B9F" w:rsidRPr="001C3B9F">
        <w:rPr>
          <w:rFonts w:asciiTheme="minorHAnsi" w:hAnsiTheme="minorHAnsi"/>
          <w:b/>
          <w:sz w:val="22"/>
          <w:szCs w:val="22"/>
          <w:shd w:val="clear" w:color="auto" w:fill="FFFFFF"/>
        </w:rPr>
        <w:t>verhoogde anticholinerge bijwerkingen (duizeligheid, verminderde cognitieve vaardigheden, wazig zien, aritmie, opgeblazen gevoel - obstipatie) en bep</w:t>
      </w:r>
      <w:r w:rsidR="001C3B9F">
        <w:rPr>
          <w:rFonts w:asciiTheme="minorHAnsi" w:hAnsiTheme="minorHAnsi"/>
          <w:b/>
          <w:sz w:val="22"/>
          <w:szCs w:val="22"/>
          <w:shd w:val="clear" w:color="auto" w:fill="FFFFFF"/>
        </w:rPr>
        <w:t>erkt gebruik bij ouderen</w:t>
      </w:r>
    </w:p>
    <w:p w14:paraId="17E256AA" w14:textId="77777777" w:rsidR="00A97094" w:rsidRPr="00AE15DA" w:rsidRDefault="00A97094" w:rsidP="0043334F">
      <w:pPr>
        <w:spacing w:before="100" w:beforeAutospacing="1" w:after="100" w:afterAutospacing="1"/>
        <w:contextualSpacing/>
        <w:rPr>
          <w:rFonts w:asciiTheme="minorHAnsi" w:hAnsiTheme="minorHAnsi"/>
          <w:b/>
          <w:sz w:val="22"/>
          <w:szCs w:val="22"/>
        </w:rPr>
      </w:pPr>
    </w:p>
    <w:p w14:paraId="63EB167C" w14:textId="77777777" w:rsidR="001C3B9F" w:rsidRDefault="007A7469" w:rsidP="001C3B9F">
      <w:pPr>
        <w:spacing w:before="100" w:beforeAutospacing="1" w:after="100" w:afterAutospacing="1"/>
        <w:contextualSpacing/>
        <w:rPr>
          <w:rFonts w:asciiTheme="minorHAnsi" w:hAnsiTheme="minorHAnsi"/>
          <w:b/>
          <w:sz w:val="22"/>
          <w:szCs w:val="22"/>
        </w:rPr>
      </w:pPr>
      <w:r w:rsidRPr="00AE15DA">
        <w:rPr>
          <w:rFonts w:asciiTheme="minorHAnsi" w:hAnsiTheme="minorHAnsi"/>
          <w:b/>
          <w:sz w:val="22"/>
          <w:szCs w:val="22"/>
        </w:rPr>
        <w:t xml:space="preserve">C7. </w:t>
      </w:r>
      <w:r w:rsidR="001C3B9F" w:rsidRPr="001C3B9F">
        <w:rPr>
          <w:rFonts w:asciiTheme="minorHAnsi" w:hAnsiTheme="minorHAnsi"/>
          <w:b/>
          <w:sz w:val="22"/>
          <w:szCs w:val="22"/>
        </w:rPr>
        <w:t>Bij patiënten met chronische constipatie, als er alternatieven zijn die deze bijwerking niet hebben, is het gebruik van geneesmiddelen die constipatie kunnen veroorzaken (geneesmiddelen met sterke anticholinerge effecten, oraal ijzer, opioïden, verapamil, aluminiumantacida) niet geschikt (risico van verhoogde constipatie).</w:t>
      </w:r>
    </w:p>
    <w:p w14:paraId="0DFA34DD" w14:textId="071FE649" w:rsidR="0043334F" w:rsidRPr="00AE15DA" w:rsidRDefault="001C3B9F" w:rsidP="0043334F">
      <w:pPr>
        <w:spacing w:after="100" w:afterAutospacing="1"/>
        <w:contextualSpacing/>
        <w:jc w:val="both"/>
        <w:rPr>
          <w:rFonts w:asciiTheme="minorHAnsi" w:hAnsiTheme="minorHAnsi" w:cstheme="minorHAnsi"/>
          <w:sz w:val="22"/>
          <w:szCs w:val="22"/>
          <w:lang w:eastAsia="en-GB"/>
        </w:rPr>
      </w:pPr>
      <w:r w:rsidRPr="001C3B9F">
        <w:rPr>
          <w:rFonts w:asciiTheme="minorHAnsi" w:hAnsiTheme="minorHAnsi"/>
          <w:i/>
          <w:sz w:val="22"/>
          <w:szCs w:val="22"/>
        </w:rPr>
        <w:t>* Andere antihypertensiva met calciumkanaalblokkers dan verapamil kunnen ook constipatie veroorzaken. Dit effect is echter meer uitgesproken bij respectievelijk verapamil en nifedipine.</w:t>
      </w:r>
    </w:p>
    <w:p w14:paraId="352D7D81" w14:textId="77777777" w:rsidR="00364C7E" w:rsidRPr="00AE15DA" w:rsidRDefault="00364C7E" w:rsidP="0043334F">
      <w:pPr>
        <w:spacing w:before="100" w:beforeAutospacing="1" w:after="100" w:afterAutospacing="1"/>
        <w:contextualSpacing/>
        <w:jc w:val="both"/>
        <w:rPr>
          <w:rFonts w:asciiTheme="minorHAnsi" w:hAnsiTheme="minorHAnsi" w:cstheme="minorHAnsi"/>
          <w:color w:val="000000"/>
          <w:sz w:val="22"/>
          <w:szCs w:val="22"/>
        </w:rPr>
      </w:pPr>
    </w:p>
    <w:p w14:paraId="2D348053" w14:textId="5BE32A4D" w:rsidR="007A7469" w:rsidRPr="00AE15DA" w:rsidRDefault="007A7469"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 xml:space="preserve">C8. </w:t>
      </w:r>
      <w:r w:rsidR="001C3B9F" w:rsidRPr="001C3B9F">
        <w:rPr>
          <w:rFonts w:asciiTheme="minorHAnsi" w:hAnsiTheme="minorHAnsi"/>
          <w:b/>
          <w:color w:val="000000"/>
          <w:sz w:val="22"/>
          <w:szCs w:val="22"/>
        </w:rPr>
        <w:t>Het gebruik van metoclopramide of trimethobenzamide in de eerste lijn van anti-emetische behandeling bij ouderen is niet geschikt (vanwege extrapiramidale bijwerkingen, bijwerkingen van rusteloosheid)</w:t>
      </w:r>
    </w:p>
    <w:p w14:paraId="1F31E47D" w14:textId="77777777" w:rsidR="001C3B9F" w:rsidRPr="001C3B9F" w:rsidRDefault="001C3B9F" w:rsidP="001C3B9F">
      <w:pPr>
        <w:shd w:val="clear" w:color="auto" w:fill="FFFFFF"/>
        <w:contextualSpacing/>
        <w:jc w:val="both"/>
        <w:textAlignment w:val="top"/>
        <w:rPr>
          <w:rFonts w:asciiTheme="minorHAnsi" w:hAnsiTheme="minorHAnsi"/>
          <w:i/>
          <w:sz w:val="22"/>
          <w:szCs w:val="22"/>
        </w:rPr>
      </w:pPr>
      <w:r w:rsidRPr="001C3B9F">
        <w:rPr>
          <w:rFonts w:asciiTheme="minorHAnsi" w:hAnsiTheme="minorHAnsi"/>
          <w:i/>
          <w:sz w:val="22"/>
          <w:szCs w:val="22"/>
        </w:rPr>
        <w:t>*Als anti-emeticum zijn serotonine 5HT3-receptorantagonisten de veiligste middelen bij ouderen.</w:t>
      </w:r>
    </w:p>
    <w:p w14:paraId="431312DA" w14:textId="58175E29" w:rsidR="00567CAF" w:rsidRPr="00AE15DA" w:rsidRDefault="001C3B9F" w:rsidP="001C3B9F">
      <w:pPr>
        <w:shd w:val="clear" w:color="auto" w:fill="FFFFFF"/>
        <w:contextualSpacing/>
        <w:jc w:val="both"/>
        <w:textAlignment w:val="top"/>
        <w:rPr>
          <w:rFonts w:asciiTheme="minorHAnsi" w:hAnsiTheme="minorHAnsi"/>
          <w:i/>
          <w:sz w:val="22"/>
          <w:szCs w:val="22"/>
        </w:rPr>
      </w:pPr>
      <w:r w:rsidRPr="001C3B9F">
        <w:rPr>
          <w:rFonts w:asciiTheme="minorHAnsi" w:hAnsiTheme="minorHAnsi"/>
          <w:i/>
          <w:sz w:val="22"/>
          <w:szCs w:val="22"/>
        </w:rPr>
        <w:t>*Metoclopramide en trimethobenzamide zijn gecontra-indiceerd bij patiënten met parkinsonisme.</w:t>
      </w:r>
    </w:p>
    <w:p w14:paraId="4B83C59E" w14:textId="77777777" w:rsidR="001D5654" w:rsidRPr="00AE15DA" w:rsidRDefault="001D5654" w:rsidP="0043334F">
      <w:pPr>
        <w:spacing w:before="100" w:beforeAutospacing="1" w:after="100" w:afterAutospacing="1"/>
        <w:contextualSpacing/>
        <w:jc w:val="both"/>
        <w:rPr>
          <w:rFonts w:asciiTheme="minorHAnsi" w:hAnsiTheme="minorHAnsi"/>
          <w:b/>
          <w:color w:val="000000"/>
          <w:sz w:val="22"/>
          <w:szCs w:val="22"/>
        </w:rPr>
      </w:pPr>
    </w:p>
    <w:p w14:paraId="19412B46" w14:textId="77777777" w:rsidR="00642443" w:rsidRPr="00AE15DA" w:rsidRDefault="00642443" w:rsidP="0043334F">
      <w:pPr>
        <w:spacing w:before="100" w:beforeAutospacing="1" w:after="100" w:afterAutospacing="1"/>
        <w:contextualSpacing/>
        <w:jc w:val="both"/>
        <w:rPr>
          <w:rFonts w:asciiTheme="minorHAnsi" w:hAnsiTheme="minorHAnsi"/>
          <w:b/>
          <w:color w:val="000000"/>
          <w:sz w:val="22"/>
          <w:szCs w:val="22"/>
        </w:rPr>
      </w:pPr>
    </w:p>
    <w:p w14:paraId="7425CCFB" w14:textId="51E138A3" w:rsidR="007A7469" w:rsidRPr="00AE15DA" w:rsidRDefault="007A7469"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lastRenderedPageBreak/>
        <w:t xml:space="preserve">C9. </w:t>
      </w:r>
      <w:r w:rsidR="001C3B9F" w:rsidRPr="001C3B9F">
        <w:rPr>
          <w:rFonts w:asciiTheme="minorHAnsi" w:hAnsiTheme="minorHAnsi"/>
          <w:b/>
          <w:color w:val="000000"/>
          <w:sz w:val="22"/>
          <w:szCs w:val="22"/>
        </w:rPr>
        <w:t>Het gebruik van magnesiumpreparaten als laxeermiddelen of maagzuurremmers is niet geschikt bij patiënten met een GFR &lt; 30 ml/min/1,73 m2 (risico op hypermagnesiëmie)</w:t>
      </w:r>
    </w:p>
    <w:p w14:paraId="05D40360" w14:textId="77777777" w:rsidR="00316725" w:rsidRPr="00AE15DA" w:rsidRDefault="007A7469" w:rsidP="0043334F">
      <w:pPr>
        <w:spacing w:before="100" w:beforeAutospacing="1" w:after="100" w:afterAutospacing="1"/>
        <w:contextualSpacing/>
        <w:jc w:val="both"/>
        <w:rPr>
          <w:rFonts w:asciiTheme="minorHAnsi" w:hAnsiTheme="minorHAnsi"/>
          <w:color w:val="000000" w:themeColor="text1"/>
          <w:sz w:val="22"/>
          <w:szCs w:val="22"/>
          <w:vertAlign w:val="superscript"/>
        </w:rPr>
      </w:pPr>
      <w:r w:rsidRPr="00AE15DA">
        <w:rPr>
          <w:rFonts w:asciiTheme="minorHAnsi" w:hAnsiTheme="minorHAnsi"/>
          <w:color w:val="000000" w:themeColor="text1"/>
          <w:sz w:val="22"/>
          <w:szCs w:val="22"/>
          <w:vertAlign w:val="superscript"/>
        </w:rPr>
        <w:t xml:space="preserve"> </w:t>
      </w:r>
    </w:p>
    <w:p w14:paraId="31921F57" w14:textId="77777777" w:rsidR="00642443" w:rsidRPr="00AE15DA" w:rsidRDefault="00642443" w:rsidP="0043334F">
      <w:pPr>
        <w:spacing w:before="100" w:beforeAutospacing="1" w:after="100" w:afterAutospacing="1"/>
        <w:contextualSpacing/>
        <w:jc w:val="both"/>
        <w:rPr>
          <w:rFonts w:asciiTheme="minorHAnsi" w:eastAsiaTheme="majorEastAsia" w:hAnsiTheme="minorHAnsi" w:cstheme="minorHAnsi"/>
          <w:i/>
          <w:color w:val="000000"/>
          <w:sz w:val="22"/>
          <w:szCs w:val="22"/>
        </w:rPr>
      </w:pPr>
    </w:p>
    <w:p w14:paraId="4DC92B0C" w14:textId="0A5185FB" w:rsidR="004816D3" w:rsidRPr="00AE15DA" w:rsidRDefault="00642443" w:rsidP="0043334F">
      <w:pPr>
        <w:contextualSpacing/>
        <w:jc w:val="both"/>
        <w:rPr>
          <w:rFonts w:asciiTheme="minorHAnsi" w:hAnsiTheme="minorHAnsi"/>
          <w:b/>
          <w:sz w:val="28"/>
          <w:szCs w:val="28"/>
        </w:rPr>
      </w:pPr>
      <w:r w:rsidRPr="00AE15DA">
        <w:rPr>
          <w:rFonts w:asciiTheme="minorHAnsi" w:hAnsiTheme="minorHAnsi"/>
          <w:b/>
          <w:sz w:val="28"/>
          <w:szCs w:val="28"/>
        </w:rPr>
        <w:t xml:space="preserve">D: </w:t>
      </w:r>
      <w:r w:rsidR="001C3B9F" w:rsidRPr="001C3B9F">
        <w:rPr>
          <w:rFonts w:asciiTheme="minorHAnsi" w:hAnsiTheme="minorHAnsi"/>
          <w:b/>
          <w:sz w:val="28"/>
          <w:szCs w:val="28"/>
        </w:rPr>
        <w:t>Criteria voor het ademhalingssysteem.</w:t>
      </w:r>
    </w:p>
    <w:p w14:paraId="170BE77F" w14:textId="77777777" w:rsidR="00A97094" w:rsidRPr="00AE15DA" w:rsidRDefault="00A97094" w:rsidP="0043334F">
      <w:pPr>
        <w:spacing w:before="100" w:beforeAutospacing="1" w:after="100" w:afterAutospacing="1"/>
        <w:contextualSpacing/>
        <w:jc w:val="both"/>
        <w:rPr>
          <w:rFonts w:asciiTheme="minorHAnsi" w:hAnsiTheme="minorHAnsi"/>
          <w:b/>
          <w:sz w:val="22"/>
          <w:szCs w:val="22"/>
        </w:rPr>
      </w:pPr>
    </w:p>
    <w:p w14:paraId="3CBD1DAD" w14:textId="77777777" w:rsidR="001C3B9F"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D1</w:t>
      </w:r>
      <w:r w:rsidR="004816D3" w:rsidRPr="00AE15DA">
        <w:rPr>
          <w:rFonts w:asciiTheme="minorHAnsi" w:hAnsiTheme="minorHAnsi"/>
          <w:b/>
          <w:sz w:val="22"/>
          <w:szCs w:val="22"/>
        </w:rPr>
        <w:t xml:space="preserve">. </w:t>
      </w:r>
      <w:r w:rsidR="001C3B9F" w:rsidRPr="001C3B9F">
        <w:rPr>
          <w:rFonts w:asciiTheme="minorHAnsi" w:hAnsiTheme="minorHAnsi"/>
          <w:b/>
          <w:sz w:val="22"/>
          <w:szCs w:val="22"/>
        </w:rPr>
        <w:t>Het gebruik van antimuscarine-luchtwegverwijders (ipratropium, tiotropium) is niet geschikt bij patiënten met nauwekamerhoekglaucoom of obstructie van de uitstroom van urine (risico op verergering van glaucoom en urineretentie)</w:t>
      </w:r>
    </w:p>
    <w:p w14:paraId="6DD5AEA3" w14:textId="25859317" w:rsidR="00642443" w:rsidRPr="00AE15DA" w:rsidRDefault="001C3B9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r w:rsidRPr="001C3B9F">
        <w:rPr>
          <w:rFonts w:asciiTheme="minorHAnsi" w:hAnsiTheme="minorHAnsi"/>
          <w:bCs/>
          <w:i/>
          <w:color w:val="000000" w:themeColor="text1"/>
          <w:sz w:val="22"/>
          <w:szCs w:val="22"/>
        </w:rPr>
        <w:t>*Obstructieve LUTS-symptomen (symptomen van de lagere urinewegen) die gepaard gaan met goedaardige prostaathyperplasie komen vaak voor bij oudere mannen. In gevallen met milde obstructieve symptomen kan de arts antimuscarine-luchtwegverwijders gebruiken met nauwgezette klinische follow-up. Wat de bijwerkingen van urineretentie betreft, zijn gevallen met PMR &gt;150 ml bijzonder riskant. (Niet geschikt voor gebruik in koffers met &gt;150 ml)</w:t>
      </w:r>
    </w:p>
    <w:p w14:paraId="5AA263E7" w14:textId="77777777" w:rsidR="00A97094" w:rsidRPr="00AE15DA" w:rsidRDefault="00A97094" w:rsidP="0043334F">
      <w:pPr>
        <w:contextualSpacing/>
        <w:rPr>
          <w:rFonts w:asciiTheme="minorHAnsi" w:hAnsiTheme="minorHAnsi" w:cstheme="minorHAnsi"/>
          <w:sz w:val="22"/>
          <w:szCs w:val="22"/>
        </w:rPr>
      </w:pPr>
    </w:p>
    <w:p w14:paraId="22DF858A" w14:textId="30211F34" w:rsidR="00112690" w:rsidRPr="00AE15DA" w:rsidRDefault="00112690" w:rsidP="0043334F">
      <w:pPr>
        <w:contextualSpacing/>
        <w:rPr>
          <w:rFonts w:asciiTheme="minorHAnsi" w:hAnsiTheme="minorHAnsi" w:cstheme="minorHAnsi"/>
          <w:sz w:val="22"/>
          <w:szCs w:val="22"/>
        </w:rPr>
      </w:pPr>
      <w:r w:rsidRPr="00AE15DA">
        <w:rPr>
          <w:rFonts w:asciiTheme="minorHAnsi" w:hAnsiTheme="minorHAnsi"/>
          <w:b/>
          <w:color w:val="000000"/>
          <w:sz w:val="22"/>
          <w:szCs w:val="22"/>
        </w:rPr>
        <w:t xml:space="preserve">D2. </w:t>
      </w:r>
      <w:r w:rsidR="001C3B9F" w:rsidRPr="001C3B9F">
        <w:rPr>
          <w:rFonts w:asciiTheme="minorHAnsi" w:hAnsiTheme="minorHAnsi"/>
          <w:b/>
          <w:color w:val="000000"/>
          <w:sz w:val="22"/>
          <w:szCs w:val="22"/>
        </w:rPr>
        <w:t>Theofylline is niet geschikt voor de onderhoudsbehandeling van COPD of astma bronchialeen (vanwege de smalle therapeutische index en het hoge risico op slapeloosheid, aritmie bij ouderen).</w:t>
      </w:r>
    </w:p>
    <w:p w14:paraId="45B05150" w14:textId="77777777" w:rsidR="00FA22B8" w:rsidRPr="00AE15DA" w:rsidRDefault="00FA22B8" w:rsidP="0043334F">
      <w:pPr>
        <w:pStyle w:val="HTMLncedenBiimlendirilmi"/>
        <w:contextualSpacing/>
        <w:jc w:val="both"/>
        <w:rPr>
          <w:rFonts w:asciiTheme="minorHAnsi" w:hAnsiTheme="minorHAnsi" w:cstheme="minorHAnsi"/>
          <w:color w:val="000000"/>
          <w:sz w:val="22"/>
          <w:szCs w:val="22"/>
        </w:rPr>
      </w:pPr>
    </w:p>
    <w:p w14:paraId="182C41F5" w14:textId="77777777" w:rsidR="007B4B4E" w:rsidRPr="00AE15DA" w:rsidRDefault="007B4B4E" w:rsidP="0043334F">
      <w:pPr>
        <w:pStyle w:val="HTMLncedenBiimlendirilmi"/>
        <w:contextualSpacing/>
        <w:jc w:val="both"/>
        <w:rPr>
          <w:rFonts w:asciiTheme="minorHAnsi" w:hAnsiTheme="minorHAnsi" w:cstheme="minorHAnsi"/>
          <w:color w:val="000000"/>
          <w:sz w:val="22"/>
          <w:szCs w:val="22"/>
        </w:rPr>
      </w:pPr>
    </w:p>
    <w:p w14:paraId="77E9A716" w14:textId="2088D5B2" w:rsidR="00642443" w:rsidRPr="00AE15DA" w:rsidRDefault="00112690" w:rsidP="001C3B9F">
      <w:pPr>
        <w:contextualSpacing/>
        <w:jc w:val="both"/>
        <w:rPr>
          <w:rFonts w:asciiTheme="minorHAnsi" w:hAnsiTheme="minorHAnsi" w:cstheme="minorHAnsi"/>
          <w:sz w:val="22"/>
          <w:szCs w:val="22"/>
          <w:lang w:eastAsia="en-GB"/>
        </w:rPr>
      </w:pPr>
      <w:r w:rsidRPr="00AE15DA">
        <w:rPr>
          <w:rFonts w:asciiTheme="minorHAnsi" w:hAnsiTheme="minorHAnsi"/>
          <w:b/>
          <w:sz w:val="22"/>
          <w:szCs w:val="22"/>
        </w:rPr>
        <w:t xml:space="preserve">D3. </w:t>
      </w:r>
      <w:r w:rsidR="001C3B9F" w:rsidRPr="001C3B9F">
        <w:rPr>
          <w:rFonts w:asciiTheme="minorHAnsi" w:hAnsiTheme="minorHAnsi"/>
          <w:b/>
          <w:sz w:val="22"/>
          <w:szCs w:val="22"/>
        </w:rPr>
        <w:t>Systemische corticosteroïden in plaats van inhalatiecorticosteroïden zijn niet geschikt voor onderhoudstherapie bij matige tot ernstige COPD (lange onnodige blootstelling aan systemische corticosteroïden; effectieve inhalatietherapieën zijn beschikbaar)</w:t>
      </w:r>
    </w:p>
    <w:p w14:paraId="6513243B" w14:textId="77777777" w:rsidR="00364C7E" w:rsidRPr="00AE15DA" w:rsidRDefault="00364C7E" w:rsidP="0043334F">
      <w:pPr>
        <w:contextualSpacing/>
        <w:jc w:val="both"/>
        <w:rPr>
          <w:rFonts w:asciiTheme="minorHAnsi" w:hAnsiTheme="minorHAnsi"/>
          <w:b/>
          <w:i/>
          <w:color w:val="4472C4" w:themeColor="accent5"/>
          <w:sz w:val="22"/>
          <w:szCs w:val="22"/>
          <w:u w:val="single"/>
        </w:rPr>
      </w:pPr>
    </w:p>
    <w:p w14:paraId="2A61E32C" w14:textId="0E600435" w:rsidR="004816D3" w:rsidRPr="00AE15DA" w:rsidRDefault="00642443" w:rsidP="0043334F">
      <w:pPr>
        <w:contextualSpacing/>
        <w:jc w:val="both"/>
        <w:rPr>
          <w:rFonts w:asciiTheme="minorHAnsi" w:hAnsiTheme="minorHAnsi"/>
          <w:b/>
          <w:sz w:val="28"/>
          <w:szCs w:val="28"/>
        </w:rPr>
      </w:pPr>
      <w:r w:rsidRPr="00AE15DA">
        <w:rPr>
          <w:rFonts w:asciiTheme="minorHAnsi" w:hAnsiTheme="minorHAnsi"/>
          <w:b/>
          <w:sz w:val="28"/>
          <w:szCs w:val="28"/>
        </w:rPr>
        <w:t>E</w:t>
      </w:r>
      <w:r w:rsidR="00B125CB" w:rsidRPr="00AE15DA">
        <w:rPr>
          <w:rFonts w:asciiTheme="minorHAnsi" w:hAnsiTheme="minorHAnsi"/>
          <w:b/>
          <w:sz w:val="28"/>
          <w:szCs w:val="28"/>
        </w:rPr>
        <w:t>:</w:t>
      </w:r>
      <w:r w:rsidRPr="00AE15DA">
        <w:rPr>
          <w:rFonts w:asciiTheme="minorHAnsi" w:hAnsiTheme="minorHAnsi"/>
          <w:b/>
          <w:sz w:val="28"/>
          <w:szCs w:val="28"/>
        </w:rPr>
        <w:t xml:space="preserve"> </w:t>
      </w:r>
      <w:r w:rsidR="001C3B9F" w:rsidRPr="001C3B9F">
        <w:rPr>
          <w:rFonts w:asciiTheme="minorHAnsi" w:hAnsiTheme="minorHAnsi"/>
          <w:b/>
          <w:sz w:val="28"/>
          <w:szCs w:val="28"/>
        </w:rPr>
        <w:t>Criteria voor het bewegingsapparaat en pijnstillers.</w:t>
      </w:r>
    </w:p>
    <w:p w14:paraId="10D7C6E0" w14:textId="77777777" w:rsidR="00A97094" w:rsidRPr="00AE15DA" w:rsidRDefault="00A97094" w:rsidP="0043334F">
      <w:pPr>
        <w:contextualSpacing/>
        <w:jc w:val="both"/>
        <w:rPr>
          <w:rFonts w:asciiTheme="minorHAnsi" w:hAnsiTheme="minorHAnsi"/>
          <w:b/>
          <w:sz w:val="28"/>
          <w:szCs w:val="28"/>
        </w:rPr>
      </w:pPr>
    </w:p>
    <w:p w14:paraId="53A4C80A" w14:textId="08F8F7BE" w:rsidR="001C3B9F" w:rsidRDefault="004816D3" w:rsidP="001C3B9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E1. </w:t>
      </w:r>
      <w:r w:rsidR="001C3B9F" w:rsidRPr="001C3B9F">
        <w:rPr>
          <w:rFonts w:asciiTheme="minorHAnsi" w:hAnsiTheme="minorHAnsi"/>
          <w:b/>
          <w:sz w:val="22"/>
          <w:szCs w:val="22"/>
        </w:rPr>
        <w:t xml:space="preserve">Het is niet </w:t>
      </w:r>
      <w:r w:rsidR="001C3B9F">
        <w:rPr>
          <w:rFonts w:asciiTheme="minorHAnsi" w:hAnsiTheme="minorHAnsi"/>
          <w:b/>
          <w:sz w:val="22"/>
          <w:szCs w:val="22"/>
        </w:rPr>
        <w:t>geschikt</w:t>
      </w:r>
      <w:r w:rsidR="001C3B9F" w:rsidRPr="001C3B9F">
        <w:rPr>
          <w:rFonts w:asciiTheme="minorHAnsi" w:hAnsiTheme="minorHAnsi"/>
          <w:b/>
          <w:sz w:val="22"/>
          <w:szCs w:val="22"/>
        </w:rPr>
        <w:t xml:space="preserve"> om NSAID's langer dan 3 maanden te gebruiken in aanwezigheid van een alternatieve behandeling.</w:t>
      </w:r>
    </w:p>
    <w:p w14:paraId="00769CA2" w14:textId="77777777" w:rsidR="001C3B9F" w:rsidRPr="001C3B9F" w:rsidRDefault="001C3B9F" w:rsidP="001C3B9F">
      <w:pPr>
        <w:contextualSpacing/>
        <w:jc w:val="both"/>
        <w:rPr>
          <w:rFonts w:asciiTheme="minorHAnsi" w:hAnsiTheme="minorHAnsi"/>
          <w:sz w:val="22"/>
          <w:szCs w:val="22"/>
        </w:rPr>
      </w:pPr>
      <w:r w:rsidRPr="001C3B9F">
        <w:rPr>
          <w:rFonts w:asciiTheme="minorHAnsi" w:hAnsiTheme="minorHAnsi"/>
          <w:sz w:val="22"/>
          <w:szCs w:val="22"/>
        </w:rPr>
        <w:t>*Paracetamol moet eerst worden toegepast bij artrosepijn en eenvoudige pijn (musculoskeletaal systeem, hoofdpijn, enz.) (een combinatie van paracetamolbehandeling met metamizol, een lage dosis codeïne/tramadol kan worden overwogen).</w:t>
      </w:r>
    </w:p>
    <w:p w14:paraId="616396BE" w14:textId="77777777" w:rsidR="001C3B9F" w:rsidRPr="001C3B9F" w:rsidRDefault="001C3B9F" w:rsidP="001C3B9F">
      <w:pPr>
        <w:contextualSpacing/>
        <w:jc w:val="both"/>
        <w:rPr>
          <w:rFonts w:asciiTheme="minorHAnsi" w:hAnsiTheme="minorHAnsi"/>
          <w:sz w:val="22"/>
          <w:szCs w:val="22"/>
        </w:rPr>
      </w:pPr>
      <w:r w:rsidRPr="001C3B9F">
        <w:rPr>
          <w:rFonts w:asciiTheme="minorHAnsi" w:hAnsiTheme="minorHAnsi"/>
          <w:sz w:val="22"/>
          <w:szCs w:val="22"/>
        </w:rPr>
        <w:t>*Patiënten die NSAID's gebruiken, moeten nauwlettend worden gevolgd in termen van bijwerkingen (nefropathie, HT, hartfalen, CV-voorval).</w:t>
      </w:r>
    </w:p>
    <w:p w14:paraId="449AD117" w14:textId="77777777" w:rsidR="001C3B9F" w:rsidRPr="001C3B9F" w:rsidRDefault="001C3B9F" w:rsidP="001C3B9F">
      <w:pPr>
        <w:contextualSpacing/>
        <w:jc w:val="both"/>
        <w:rPr>
          <w:rFonts w:asciiTheme="minorHAnsi" w:hAnsiTheme="minorHAnsi"/>
          <w:sz w:val="22"/>
          <w:szCs w:val="22"/>
        </w:rPr>
      </w:pPr>
      <w:r w:rsidRPr="001C3B9F">
        <w:rPr>
          <w:rFonts w:asciiTheme="minorHAnsi" w:hAnsiTheme="minorHAnsi"/>
          <w:sz w:val="22"/>
          <w:szCs w:val="22"/>
        </w:rPr>
        <w:t>*Indomethacine heeft niet de voorkeur bij gebruik van NSAID's (meer CZS en andere systeembijwerkingen bij ouderen in vergelijking met andere NSAID's)</w:t>
      </w:r>
    </w:p>
    <w:p w14:paraId="5512E98B" w14:textId="02542B0A" w:rsidR="004D50E2" w:rsidRPr="00AE15DA" w:rsidRDefault="001C3B9F" w:rsidP="001C3B9F">
      <w:pPr>
        <w:contextualSpacing/>
        <w:jc w:val="both"/>
        <w:rPr>
          <w:rFonts w:asciiTheme="minorHAnsi" w:hAnsiTheme="minorHAnsi"/>
          <w:i/>
          <w:sz w:val="22"/>
          <w:szCs w:val="22"/>
        </w:rPr>
      </w:pPr>
      <w:r w:rsidRPr="001C3B9F">
        <w:rPr>
          <w:rFonts w:asciiTheme="minorHAnsi" w:hAnsiTheme="minorHAnsi"/>
          <w:sz w:val="22"/>
          <w:szCs w:val="22"/>
        </w:rPr>
        <w:t>*In gevallen waarin chronisch gebruik van NSAID's vereist is, dient PPI/misoprostol naast NSAID's te worden gebruikt.</w:t>
      </w:r>
    </w:p>
    <w:p w14:paraId="10B06ED0" w14:textId="77777777" w:rsidR="00B40EEF" w:rsidRPr="00AE15DA" w:rsidRDefault="00B40EEF"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0C1F7159" w14:textId="2A89A14D" w:rsidR="0050241C" w:rsidRPr="00AE15DA" w:rsidRDefault="004816D3" w:rsidP="001C3B9F">
      <w:pPr>
        <w:spacing w:before="100" w:beforeAutospacing="1" w:after="100" w:afterAutospacing="1"/>
        <w:contextualSpacing/>
        <w:jc w:val="both"/>
        <w:rPr>
          <w:rFonts w:asciiTheme="minorHAnsi" w:hAnsiTheme="minorHAnsi" w:cstheme="minorHAnsi"/>
          <w:sz w:val="22"/>
          <w:szCs w:val="22"/>
          <w:lang w:eastAsia="en-GB"/>
        </w:rPr>
      </w:pPr>
      <w:r w:rsidRPr="00AE15DA">
        <w:rPr>
          <w:rFonts w:asciiTheme="minorHAnsi" w:hAnsiTheme="minorHAnsi"/>
          <w:b/>
          <w:sz w:val="22"/>
          <w:szCs w:val="22"/>
        </w:rPr>
        <w:t xml:space="preserve">E2. </w:t>
      </w:r>
      <w:r w:rsidR="001C3B9F" w:rsidRPr="001C3B9F">
        <w:rPr>
          <w:rFonts w:asciiTheme="minorHAnsi" w:hAnsiTheme="minorHAnsi"/>
          <w:b/>
          <w:sz w:val="22"/>
          <w:szCs w:val="22"/>
        </w:rPr>
        <w:t>NSAID's zijn niet geschikt voor gebruik bij patiënten met een GFR &lt; 50 ml/min/1,73 m2 (risico op verslechtering van de nierfunctie)</w:t>
      </w:r>
    </w:p>
    <w:p w14:paraId="39CA5F14" w14:textId="77777777" w:rsidR="00642443" w:rsidRPr="00AE15DA" w:rsidRDefault="00642443" w:rsidP="0043334F">
      <w:pPr>
        <w:spacing w:before="100" w:beforeAutospacing="1" w:after="100" w:afterAutospacing="1"/>
        <w:contextualSpacing/>
        <w:jc w:val="both"/>
        <w:rPr>
          <w:rFonts w:asciiTheme="minorHAnsi" w:hAnsiTheme="minorHAnsi"/>
          <w:b/>
          <w:sz w:val="22"/>
          <w:szCs w:val="22"/>
        </w:rPr>
      </w:pPr>
    </w:p>
    <w:p w14:paraId="0E4837F8" w14:textId="0BB2E112" w:rsidR="00642443"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E3</w:t>
      </w:r>
      <w:r w:rsidR="00DA3647" w:rsidRPr="00AE15DA">
        <w:rPr>
          <w:rFonts w:asciiTheme="minorHAnsi" w:hAnsiTheme="minorHAnsi"/>
          <w:b/>
          <w:sz w:val="22"/>
          <w:szCs w:val="22"/>
        </w:rPr>
        <w:t xml:space="preserve">. </w:t>
      </w:r>
      <w:r w:rsidR="001C3B9F" w:rsidRPr="001C3B9F">
        <w:rPr>
          <w:rFonts w:asciiTheme="minorHAnsi" w:hAnsiTheme="minorHAnsi"/>
          <w:b/>
          <w:sz w:val="22"/>
          <w:szCs w:val="22"/>
        </w:rPr>
        <w:t>Het gebruik van systemische steroïden is niet geschikt bij de behandeling van artrose (risico op bijwerkingen bij systemische corticosteroïden)</w:t>
      </w:r>
    </w:p>
    <w:p w14:paraId="68712D6D" w14:textId="77777777" w:rsidR="001C3B9F" w:rsidRPr="00AE15DA" w:rsidRDefault="001C3B9F" w:rsidP="0043334F">
      <w:pPr>
        <w:spacing w:before="100" w:beforeAutospacing="1" w:after="100" w:afterAutospacing="1"/>
        <w:contextualSpacing/>
        <w:jc w:val="both"/>
        <w:rPr>
          <w:rFonts w:asciiTheme="minorHAnsi" w:hAnsiTheme="minorHAnsi"/>
          <w:b/>
          <w:sz w:val="22"/>
          <w:szCs w:val="22"/>
        </w:rPr>
      </w:pPr>
    </w:p>
    <w:p w14:paraId="7156C1FD" w14:textId="44118393" w:rsidR="0036490F" w:rsidRPr="00AE15DA" w:rsidRDefault="0096255B" w:rsidP="001C3B9F">
      <w:pPr>
        <w:spacing w:before="100" w:beforeAutospacing="1"/>
        <w:contextualSpacing/>
        <w:jc w:val="both"/>
        <w:rPr>
          <w:rFonts w:asciiTheme="minorHAnsi" w:hAnsiTheme="minorHAnsi" w:cstheme="minorHAnsi"/>
          <w:sz w:val="22"/>
          <w:szCs w:val="22"/>
          <w:lang w:eastAsia="en-GB"/>
        </w:rPr>
      </w:pPr>
      <w:r w:rsidRPr="00AE15DA">
        <w:rPr>
          <w:rFonts w:asciiTheme="minorHAnsi" w:hAnsiTheme="minorHAnsi"/>
          <w:b/>
          <w:sz w:val="22"/>
          <w:szCs w:val="22"/>
        </w:rPr>
        <w:t>E4</w:t>
      </w:r>
      <w:r w:rsidR="004816D3" w:rsidRPr="00AE15DA">
        <w:rPr>
          <w:rFonts w:asciiTheme="minorHAnsi" w:hAnsiTheme="minorHAnsi"/>
          <w:b/>
          <w:sz w:val="22"/>
          <w:szCs w:val="22"/>
        </w:rPr>
        <w:t xml:space="preserve">. </w:t>
      </w:r>
      <w:r w:rsidR="001C3B9F" w:rsidRPr="001C3B9F">
        <w:rPr>
          <w:rFonts w:asciiTheme="minorHAnsi" w:hAnsiTheme="minorHAnsi"/>
          <w:b/>
          <w:sz w:val="22"/>
          <w:szCs w:val="22"/>
        </w:rPr>
        <w:t>Het gebruik van monotherapie met corticosteroïden gedurende meer dan 3 maanden bij reumatoïde artritis is niet geschikt (risico op bijwerkingen bij systemische corticosteroïden)</w:t>
      </w:r>
    </w:p>
    <w:p w14:paraId="6F219748" w14:textId="77777777" w:rsidR="0036490F" w:rsidRPr="00AE15DA" w:rsidRDefault="0036490F" w:rsidP="0043334F">
      <w:pPr>
        <w:contextualSpacing/>
        <w:rPr>
          <w:rFonts w:asciiTheme="minorHAnsi" w:hAnsiTheme="minorHAnsi"/>
          <w:sz w:val="22"/>
          <w:szCs w:val="22"/>
        </w:rPr>
      </w:pPr>
    </w:p>
    <w:p w14:paraId="76B59279" w14:textId="77777777" w:rsidR="00B40EEF" w:rsidRPr="00AE15DA" w:rsidRDefault="00B40EEF" w:rsidP="0043334F">
      <w:pPr>
        <w:contextualSpacing/>
        <w:rPr>
          <w:rFonts w:asciiTheme="minorHAnsi" w:hAnsiTheme="minorHAnsi"/>
          <w:sz w:val="22"/>
          <w:szCs w:val="22"/>
        </w:rPr>
      </w:pPr>
    </w:p>
    <w:p w14:paraId="457B9B4F" w14:textId="48306F45" w:rsidR="00642443" w:rsidRDefault="00DA3647"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E5. </w:t>
      </w:r>
      <w:r w:rsidR="001C3B9F" w:rsidRPr="001C3B9F">
        <w:rPr>
          <w:rFonts w:asciiTheme="minorHAnsi" w:hAnsiTheme="minorHAnsi"/>
          <w:b/>
          <w:color w:val="000000"/>
          <w:sz w:val="22"/>
          <w:szCs w:val="22"/>
        </w:rPr>
        <w:t>Langdurig gebruik van NSAID's of colchicine is niet geschikt voor chronische behandeling van jicht, tenzij het gebruik van xanthine-oxidaseremmers (bijv. allopurinol, febuxostat) gecontra-indiceerd is (xanthine-oxidaseremmers zijn geneesmiddelen van eerste keus voor de profylaxe van jicht).</w:t>
      </w:r>
    </w:p>
    <w:p w14:paraId="05298FC9" w14:textId="77777777" w:rsidR="001C3B9F" w:rsidRPr="00AE15DA" w:rsidRDefault="001C3B9F" w:rsidP="0043334F">
      <w:pPr>
        <w:spacing w:before="100" w:beforeAutospacing="1" w:after="100" w:afterAutospacing="1"/>
        <w:contextualSpacing/>
        <w:jc w:val="both"/>
        <w:rPr>
          <w:rFonts w:asciiTheme="minorHAnsi" w:hAnsiTheme="minorHAnsi"/>
          <w:b/>
          <w:sz w:val="22"/>
          <w:szCs w:val="22"/>
        </w:rPr>
      </w:pPr>
    </w:p>
    <w:p w14:paraId="3201FD97" w14:textId="5FBB40EE" w:rsidR="00DA3647" w:rsidRPr="00AE15DA"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E6</w:t>
      </w:r>
      <w:r w:rsidR="00DA3647" w:rsidRPr="00AE15DA">
        <w:rPr>
          <w:rFonts w:asciiTheme="minorHAnsi" w:hAnsiTheme="minorHAnsi"/>
          <w:b/>
          <w:sz w:val="22"/>
          <w:szCs w:val="22"/>
        </w:rPr>
        <w:t xml:space="preserve">. </w:t>
      </w:r>
      <w:r w:rsidR="001C3B9F" w:rsidRPr="001C3B9F">
        <w:rPr>
          <w:rFonts w:asciiTheme="minorHAnsi" w:hAnsiTheme="minorHAnsi"/>
          <w:b/>
          <w:sz w:val="22"/>
          <w:szCs w:val="22"/>
        </w:rPr>
        <w:t>Colchicine is niet geschikt voor gebruik bij patiënten met GFR &lt; 10 ml/min/1,73m2 (risico op colchicinetoxiciteit)</w:t>
      </w:r>
    </w:p>
    <w:p w14:paraId="515E29BA" w14:textId="77777777" w:rsidR="00B40EEF" w:rsidRPr="00AE15DA" w:rsidRDefault="00B40EEF" w:rsidP="0043334F">
      <w:pPr>
        <w:contextualSpacing/>
        <w:jc w:val="both"/>
        <w:rPr>
          <w:rFonts w:asciiTheme="minorHAnsi" w:hAnsiTheme="minorHAnsi"/>
          <w:b/>
          <w:sz w:val="22"/>
          <w:szCs w:val="22"/>
        </w:rPr>
      </w:pPr>
    </w:p>
    <w:p w14:paraId="2473A1DC" w14:textId="1128B68A" w:rsidR="00EE6325" w:rsidRPr="00AE15DA" w:rsidRDefault="00994461" w:rsidP="0043334F">
      <w:pPr>
        <w:contextualSpacing/>
        <w:jc w:val="both"/>
        <w:rPr>
          <w:rFonts w:asciiTheme="minorHAnsi" w:hAnsiTheme="minorHAnsi"/>
          <w:b/>
          <w:sz w:val="22"/>
          <w:szCs w:val="22"/>
        </w:rPr>
      </w:pPr>
      <w:r w:rsidRPr="00AE15DA">
        <w:rPr>
          <w:rFonts w:asciiTheme="minorHAnsi" w:hAnsiTheme="minorHAnsi"/>
          <w:b/>
          <w:sz w:val="22"/>
          <w:szCs w:val="22"/>
        </w:rPr>
        <w:t>E</w:t>
      </w:r>
      <w:r w:rsidR="004D36A2" w:rsidRPr="00AE15DA">
        <w:rPr>
          <w:rFonts w:asciiTheme="minorHAnsi" w:hAnsiTheme="minorHAnsi"/>
          <w:b/>
          <w:sz w:val="22"/>
          <w:szCs w:val="22"/>
        </w:rPr>
        <w:t>7</w:t>
      </w:r>
      <w:r w:rsidRPr="00AE15DA">
        <w:rPr>
          <w:rFonts w:asciiTheme="minorHAnsi" w:hAnsiTheme="minorHAnsi"/>
          <w:b/>
          <w:sz w:val="22"/>
          <w:szCs w:val="22"/>
        </w:rPr>
        <w:t xml:space="preserve">. </w:t>
      </w:r>
      <w:r w:rsidR="001C3B9F" w:rsidRPr="001C3B9F">
        <w:rPr>
          <w:rFonts w:asciiTheme="minorHAnsi" w:hAnsiTheme="minorHAnsi"/>
          <w:b/>
          <w:sz w:val="22"/>
          <w:szCs w:val="22"/>
        </w:rPr>
        <w:t>Methotrexaat is niet geschikt voor gebruik bij patiënten met een GFR &lt; 30 ml/min/1,73 m2</w:t>
      </w:r>
    </w:p>
    <w:p w14:paraId="03152DDF" w14:textId="77777777" w:rsidR="00D536CC" w:rsidRPr="00AE15DA" w:rsidRDefault="00D536CC" w:rsidP="0043334F">
      <w:pPr>
        <w:contextualSpacing/>
        <w:jc w:val="both"/>
        <w:rPr>
          <w:rFonts w:asciiTheme="minorHAnsi" w:hAnsiTheme="minorHAnsi"/>
          <w:b/>
          <w:sz w:val="22"/>
          <w:szCs w:val="22"/>
        </w:rPr>
      </w:pPr>
    </w:p>
    <w:p w14:paraId="008B541E" w14:textId="2B5ED6B3" w:rsidR="004816D3" w:rsidRPr="00AE15DA" w:rsidRDefault="004816D3" w:rsidP="0043334F">
      <w:pPr>
        <w:contextualSpacing/>
        <w:jc w:val="both"/>
        <w:rPr>
          <w:rFonts w:asciiTheme="minorHAnsi" w:hAnsiTheme="minorHAnsi"/>
          <w:b/>
          <w:color w:val="000000"/>
          <w:sz w:val="22"/>
          <w:szCs w:val="22"/>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8</w:t>
      </w:r>
      <w:r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Het gebruik van meperidine is niet geschikt voor pijnbehandeling (verhoogde neurotoxiciteit, deliriumrisico in vergelijking met andere opioïden; er zijn veiligere alternatieven. Het gebruik ervan is riskant, vooral bij nierfalen)</w:t>
      </w:r>
    </w:p>
    <w:p w14:paraId="5AB5AF58" w14:textId="77777777" w:rsidR="00071CA0" w:rsidRPr="00AE15DA" w:rsidRDefault="00071CA0" w:rsidP="0043334F">
      <w:pPr>
        <w:pStyle w:val="HTMLncedenBiimlendirilmi"/>
        <w:contextualSpacing/>
        <w:jc w:val="both"/>
        <w:rPr>
          <w:rFonts w:asciiTheme="minorHAnsi" w:hAnsiTheme="minorHAnsi" w:cstheme="minorHAnsi"/>
          <w:sz w:val="22"/>
          <w:szCs w:val="22"/>
        </w:rPr>
      </w:pPr>
    </w:p>
    <w:p w14:paraId="071499AA" w14:textId="121221E6" w:rsidR="00991613" w:rsidRPr="00AE15DA" w:rsidRDefault="00991613"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9</w:t>
      </w:r>
      <w:r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Tramadol met verlengde afgifte is niet geschikt voor gebruik bij patiënten met een GFR &lt; 30 ml/min/1,7 m2</w:t>
      </w:r>
    </w:p>
    <w:p w14:paraId="063C4733" w14:textId="7EB94D95" w:rsidR="00071CA0" w:rsidRPr="00AE15DA" w:rsidRDefault="00991613" w:rsidP="001C3B9F">
      <w:pPr>
        <w:spacing w:after="100" w:afterAutospacing="1"/>
        <w:contextualSpacing/>
        <w:jc w:val="both"/>
        <w:rPr>
          <w:rFonts w:asciiTheme="minorHAnsi" w:hAnsiTheme="minorHAnsi" w:cstheme="minorHAnsi"/>
          <w:sz w:val="22"/>
          <w:szCs w:val="22"/>
        </w:rPr>
      </w:pPr>
      <w:r w:rsidRPr="00AE15DA">
        <w:rPr>
          <w:rFonts w:asciiTheme="minorHAnsi" w:hAnsiTheme="minorHAnsi"/>
          <w:i/>
          <w:sz w:val="22"/>
          <w:szCs w:val="22"/>
        </w:rPr>
        <w:t>*</w:t>
      </w:r>
      <w:r w:rsidR="001C3B9F" w:rsidRPr="001C3B9F">
        <w:t xml:space="preserve"> </w:t>
      </w:r>
      <w:r w:rsidR="001C3B9F" w:rsidRPr="001C3B9F">
        <w:rPr>
          <w:rFonts w:asciiTheme="minorHAnsi" w:hAnsiTheme="minorHAnsi"/>
          <w:i/>
          <w:sz w:val="22"/>
          <w:szCs w:val="22"/>
        </w:rPr>
        <w:t>Voor tramadol met onmiddellijke afgifte moet de dosis worden verlaagd.</w:t>
      </w:r>
    </w:p>
    <w:p w14:paraId="7738F681" w14:textId="31864450" w:rsidR="00642443" w:rsidRPr="00AE15DA" w:rsidRDefault="0096255B" w:rsidP="001C3B9F">
      <w:pPr>
        <w:pStyle w:val="HTMLncedenBiimlendirilmi"/>
        <w:contextualSpacing/>
        <w:jc w:val="both"/>
        <w:rPr>
          <w:rFonts w:asciiTheme="minorHAnsi" w:hAnsiTheme="minorHAnsi" w:cstheme="minorHAnsi"/>
          <w:sz w:val="22"/>
          <w:szCs w:val="22"/>
          <w:lang w:eastAsia="en-GB"/>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10</w:t>
      </w:r>
      <w:r w:rsidR="00991613" w:rsidRPr="00AE15DA">
        <w:rPr>
          <w:rFonts w:asciiTheme="minorHAnsi" w:hAnsiTheme="minorHAnsi"/>
          <w:b/>
          <w:color w:val="000000"/>
          <w:sz w:val="22"/>
          <w:szCs w:val="22"/>
        </w:rPr>
        <w:t xml:space="preserve">. </w:t>
      </w:r>
      <w:r w:rsidR="001C3B9F" w:rsidRPr="001C3B9F">
        <w:rPr>
          <w:rFonts w:asciiTheme="minorHAnsi" w:hAnsiTheme="minorHAnsi"/>
          <w:b/>
          <w:color w:val="000000"/>
          <w:sz w:val="22"/>
          <w:szCs w:val="22"/>
        </w:rPr>
        <w:t>Opioïden zijn niet geschikt voor chronisch gebruik zonder gelijktijdige toediening van laxeermiddelen (risico op ernstige constipatie)</w:t>
      </w:r>
    </w:p>
    <w:p w14:paraId="68F1A1CA" w14:textId="77777777" w:rsidR="00071CA0" w:rsidRPr="00AE15DA" w:rsidRDefault="00071CA0" w:rsidP="0043334F">
      <w:pPr>
        <w:contextualSpacing/>
        <w:rPr>
          <w:rFonts w:asciiTheme="minorHAnsi" w:hAnsiTheme="minorHAnsi"/>
          <w:b/>
          <w:sz w:val="22"/>
          <w:szCs w:val="22"/>
        </w:rPr>
      </w:pPr>
    </w:p>
    <w:p w14:paraId="586A002F" w14:textId="77777777" w:rsidR="008617A1" w:rsidRDefault="0096255B" w:rsidP="008617A1">
      <w:pPr>
        <w:contextualSpacing/>
        <w:rPr>
          <w:rFonts w:asciiTheme="minorHAnsi" w:hAnsiTheme="minorHAnsi"/>
          <w:b/>
          <w:sz w:val="22"/>
          <w:szCs w:val="22"/>
        </w:rPr>
      </w:pPr>
      <w:r w:rsidRPr="00AE15DA">
        <w:rPr>
          <w:rFonts w:asciiTheme="minorHAnsi" w:hAnsiTheme="minorHAnsi"/>
          <w:b/>
          <w:sz w:val="22"/>
          <w:szCs w:val="22"/>
        </w:rPr>
        <w:t>E1</w:t>
      </w:r>
      <w:r w:rsidR="004D36A2" w:rsidRPr="00AE15DA">
        <w:rPr>
          <w:rFonts w:asciiTheme="minorHAnsi" w:hAnsiTheme="minorHAnsi"/>
          <w:b/>
          <w:sz w:val="22"/>
          <w:szCs w:val="22"/>
        </w:rPr>
        <w:t>1</w:t>
      </w:r>
      <w:r w:rsidR="004816D3" w:rsidRPr="00AE15DA">
        <w:rPr>
          <w:rFonts w:asciiTheme="minorHAnsi" w:hAnsiTheme="minorHAnsi"/>
          <w:b/>
          <w:sz w:val="22"/>
          <w:szCs w:val="22"/>
        </w:rPr>
        <w:t xml:space="preserve">. </w:t>
      </w:r>
      <w:r w:rsidR="008617A1" w:rsidRPr="008617A1">
        <w:rPr>
          <w:rFonts w:asciiTheme="minorHAnsi" w:hAnsiTheme="minorHAnsi"/>
          <w:b/>
          <w:sz w:val="22"/>
          <w:szCs w:val="22"/>
        </w:rPr>
        <w:t xml:space="preserve">Het gebruik van systemische spierverslappers (skeletspier) middelen (thiocolchicoside, tizanidine, chloorzoxazon, carisoprodol, chloorfenezinecarbamaat, cyclobenzaprine, metaxalon, methocarbamol en </w:t>
      </w:r>
      <w:proofErr w:type="gramStart"/>
      <w:r w:rsidR="008617A1" w:rsidRPr="008617A1">
        <w:rPr>
          <w:rFonts w:asciiTheme="minorHAnsi" w:hAnsiTheme="minorHAnsi"/>
          <w:b/>
          <w:sz w:val="22"/>
          <w:szCs w:val="22"/>
        </w:rPr>
        <w:t>orfenadrine …</w:t>
      </w:r>
      <w:proofErr w:type="gramEnd"/>
      <w:r w:rsidR="008617A1" w:rsidRPr="008617A1">
        <w:rPr>
          <w:rFonts w:asciiTheme="minorHAnsi" w:hAnsiTheme="minorHAnsi"/>
          <w:b/>
          <w:sz w:val="22"/>
          <w:szCs w:val="22"/>
        </w:rPr>
        <w:t xml:space="preserve"> enz.) is niet geschikt voor musculoskeletale pijn (sedatie, slaperigheid, droge mond), duizeligheid constipatie, als gevolg van cognitieve bijwerkingen)</w:t>
      </w:r>
    </w:p>
    <w:p w14:paraId="5A883EEB" w14:textId="0331651E" w:rsidR="00071CA0" w:rsidRPr="00AE15DA" w:rsidRDefault="005E45E4" w:rsidP="008617A1">
      <w:pPr>
        <w:contextualSpacing/>
        <w:rPr>
          <w:rFonts w:asciiTheme="minorHAnsi" w:hAnsiTheme="minorHAnsi"/>
          <w:i/>
          <w:color w:val="000000" w:themeColor="text1"/>
          <w:sz w:val="22"/>
          <w:szCs w:val="22"/>
        </w:rPr>
      </w:pPr>
      <w:r w:rsidRPr="00AE15DA">
        <w:rPr>
          <w:rFonts w:asciiTheme="minorHAnsi" w:hAnsiTheme="minorHAnsi"/>
          <w:color w:val="000000" w:themeColor="text1"/>
          <w:sz w:val="22"/>
          <w:szCs w:val="22"/>
        </w:rPr>
        <w:t>*</w:t>
      </w:r>
      <w:r w:rsidR="008617A1" w:rsidRPr="008617A1">
        <w:t xml:space="preserve"> </w:t>
      </w:r>
      <w:r w:rsidR="008617A1" w:rsidRPr="008617A1">
        <w:rPr>
          <w:rFonts w:asciiTheme="minorHAnsi" w:hAnsiTheme="minorHAnsi"/>
          <w:i/>
          <w:color w:val="000000" w:themeColor="text1"/>
          <w:sz w:val="22"/>
          <w:szCs w:val="22"/>
        </w:rPr>
        <w:t>Het risico op hypotensie met tizanidine is ook zeer uitgesproken.</w:t>
      </w:r>
    </w:p>
    <w:p w14:paraId="22226DA5" w14:textId="77777777" w:rsidR="00071CA0" w:rsidRPr="00AE15DA" w:rsidRDefault="00071CA0" w:rsidP="0043334F">
      <w:pPr>
        <w:contextualSpacing/>
        <w:jc w:val="both"/>
        <w:rPr>
          <w:rFonts w:asciiTheme="minorHAnsi" w:hAnsiTheme="minorHAnsi" w:cstheme="minorHAnsi"/>
          <w:sz w:val="22"/>
          <w:szCs w:val="22"/>
        </w:rPr>
      </w:pPr>
    </w:p>
    <w:p w14:paraId="12C85880" w14:textId="149D3CC4" w:rsidR="00415CD8" w:rsidRPr="00AE15DA" w:rsidRDefault="00C6392A" w:rsidP="0043334F">
      <w:pPr>
        <w:contextualSpacing/>
        <w:jc w:val="both"/>
        <w:rPr>
          <w:rFonts w:asciiTheme="minorHAnsi" w:hAnsiTheme="minorHAnsi"/>
          <w:b/>
          <w:color w:val="000000"/>
          <w:sz w:val="22"/>
          <w:szCs w:val="22"/>
        </w:rPr>
      </w:pPr>
      <w:r>
        <w:rPr>
          <w:rFonts w:ascii="Calibri" w:hAnsi="Calibri" w:cs="Calibri"/>
          <w:b/>
          <w:sz w:val="22"/>
          <w:szCs w:val="22"/>
        </w:rPr>
        <w:t>#</w:t>
      </w:r>
      <w:r w:rsidR="00415CD8" w:rsidRPr="00AE15DA">
        <w:rPr>
          <w:rFonts w:asciiTheme="minorHAnsi" w:hAnsiTheme="minorHAnsi"/>
          <w:b/>
          <w:color w:val="000000"/>
          <w:sz w:val="22"/>
          <w:szCs w:val="22"/>
        </w:rPr>
        <w:t>E1</w:t>
      </w:r>
      <w:r w:rsidR="004D36A2" w:rsidRPr="00AE15DA">
        <w:rPr>
          <w:rFonts w:asciiTheme="minorHAnsi" w:hAnsiTheme="minorHAnsi"/>
          <w:b/>
          <w:color w:val="000000"/>
          <w:sz w:val="22"/>
          <w:szCs w:val="22"/>
        </w:rPr>
        <w:t>2</w:t>
      </w:r>
      <w:r w:rsidR="00415CD8" w:rsidRPr="00AE15DA">
        <w:rPr>
          <w:rFonts w:asciiTheme="minorHAnsi" w:hAnsiTheme="minorHAnsi"/>
          <w:b/>
          <w:color w:val="000000"/>
          <w:sz w:val="22"/>
          <w:szCs w:val="22"/>
        </w:rPr>
        <w:t xml:space="preserve">. </w:t>
      </w:r>
      <w:r w:rsidR="008617A1" w:rsidRPr="008617A1">
        <w:rPr>
          <w:rFonts w:asciiTheme="minorHAnsi" w:hAnsiTheme="minorHAnsi"/>
          <w:b/>
          <w:color w:val="000000"/>
          <w:sz w:val="22"/>
          <w:szCs w:val="22"/>
        </w:rPr>
        <w:t>Het is niet aangewezen om de behandeling van osteoporose te starten zonder de diagnose osteomalacie uit te sluiten.</w:t>
      </w:r>
    </w:p>
    <w:p w14:paraId="2AF7ECBF" w14:textId="77777777" w:rsidR="003115C2" w:rsidRPr="00AE15DA" w:rsidRDefault="003115C2" w:rsidP="0043334F">
      <w:pPr>
        <w:contextualSpacing/>
        <w:jc w:val="both"/>
        <w:rPr>
          <w:rFonts w:asciiTheme="minorHAnsi" w:hAnsiTheme="minorHAnsi"/>
          <w:b/>
          <w:color w:val="000000"/>
          <w:sz w:val="22"/>
          <w:szCs w:val="22"/>
        </w:rPr>
      </w:pPr>
    </w:p>
    <w:p w14:paraId="2A8A4847" w14:textId="77777777" w:rsidR="00CE7E93" w:rsidRPr="00AE15DA" w:rsidRDefault="00CE7E93" w:rsidP="0043334F">
      <w:pPr>
        <w:contextualSpacing/>
        <w:jc w:val="both"/>
        <w:rPr>
          <w:rFonts w:asciiTheme="minorHAnsi" w:hAnsiTheme="minorHAnsi"/>
          <w:b/>
          <w:color w:val="000000"/>
          <w:sz w:val="22"/>
          <w:szCs w:val="22"/>
        </w:rPr>
      </w:pPr>
    </w:p>
    <w:p w14:paraId="160397D9" w14:textId="165D2742" w:rsidR="00415CD8" w:rsidRPr="00AE15DA" w:rsidRDefault="00415CD8" w:rsidP="0043334F">
      <w:pPr>
        <w:contextualSpacing/>
        <w:jc w:val="both"/>
        <w:rPr>
          <w:rFonts w:asciiTheme="minorHAnsi" w:hAnsiTheme="minorHAnsi"/>
          <w:sz w:val="22"/>
          <w:szCs w:val="22"/>
        </w:rPr>
      </w:pPr>
      <w:r w:rsidRPr="00AE15DA">
        <w:rPr>
          <w:rFonts w:asciiTheme="minorHAnsi" w:hAnsiTheme="minorHAnsi"/>
          <w:b/>
          <w:color w:val="000000"/>
          <w:sz w:val="22"/>
          <w:szCs w:val="22"/>
        </w:rPr>
        <w:t>E1</w:t>
      </w:r>
      <w:r w:rsidR="004D36A2"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8617A1" w:rsidRPr="008617A1">
        <w:rPr>
          <w:rFonts w:asciiTheme="minorHAnsi" w:hAnsiTheme="minorHAnsi"/>
          <w:b/>
          <w:color w:val="000000"/>
          <w:sz w:val="22"/>
          <w:szCs w:val="22"/>
        </w:rPr>
        <w:t>Intermitterend hooggedoseerd (300.000 IE) conventioneel vitamine D-gebruik is niet geschikt voor vitamine D 'onderhoudstherapie' (verhoogd risico op vallen, geen bijkomend voordeel voor het bewegingsapparaat)</w:t>
      </w:r>
    </w:p>
    <w:p w14:paraId="26817FA7" w14:textId="77777777" w:rsidR="008617A1" w:rsidRPr="008617A1" w:rsidRDefault="008617A1" w:rsidP="008617A1">
      <w:pPr>
        <w:contextualSpacing/>
        <w:jc w:val="both"/>
        <w:rPr>
          <w:rFonts w:asciiTheme="minorHAnsi" w:hAnsiTheme="minorHAnsi"/>
          <w:i/>
          <w:sz w:val="22"/>
          <w:szCs w:val="22"/>
        </w:rPr>
      </w:pPr>
      <w:r w:rsidRPr="008617A1">
        <w:rPr>
          <w:rFonts w:asciiTheme="minorHAnsi" w:hAnsiTheme="minorHAnsi"/>
          <w:i/>
          <w:sz w:val="22"/>
          <w:szCs w:val="22"/>
        </w:rPr>
        <w:t>*De negatieve resultaten van hooggedoseerde conventionele vitamine D die worden gebruikt bij "onderhoudstherapie" zijn aangetoond.</w:t>
      </w:r>
    </w:p>
    <w:p w14:paraId="5B526274" w14:textId="510AE802" w:rsidR="00642443" w:rsidRPr="00AE15DA" w:rsidRDefault="008617A1" w:rsidP="008617A1">
      <w:pPr>
        <w:contextualSpacing/>
        <w:jc w:val="both"/>
        <w:rPr>
          <w:rFonts w:asciiTheme="minorHAnsi" w:hAnsiTheme="minorHAnsi" w:cstheme="minorHAnsi"/>
          <w:sz w:val="22"/>
          <w:szCs w:val="22"/>
        </w:rPr>
      </w:pPr>
      <w:r w:rsidRPr="008617A1">
        <w:rPr>
          <w:rFonts w:asciiTheme="minorHAnsi" w:hAnsiTheme="minorHAnsi"/>
          <w:i/>
          <w:sz w:val="22"/>
          <w:szCs w:val="22"/>
        </w:rPr>
        <w:t>*Negatieve uitkomsten geassocieerd met hooggedoseerde conventionele vitamine D gebruikt in "vervangende" therapie zijn niet gemeld. Vanwege het principe van "laag beginnen en langzaam verhogen", dat over het algemeen geldt bij drugsgebruik bij ouderen, kan het echter aangewezen zijn om geleidelijk een "vervangende" vitamine D-therapie toe te passen.</w:t>
      </w:r>
    </w:p>
    <w:p w14:paraId="2684CDF3" w14:textId="77777777" w:rsidR="00071CA0" w:rsidRPr="00AE15DA" w:rsidRDefault="00071CA0" w:rsidP="0043334F">
      <w:pPr>
        <w:pStyle w:val="HTMLncedenBiimlendirilmi"/>
        <w:contextualSpacing/>
        <w:jc w:val="both"/>
        <w:rPr>
          <w:rFonts w:asciiTheme="minorHAnsi" w:hAnsiTheme="minorHAnsi" w:cstheme="minorHAnsi"/>
          <w:b/>
          <w:bCs/>
          <w:color w:val="000000" w:themeColor="text1"/>
          <w:sz w:val="22"/>
          <w:szCs w:val="22"/>
        </w:rPr>
      </w:pPr>
    </w:p>
    <w:p w14:paraId="4FDDA49D" w14:textId="008A8742" w:rsidR="00994461" w:rsidRPr="00AE15DA" w:rsidRDefault="00994461" w:rsidP="0043334F">
      <w:pPr>
        <w:pStyle w:val="HTMLncedenBiimlendirilmi"/>
        <w:contextualSpacing/>
        <w:jc w:val="both"/>
        <w:rPr>
          <w:rFonts w:asciiTheme="minorHAnsi" w:hAnsiTheme="minorHAnsi" w:cstheme="minorHAnsi"/>
          <w:b/>
          <w:bCs/>
          <w:color w:val="000000" w:themeColor="text1"/>
          <w:sz w:val="22"/>
          <w:szCs w:val="22"/>
        </w:rPr>
      </w:pPr>
      <w:r w:rsidRPr="00AE15DA">
        <w:rPr>
          <w:rFonts w:asciiTheme="minorHAnsi" w:hAnsiTheme="minorHAnsi" w:cs="Times New Roman"/>
          <w:b/>
          <w:bCs/>
          <w:color w:val="000000" w:themeColor="text1"/>
          <w:sz w:val="22"/>
          <w:szCs w:val="22"/>
        </w:rPr>
        <w:t>E1</w:t>
      </w:r>
      <w:r w:rsidR="004D36A2" w:rsidRPr="00AE15DA">
        <w:rPr>
          <w:rFonts w:asciiTheme="minorHAnsi" w:hAnsiTheme="minorHAnsi" w:cs="Times New Roman"/>
          <w:b/>
          <w:bCs/>
          <w:color w:val="000000" w:themeColor="text1"/>
          <w:sz w:val="22"/>
          <w:szCs w:val="22"/>
        </w:rPr>
        <w:t>4</w:t>
      </w:r>
      <w:r w:rsidR="00AD6BB0" w:rsidRPr="00AE15DA">
        <w:rPr>
          <w:rFonts w:asciiTheme="minorHAnsi" w:hAnsiTheme="minorHAnsi" w:cs="Times New Roman"/>
          <w:b/>
          <w:bCs/>
          <w:color w:val="000000" w:themeColor="text1"/>
          <w:sz w:val="22"/>
          <w:szCs w:val="22"/>
        </w:rPr>
        <w:t>.</w:t>
      </w:r>
      <w:r w:rsidRPr="00AE15DA">
        <w:rPr>
          <w:rFonts w:asciiTheme="minorHAnsi" w:hAnsiTheme="minorHAnsi" w:cs="Times New Roman"/>
          <w:b/>
          <w:bCs/>
          <w:color w:val="000000" w:themeColor="text1"/>
          <w:sz w:val="22"/>
          <w:szCs w:val="22"/>
        </w:rPr>
        <w:t xml:space="preserve"> </w:t>
      </w:r>
      <w:r w:rsidR="008617A1" w:rsidRPr="008617A1">
        <w:rPr>
          <w:rFonts w:asciiTheme="minorHAnsi" w:hAnsiTheme="minorHAnsi" w:cs="Times New Roman"/>
          <w:b/>
          <w:bCs/>
          <w:color w:val="000000" w:themeColor="text1"/>
          <w:sz w:val="22"/>
          <w:szCs w:val="22"/>
        </w:rPr>
        <w:t>In aanwezigheid van hyperfosfatemie en/of hypercalciëmie is het gebruik van actieve (calcitriol) (1-25(OH)2cholecalciferol) of conventionele (25(OH)cholecalciferol) vitamine D niet geschikt.</w:t>
      </w:r>
    </w:p>
    <w:p w14:paraId="3280EAE2" w14:textId="77777777" w:rsidR="00B40EEF" w:rsidRPr="00AE15DA" w:rsidRDefault="00B40EEF" w:rsidP="0043334F">
      <w:pPr>
        <w:contextualSpacing/>
        <w:jc w:val="both"/>
        <w:rPr>
          <w:rFonts w:asciiTheme="minorHAnsi" w:hAnsiTheme="minorHAnsi"/>
          <w:b/>
          <w:sz w:val="22"/>
          <w:szCs w:val="22"/>
        </w:rPr>
      </w:pPr>
    </w:p>
    <w:p w14:paraId="16BFAC88" w14:textId="77777777" w:rsidR="007C70E3" w:rsidRPr="00AE15DA" w:rsidRDefault="007C70E3" w:rsidP="0043334F">
      <w:pPr>
        <w:contextualSpacing/>
        <w:jc w:val="both"/>
        <w:rPr>
          <w:rFonts w:asciiTheme="minorHAnsi" w:hAnsiTheme="minorHAnsi"/>
          <w:b/>
          <w:sz w:val="22"/>
          <w:szCs w:val="22"/>
        </w:rPr>
      </w:pPr>
    </w:p>
    <w:p w14:paraId="1A590376" w14:textId="77777777" w:rsidR="008617A1" w:rsidRDefault="00415CD8" w:rsidP="0043334F">
      <w:pPr>
        <w:contextualSpacing/>
        <w:jc w:val="both"/>
        <w:rPr>
          <w:rFonts w:asciiTheme="minorHAnsi" w:hAnsiTheme="minorHAnsi"/>
          <w:b/>
          <w:sz w:val="22"/>
          <w:szCs w:val="22"/>
        </w:rPr>
      </w:pPr>
      <w:r w:rsidRPr="00AE15DA">
        <w:rPr>
          <w:rFonts w:asciiTheme="minorHAnsi" w:hAnsiTheme="minorHAnsi"/>
          <w:b/>
          <w:sz w:val="22"/>
          <w:szCs w:val="22"/>
        </w:rPr>
        <w:t>E1</w:t>
      </w:r>
      <w:r w:rsidR="004D36A2" w:rsidRPr="00AE15DA">
        <w:rPr>
          <w:rFonts w:asciiTheme="minorHAnsi" w:hAnsiTheme="minorHAnsi"/>
          <w:b/>
          <w:sz w:val="22"/>
          <w:szCs w:val="22"/>
        </w:rPr>
        <w:t>5</w:t>
      </w:r>
      <w:r w:rsidRPr="00AE15DA">
        <w:rPr>
          <w:rFonts w:asciiTheme="minorHAnsi" w:hAnsiTheme="minorHAnsi"/>
          <w:b/>
          <w:sz w:val="22"/>
          <w:szCs w:val="22"/>
        </w:rPr>
        <w:t xml:space="preserve">. </w:t>
      </w:r>
      <w:r w:rsidR="008617A1" w:rsidRPr="008617A1">
        <w:rPr>
          <w:rFonts w:asciiTheme="minorHAnsi" w:hAnsiTheme="minorHAnsi"/>
          <w:b/>
          <w:sz w:val="22"/>
          <w:szCs w:val="22"/>
        </w:rPr>
        <w:t>Het gebruik van orale bisfosfonaten is niet geschikt bij patiënten met een voorgeschiedenis van aandoeningen van het bovenste deel van het maagdarmkanaal (bijv. dysfagie, oesofagitis, maagzweer, bloeding in het bovenste deel van het maagdarmkanaal of GER die niet onder controle is door behandeling) en/of bij patiënten die fysiek niet in staat zijn rechtop te staan ​​(oesofagitis, oesofageale maagzweer, terugval van de slokdarmstructuur/risico op exacerbatie)</w:t>
      </w:r>
    </w:p>
    <w:p w14:paraId="13376DAC" w14:textId="3C23E1AB" w:rsidR="00F11DEE" w:rsidRPr="00AE15DA" w:rsidRDefault="00F11DEE" w:rsidP="0043334F">
      <w:pPr>
        <w:contextualSpacing/>
        <w:jc w:val="both"/>
        <w:rPr>
          <w:rFonts w:asciiTheme="minorHAnsi" w:hAnsiTheme="minorHAnsi"/>
          <w:i/>
          <w:sz w:val="22"/>
          <w:szCs w:val="22"/>
        </w:rPr>
      </w:pPr>
      <w:r w:rsidRPr="00AE15DA">
        <w:rPr>
          <w:rFonts w:asciiTheme="minorHAnsi" w:hAnsiTheme="minorHAnsi"/>
          <w:i/>
          <w:sz w:val="22"/>
          <w:szCs w:val="22"/>
        </w:rPr>
        <w:t>*</w:t>
      </w:r>
      <w:r w:rsidR="008617A1" w:rsidRPr="008617A1">
        <w:t xml:space="preserve"> </w:t>
      </w:r>
      <w:r w:rsidR="008617A1" w:rsidRPr="008617A1">
        <w:rPr>
          <w:rFonts w:asciiTheme="minorHAnsi" w:hAnsiTheme="minorHAnsi"/>
          <w:i/>
          <w:sz w:val="22"/>
          <w:szCs w:val="22"/>
        </w:rPr>
        <w:t>Orale bisfosfonaten kunnen met voorzichtigheid worden gebruikt in aanwezigheid van goed gecontroleerde GER.</w:t>
      </w:r>
    </w:p>
    <w:p w14:paraId="16A752F5" w14:textId="5356D9B6" w:rsidR="00B40EEF" w:rsidRPr="00AE15DA" w:rsidRDefault="00B40EEF" w:rsidP="0043334F">
      <w:pPr>
        <w:tabs>
          <w:tab w:val="left" w:pos="708"/>
        </w:tabs>
        <w:contextualSpacing/>
        <w:jc w:val="both"/>
        <w:rPr>
          <w:rFonts w:asciiTheme="minorHAnsi" w:hAnsiTheme="minorHAnsi" w:cstheme="minorHAnsi"/>
          <w:sz w:val="22"/>
          <w:szCs w:val="22"/>
        </w:rPr>
      </w:pPr>
    </w:p>
    <w:p w14:paraId="2C264C4F" w14:textId="77777777" w:rsidR="00364C7E" w:rsidRPr="00AE15DA" w:rsidRDefault="00364C7E" w:rsidP="0043334F">
      <w:pPr>
        <w:contextualSpacing/>
        <w:jc w:val="both"/>
        <w:rPr>
          <w:rFonts w:asciiTheme="minorHAnsi" w:hAnsiTheme="minorHAnsi"/>
          <w:b/>
          <w:sz w:val="22"/>
          <w:szCs w:val="22"/>
        </w:rPr>
      </w:pPr>
    </w:p>
    <w:p w14:paraId="15189DAB" w14:textId="77777777" w:rsidR="008617A1" w:rsidRDefault="00415CD8" w:rsidP="0043334F">
      <w:pPr>
        <w:contextualSpacing/>
        <w:jc w:val="both"/>
        <w:rPr>
          <w:rFonts w:asciiTheme="minorHAnsi" w:hAnsiTheme="minorHAnsi"/>
          <w:b/>
          <w:sz w:val="22"/>
          <w:szCs w:val="22"/>
        </w:rPr>
      </w:pPr>
      <w:r w:rsidRPr="00AE15DA">
        <w:rPr>
          <w:rFonts w:asciiTheme="minorHAnsi" w:hAnsiTheme="minorHAnsi"/>
          <w:b/>
          <w:sz w:val="22"/>
          <w:szCs w:val="22"/>
        </w:rPr>
        <w:t>E1</w:t>
      </w:r>
      <w:r w:rsidR="004D36A2" w:rsidRPr="00AE15DA">
        <w:rPr>
          <w:rFonts w:asciiTheme="minorHAnsi" w:hAnsiTheme="minorHAnsi"/>
          <w:b/>
          <w:sz w:val="22"/>
          <w:szCs w:val="22"/>
        </w:rPr>
        <w:t>6</w:t>
      </w:r>
      <w:r w:rsidRPr="00AE15DA">
        <w:rPr>
          <w:rFonts w:asciiTheme="minorHAnsi" w:hAnsiTheme="minorHAnsi"/>
          <w:b/>
          <w:sz w:val="22"/>
          <w:szCs w:val="22"/>
        </w:rPr>
        <w:t xml:space="preserve">. </w:t>
      </w:r>
      <w:r w:rsidR="008617A1" w:rsidRPr="008617A1">
        <w:rPr>
          <w:rFonts w:asciiTheme="minorHAnsi" w:hAnsiTheme="minorHAnsi"/>
          <w:b/>
          <w:sz w:val="22"/>
          <w:szCs w:val="22"/>
        </w:rPr>
        <w:t>Bisfosfonaten zijn niet geschikt voor gebruik bij patiënten met een GFR &lt; 30 ml/min/1,73 m2 (verhoogd risico op acuut nierfalen).</w:t>
      </w:r>
    </w:p>
    <w:p w14:paraId="3ECF19AE" w14:textId="6CA514A8" w:rsidR="00F11DEE" w:rsidRPr="00AE15DA" w:rsidRDefault="00F11DEE" w:rsidP="0043334F">
      <w:pPr>
        <w:contextualSpacing/>
        <w:jc w:val="both"/>
        <w:rPr>
          <w:rFonts w:asciiTheme="minorHAnsi" w:hAnsiTheme="minorHAnsi"/>
          <w:i/>
          <w:sz w:val="22"/>
          <w:szCs w:val="22"/>
        </w:rPr>
      </w:pPr>
      <w:r w:rsidRPr="00AE15DA">
        <w:rPr>
          <w:rFonts w:asciiTheme="minorHAnsi" w:hAnsiTheme="minorHAnsi"/>
          <w:i/>
          <w:sz w:val="22"/>
          <w:szCs w:val="22"/>
        </w:rPr>
        <w:lastRenderedPageBreak/>
        <w:t>*</w:t>
      </w:r>
      <w:r w:rsidR="008617A1" w:rsidRPr="008617A1">
        <w:t xml:space="preserve"> </w:t>
      </w:r>
      <w:r w:rsidR="008617A1" w:rsidRPr="008617A1">
        <w:rPr>
          <w:rFonts w:asciiTheme="minorHAnsi" w:hAnsiTheme="minorHAnsi"/>
          <w:i/>
          <w:sz w:val="22"/>
          <w:szCs w:val="22"/>
        </w:rPr>
        <w:t>Drempel-GFR is hoger voor zoledronaat en alendronaat (&lt;35 ml/min/1,73 m2).</w:t>
      </w:r>
    </w:p>
    <w:p w14:paraId="2A18FA7C" w14:textId="77777777" w:rsidR="00364C7E" w:rsidRPr="00AE15DA" w:rsidRDefault="00364C7E" w:rsidP="0043334F">
      <w:pPr>
        <w:pStyle w:val="HTMLncedenBiimlendirilmi"/>
        <w:contextualSpacing/>
        <w:rPr>
          <w:rFonts w:asciiTheme="minorHAnsi" w:hAnsiTheme="minorHAnsi" w:cstheme="minorHAnsi"/>
          <w:sz w:val="22"/>
          <w:szCs w:val="22"/>
        </w:rPr>
      </w:pPr>
    </w:p>
    <w:p w14:paraId="03F3021D" w14:textId="77777777" w:rsidR="00C1596E" w:rsidRPr="00AE15DA" w:rsidRDefault="00C1596E" w:rsidP="0043334F">
      <w:pPr>
        <w:contextualSpacing/>
        <w:jc w:val="both"/>
        <w:rPr>
          <w:rFonts w:asciiTheme="minorHAnsi" w:hAnsiTheme="minorHAnsi"/>
          <w:b/>
          <w:color w:val="000000"/>
          <w:sz w:val="22"/>
          <w:szCs w:val="22"/>
        </w:rPr>
      </w:pPr>
    </w:p>
    <w:p w14:paraId="1CA4C6EA" w14:textId="62EDEC37" w:rsidR="00415CD8" w:rsidRPr="00AE15DA" w:rsidRDefault="00415CD8" w:rsidP="0043334F">
      <w:pPr>
        <w:contextualSpacing/>
        <w:jc w:val="both"/>
        <w:rPr>
          <w:rFonts w:asciiTheme="minorHAnsi" w:hAnsiTheme="minorHAnsi"/>
          <w:b/>
          <w:color w:val="000000"/>
          <w:sz w:val="22"/>
          <w:szCs w:val="22"/>
        </w:rPr>
      </w:pPr>
      <w:r w:rsidRPr="00AE15DA">
        <w:rPr>
          <w:rFonts w:asciiTheme="minorHAnsi" w:hAnsiTheme="minorHAnsi"/>
          <w:b/>
          <w:color w:val="000000"/>
          <w:sz w:val="22"/>
          <w:szCs w:val="22"/>
        </w:rPr>
        <w:t>E1</w:t>
      </w:r>
      <w:r w:rsidR="00371D89" w:rsidRPr="00AE15DA">
        <w:rPr>
          <w:rFonts w:asciiTheme="minorHAnsi" w:hAnsiTheme="minorHAnsi"/>
          <w:b/>
          <w:color w:val="000000"/>
          <w:sz w:val="22"/>
          <w:szCs w:val="22"/>
        </w:rPr>
        <w:t>7</w:t>
      </w:r>
      <w:r w:rsidRPr="00AE15DA">
        <w:rPr>
          <w:rFonts w:asciiTheme="minorHAnsi" w:hAnsiTheme="minorHAnsi"/>
          <w:b/>
          <w:color w:val="000000"/>
          <w:sz w:val="22"/>
          <w:szCs w:val="22"/>
        </w:rPr>
        <w:t xml:space="preserve">. </w:t>
      </w:r>
      <w:r w:rsidR="008617A1" w:rsidRPr="008617A1">
        <w:rPr>
          <w:rFonts w:asciiTheme="minorHAnsi" w:hAnsiTheme="minorHAnsi"/>
          <w:b/>
          <w:color w:val="000000"/>
          <w:sz w:val="22"/>
          <w:szCs w:val="22"/>
        </w:rPr>
        <w:t>Het gebruik van zoledronaat, denosumab of teriparatide is niet geschikt zonder vóór de behandeling de serumcalciumspiegel te bepalen en voldoende calcium/vitamine D in te nemen.</w:t>
      </w:r>
    </w:p>
    <w:p w14:paraId="17B89B4E" w14:textId="77777777" w:rsidR="00C80C53" w:rsidRPr="00AE15DA" w:rsidRDefault="00C80C53" w:rsidP="0043334F">
      <w:pPr>
        <w:contextualSpacing/>
        <w:jc w:val="both"/>
        <w:rPr>
          <w:rFonts w:asciiTheme="minorHAnsi" w:hAnsiTheme="minorHAnsi"/>
          <w:b/>
          <w:i/>
          <w:color w:val="4472C4" w:themeColor="accent5"/>
          <w:sz w:val="22"/>
          <w:szCs w:val="22"/>
          <w:u w:val="single"/>
        </w:rPr>
      </w:pPr>
    </w:p>
    <w:p w14:paraId="2F82DD50" w14:textId="1978B4A6" w:rsidR="00F327A4"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F: </w:t>
      </w:r>
      <w:r w:rsidR="008617A1" w:rsidRPr="008617A1">
        <w:rPr>
          <w:rFonts w:asciiTheme="minorHAnsi" w:hAnsiTheme="minorHAnsi"/>
          <w:b/>
          <w:sz w:val="28"/>
          <w:szCs w:val="28"/>
        </w:rPr>
        <w:t>Urogenitaal systeem criteria.</w:t>
      </w:r>
    </w:p>
    <w:p w14:paraId="46B70C9C" w14:textId="77777777" w:rsidR="008617A1" w:rsidRPr="00AE15DA" w:rsidRDefault="008617A1" w:rsidP="0043334F">
      <w:pPr>
        <w:contextualSpacing/>
        <w:jc w:val="both"/>
        <w:rPr>
          <w:rFonts w:asciiTheme="minorHAnsi" w:hAnsiTheme="minorHAnsi"/>
          <w:b/>
          <w:i/>
          <w:color w:val="4472C4" w:themeColor="accent5"/>
          <w:sz w:val="22"/>
          <w:szCs w:val="22"/>
          <w:u w:val="single"/>
        </w:rPr>
      </w:pPr>
    </w:p>
    <w:p w14:paraId="165C2916" w14:textId="77777777" w:rsidR="008617A1" w:rsidRDefault="00415CD8" w:rsidP="008617A1">
      <w:pPr>
        <w:pStyle w:val="AklamaMetni"/>
        <w:spacing w:after="0"/>
        <w:contextualSpacing/>
        <w:jc w:val="both"/>
        <w:rPr>
          <w:rFonts w:cs="Times New Roman"/>
          <w:b/>
          <w:sz w:val="22"/>
          <w:szCs w:val="22"/>
        </w:rPr>
      </w:pPr>
      <w:r w:rsidRPr="00AE15DA">
        <w:rPr>
          <w:rFonts w:cs="Times New Roman"/>
          <w:b/>
          <w:sz w:val="22"/>
          <w:szCs w:val="22"/>
        </w:rPr>
        <w:t xml:space="preserve">F1. </w:t>
      </w:r>
      <w:r w:rsidR="008617A1" w:rsidRPr="008617A1">
        <w:rPr>
          <w:rFonts w:cs="Times New Roman"/>
          <w:b/>
          <w:sz w:val="22"/>
          <w:szCs w:val="22"/>
        </w:rPr>
        <w:t>Bij mannen met LUTS-symptomen als gevolg van goedaardige prostaathyperplasie, als de PMR &gt;150 ml is, is anticholinerge medicatie voor de blaas niet geschikt.</w:t>
      </w:r>
    </w:p>
    <w:p w14:paraId="364AA477" w14:textId="39690740" w:rsidR="00F327A4" w:rsidRDefault="00F11DEE" w:rsidP="008617A1">
      <w:pPr>
        <w:pStyle w:val="AklamaMetni"/>
        <w:spacing w:after="0"/>
        <w:contextualSpacing/>
        <w:jc w:val="both"/>
        <w:rPr>
          <w:rFonts w:eastAsia="Times New Roman" w:cs="Times New Roman"/>
          <w:i/>
          <w:color w:val="000000" w:themeColor="text1"/>
          <w:sz w:val="22"/>
          <w:szCs w:val="22"/>
        </w:rPr>
      </w:pPr>
      <w:r w:rsidRPr="00AE15DA">
        <w:rPr>
          <w:rFonts w:eastAsia="Times New Roman" w:cs="Times New Roman"/>
          <w:i/>
          <w:color w:val="000000" w:themeColor="text1"/>
          <w:sz w:val="22"/>
          <w:szCs w:val="22"/>
        </w:rPr>
        <w:t>*</w:t>
      </w:r>
      <w:r w:rsidR="008617A1" w:rsidRPr="008617A1">
        <w:t xml:space="preserve"> </w:t>
      </w:r>
      <w:r w:rsidR="008617A1" w:rsidRPr="008617A1">
        <w:rPr>
          <w:rFonts w:eastAsia="Times New Roman" w:cs="Times New Roman"/>
          <w:i/>
          <w:color w:val="000000" w:themeColor="text1"/>
          <w:sz w:val="22"/>
          <w:szCs w:val="22"/>
        </w:rPr>
        <w:t>Bij oudere mannen moeten de LUTS-symptomen in twijfel worden getrokken en de PMR in alle gevallen worden bepaald voordat blaasgerichte anticholinergica worden voorgeschreven voor de behandeling van een overactieve blaas.</w:t>
      </w:r>
    </w:p>
    <w:p w14:paraId="2AFF43AF" w14:textId="77777777" w:rsidR="00E85274" w:rsidRPr="00E85274" w:rsidRDefault="00E85274" w:rsidP="00E85274">
      <w:pPr>
        <w:pStyle w:val="AklamaMetni"/>
        <w:contextualSpacing/>
        <w:jc w:val="both"/>
        <w:rPr>
          <w:rFonts w:eastAsia="Times New Roman" w:cs="Times New Roman"/>
          <w:i/>
          <w:color w:val="000000" w:themeColor="text1"/>
          <w:sz w:val="22"/>
          <w:szCs w:val="22"/>
        </w:rPr>
      </w:pPr>
    </w:p>
    <w:p w14:paraId="68942A7E" w14:textId="70195DF2" w:rsidR="006C2A94" w:rsidRPr="00AE15DA" w:rsidRDefault="00415CD8"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F2. </w:t>
      </w:r>
      <w:r w:rsidR="008617A1" w:rsidRPr="008617A1">
        <w:rPr>
          <w:rFonts w:asciiTheme="minorHAnsi" w:hAnsiTheme="minorHAnsi"/>
          <w:b/>
          <w:sz w:val="22"/>
          <w:szCs w:val="22"/>
        </w:rPr>
        <w:t>Blaasgerichte anticholinergica zijn niet geschikt voor patiënten met chronisch nauwekamerhoekglaucoom.</w:t>
      </w:r>
    </w:p>
    <w:p w14:paraId="71E1B2D5" w14:textId="77777777" w:rsidR="008617A1" w:rsidRPr="008617A1"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8617A1">
        <w:rPr>
          <w:rFonts w:asciiTheme="minorHAnsi" w:hAnsiTheme="minorHAnsi"/>
          <w:i/>
          <w:sz w:val="22"/>
          <w:szCs w:val="22"/>
        </w:rPr>
        <w:t>*De glaucoomgeschiedenis moet in twijfel worden getrokken voordat anticholinerge medicatie voor de blaas wordt gestart.</w:t>
      </w:r>
    </w:p>
    <w:p w14:paraId="7A967E5A" w14:textId="77777777" w:rsidR="008617A1" w:rsidRPr="008617A1"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8617A1">
        <w:rPr>
          <w:rFonts w:asciiTheme="minorHAnsi" w:hAnsiTheme="minorHAnsi"/>
          <w:i/>
          <w:sz w:val="22"/>
          <w:szCs w:val="22"/>
        </w:rPr>
        <w:t>* Op de blaas gerichte anticholinergica zijn niet gecontra-indiceerd als nauwekamerhoekglaucoom is behandeld met laseriridotomie.</w:t>
      </w:r>
    </w:p>
    <w:p w14:paraId="73C951C0" w14:textId="3C68A5B4" w:rsidR="00080395"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sz w:val="22"/>
          <w:szCs w:val="22"/>
        </w:rPr>
      </w:pPr>
      <w:r w:rsidRPr="008617A1">
        <w:rPr>
          <w:rFonts w:asciiTheme="minorHAnsi" w:hAnsiTheme="minorHAnsi"/>
          <w:i/>
          <w:sz w:val="22"/>
          <w:szCs w:val="22"/>
        </w:rPr>
        <w:t>*Anticholinergica voor de blaas zijn ook niet gecontra-indiceerd bij openhoekglaucoom.</w:t>
      </w:r>
    </w:p>
    <w:p w14:paraId="15A9BA7E" w14:textId="77777777" w:rsidR="008617A1" w:rsidRPr="00AE15DA"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14:paraId="219CB8E1" w14:textId="2EF48DEE" w:rsidR="00C1596E" w:rsidRPr="00AE15DA" w:rsidRDefault="00415CD8" w:rsidP="0043334F">
      <w:pPr>
        <w:spacing w:before="100" w:beforeAutospacing="1" w:after="100" w:afterAutospacing="1"/>
        <w:contextualSpacing/>
        <w:jc w:val="both"/>
        <w:rPr>
          <w:rFonts w:asciiTheme="minorHAnsi" w:hAnsiTheme="minorHAnsi" w:cstheme="minorHAnsi"/>
          <w:color w:val="000000" w:themeColor="text1"/>
          <w:sz w:val="22"/>
          <w:szCs w:val="22"/>
        </w:rPr>
      </w:pPr>
      <w:r w:rsidRPr="00AE15DA">
        <w:rPr>
          <w:rFonts w:asciiTheme="minorHAnsi" w:hAnsiTheme="minorHAnsi"/>
          <w:b/>
          <w:color w:val="000000"/>
          <w:sz w:val="22"/>
          <w:szCs w:val="22"/>
        </w:rPr>
        <w:t xml:space="preserve">F3. </w:t>
      </w:r>
      <w:r w:rsidR="008617A1" w:rsidRPr="008617A1">
        <w:rPr>
          <w:rFonts w:asciiTheme="minorHAnsi" w:hAnsiTheme="minorHAnsi"/>
          <w:b/>
          <w:color w:val="000000"/>
          <w:sz w:val="22"/>
          <w:szCs w:val="22"/>
        </w:rPr>
        <w:t>Anticholinergica voor de blaas is niet geschikt zonder PMR-bepaling (risico op urineretentie en postrenaal nierfalen) bij ouderen met prostaathyperplasie (risico op obstructie) of diabetes mellitus-complicaties (risico op neurogene blaas) of kwetsbare ouderen (verminderd risico op contractiliteit met detrusor). hyperactiviteit)</w:t>
      </w:r>
    </w:p>
    <w:p w14:paraId="0F884FDA" w14:textId="77777777" w:rsidR="00E456DB" w:rsidRPr="00AE15DA" w:rsidRDefault="00E456DB" w:rsidP="0043334F">
      <w:pPr>
        <w:spacing w:before="100" w:beforeAutospacing="1" w:after="100" w:afterAutospacing="1"/>
        <w:contextualSpacing/>
        <w:jc w:val="both"/>
        <w:rPr>
          <w:rFonts w:asciiTheme="minorHAnsi" w:hAnsiTheme="minorHAnsi" w:cstheme="minorHAnsi"/>
          <w:color w:val="000000"/>
          <w:sz w:val="22"/>
          <w:szCs w:val="22"/>
        </w:rPr>
      </w:pPr>
    </w:p>
    <w:p w14:paraId="30307983" w14:textId="083E150B" w:rsidR="00080395" w:rsidRPr="00AE15DA" w:rsidRDefault="00415CD8" w:rsidP="008617A1">
      <w:pPr>
        <w:spacing w:before="100" w:beforeAutospacing="1" w:after="100" w:afterAutospacing="1"/>
        <w:contextualSpacing/>
        <w:jc w:val="both"/>
        <w:rPr>
          <w:rStyle w:val="Kpr"/>
          <w:rFonts w:asciiTheme="minorHAnsi" w:eastAsiaTheme="majorEastAsia" w:hAnsiTheme="minorHAnsi" w:cstheme="minorHAnsi"/>
          <w:color w:val="000000" w:themeColor="text1"/>
          <w:sz w:val="22"/>
          <w:szCs w:val="22"/>
          <w:u w:val="none"/>
        </w:rPr>
      </w:pPr>
      <w:r w:rsidRPr="00AE15DA">
        <w:rPr>
          <w:rFonts w:asciiTheme="minorHAnsi" w:hAnsiTheme="minorHAnsi"/>
          <w:b/>
          <w:sz w:val="22"/>
          <w:szCs w:val="22"/>
        </w:rPr>
        <w:t xml:space="preserve">F4. </w:t>
      </w:r>
      <w:r w:rsidR="008617A1" w:rsidRPr="008617A1">
        <w:rPr>
          <w:rFonts w:asciiTheme="minorHAnsi" w:hAnsiTheme="minorHAnsi"/>
          <w:b/>
          <w:sz w:val="22"/>
          <w:szCs w:val="22"/>
        </w:rPr>
        <w:t>Bloeddruk &lt;90/50 mmHg of &gt; 170/100 mmHg/ instabiele angina/ angina tijdens geslachtsgemeenschap/ NYHA klasse 4 hartfalen/ nitraattherapie voor angina/ alfa-1-blokkertherapie/ eerder MI (&lt; 3 Het gebruik van 5-remmers (bijv. sildenafil, tadalafil, vardenafil) is niet geschikt bij patiënten met een voorgeschiedenis van/met een voorgeschiedenis van een beroerte (&lt; 6 maanden)</w:t>
      </w:r>
    </w:p>
    <w:p w14:paraId="4EB25587" w14:textId="77777777" w:rsidR="00967AEF" w:rsidRPr="00AE15DA" w:rsidRDefault="00967AEF" w:rsidP="0043334F">
      <w:pPr>
        <w:autoSpaceDE w:val="0"/>
        <w:autoSpaceDN w:val="0"/>
        <w:adjustRightInd w:val="0"/>
        <w:contextualSpacing/>
        <w:jc w:val="both"/>
        <w:rPr>
          <w:rStyle w:val="Kpr"/>
          <w:rFonts w:asciiTheme="minorHAnsi" w:eastAsiaTheme="majorEastAsia" w:hAnsiTheme="minorHAnsi" w:cstheme="minorHAnsi"/>
          <w:color w:val="000000" w:themeColor="text1"/>
          <w:sz w:val="22"/>
          <w:szCs w:val="22"/>
          <w:u w:val="none"/>
        </w:rPr>
      </w:pPr>
    </w:p>
    <w:p w14:paraId="156D9B76" w14:textId="77777777" w:rsidR="008617A1" w:rsidRDefault="00632179" w:rsidP="008617A1">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F5. </w:t>
      </w:r>
      <w:r w:rsidR="008617A1" w:rsidRPr="008617A1">
        <w:rPr>
          <w:rFonts w:asciiTheme="minorHAnsi" w:hAnsiTheme="minorHAnsi"/>
          <w:b/>
          <w:sz w:val="22"/>
          <w:szCs w:val="22"/>
        </w:rPr>
        <w:t>Niet-uroselectieve alfa 1-blokkers (bijv. doxazosine, terazosine) zijn niet geschikt voor de behandeling van LUTS-symptomen als gevolg van goedaardige prostaathyperplasie bij patiënten met orthostatische hypotensie (verhoogde orthostatische hypotensie, syncope en vallen)</w:t>
      </w:r>
    </w:p>
    <w:p w14:paraId="118BF793" w14:textId="77777777" w:rsidR="008617A1" w:rsidRPr="008617A1"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i/>
          <w:color w:val="000000" w:themeColor="text1"/>
          <w:sz w:val="22"/>
          <w:szCs w:val="22"/>
        </w:rPr>
      </w:pPr>
      <w:r w:rsidRPr="008617A1">
        <w:rPr>
          <w:rFonts w:asciiTheme="minorHAnsi" w:hAnsiTheme="minorHAnsi"/>
          <w:i/>
          <w:color w:val="000000" w:themeColor="text1"/>
          <w:sz w:val="22"/>
          <w:szCs w:val="22"/>
        </w:rPr>
        <w:t>*Het uroselectieve middel met het laagste risico op orthostatische hypotensie is silodosine; Men denkt dat het vergelijkbaar is met placebo.</w:t>
      </w:r>
    </w:p>
    <w:p w14:paraId="1A6B33C2" w14:textId="41A58B9C" w:rsidR="00E456DB" w:rsidRDefault="008617A1" w:rsidP="0086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r w:rsidRPr="008617A1">
        <w:rPr>
          <w:rFonts w:asciiTheme="minorHAnsi" w:hAnsiTheme="minorHAnsi"/>
          <w:i/>
          <w:color w:val="000000" w:themeColor="text1"/>
          <w:sz w:val="22"/>
          <w:szCs w:val="22"/>
        </w:rPr>
        <w:t>*Oudere patiënten die worden behandeld met niet-uroselectieve alfa-1-blokkers moeten worden geïnformeerd over het risico op orthostatische hypotensie.</w:t>
      </w:r>
    </w:p>
    <w:p w14:paraId="74012FDB" w14:textId="77777777"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D252B90" w14:textId="77777777" w:rsidR="008617A1" w:rsidRDefault="00415CD8" w:rsidP="0043334F">
      <w:pPr>
        <w:contextualSpacing/>
        <w:jc w:val="both"/>
        <w:rPr>
          <w:rFonts w:asciiTheme="minorHAnsi" w:hAnsiTheme="minorHAnsi"/>
          <w:b/>
          <w:sz w:val="22"/>
          <w:szCs w:val="22"/>
        </w:rPr>
      </w:pPr>
      <w:r w:rsidRPr="00AE15DA">
        <w:rPr>
          <w:rFonts w:asciiTheme="minorHAnsi" w:hAnsiTheme="minorHAnsi"/>
          <w:b/>
          <w:sz w:val="22"/>
          <w:szCs w:val="22"/>
        </w:rPr>
        <w:t xml:space="preserve">F6. </w:t>
      </w:r>
      <w:r w:rsidR="008617A1" w:rsidRPr="008617A1">
        <w:rPr>
          <w:rFonts w:asciiTheme="minorHAnsi" w:hAnsiTheme="minorHAnsi"/>
          <w:b/>
          <w:sz w:val="22"/>
          <w:szCs w:val="22"/>
        </w:rPr>
        <w:t>Het gebruik van antibiotica is niet geschikt bij asymptomatische bacteriurie, behalve voor urologische interventies die het slijmvlies kunnen beschadigen.</w:t>
      </w:r>
    </w:p>
    <w:p w14:paraId="0EC745FF"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*Asymptomatische bacteriurie moet worden gescreend en behandeld vóór urologische interventies die het slijmvlies kunnen beschadigen.</w:t>
      </w:r>
    </w:p>
    <w:p w14:paraId="15D7710F" w14:textId="77777777" w:rsid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*Het wordt niet aanbevolen om asymptomatische bacteriurie te screenen en/of te behandelen bij de volgende patiëntengroepen:</w:t>
      </w:r>
    </w:p>
    <w:p w14:paraId="0DAAB386"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Patiënten zonder risicofactoren</w:t>
      </w:r>
    </w:p>
    <w:p w14:paraId="68B5D1ED"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Patiënten met goed gereguleerde diabetes</w:t>
      </w:r>
    </w:p>
    <w:p w14:paraId="22435E6C"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Patiënten die in een verpleeghuis wonen</w:t>
      </w:r>
    </w:p>
    <w:p w14:paraId="0D8A093D"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lastRenderedPageBreak/>
        <w:t>Patiënten met disfunctie/reconstructie van de lagere urinewegen</w:t>
      </w:r>
    </w:p>
    <w:p w14:paraId="03911EE3" w14:textId="77777777" w:rsidR="008617A1" w:rsidRP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Patiënten met terugkerende urineweginfecties</w:t>
      </w:r>
    </w:p>
    <w:p w14:paraId="0C76AD19" w14:textId="77777777" w:rsidR="008617A1" w:rsidRDefault="008617A1" w:rsidP="008617A1">
      <w:pPr>
        <w:ind w:firstLine="708"/>
        <w:contextualSpacing/>
        <w:jc w:val="both"/>
        <w:rPr>
          <w:rStyle w:val="nowrap"/>
          <w:rFonts w:asciiTheme="minorHAnsi" w:hAnsiTheme="minorHAnsi"/>
          <w:i/>
          <w:sz w:val="22"/>
          <w:szCs w:val="22"/>
          <w:shd w:val="clear" w:color="auto" w:fill="FFFFFF"/>
        </w:rPr>
      </w:pPr>
      <w:r w:rsidRPr="008617A1">
        <w:rPr>
          <w:rStyle w:val="nowrap"/>
          <w:rFonts w:asciiTheme="minorHAnsi" w:hAnsiTheme="minorHAnsi"/>
          <w:i/>
          <w:sz w:val="22"/>
          <w:szCs w:val="22"/>
          <w:shd w:val="clear" w:color="auto" w:fill="FFFFFF"/>
        </w:rPr>
        <w:t>Vóór artroplastiekoperaties</w:t>
      </w:r>
    </w:p>
    <w:p w14:paraId="7EE76531" w14:textId="7A32DDDF" w:rsidR="00992E12" w:rsidRPr="008617A1" w:rsidRDefault="008617A1" w:rsidP="008617A1">
      <w:pPr>
        <w:ind w:firstLine="708"/>
        <w:contextualSpacing/>
        <w:jc w:val="both"/>
        <w:rPr>
          <w:rFonts w:asciiTheme="minorHAnsi" w:hAnsiTheme="minorHAnsi"/>
          <w:i/>
          <w:sz w:val="22"/>
          <w:szCs w:val="22"/>
          <w:shd w:val="clear" w:color="auto" w:fill="FFFFFF"/>
        </w:rPr>
      </w:pPr>
      <w:r w:rsidRPr="008617A1">
        <w:rPr>
          <w:rFonts w:asciiTheme="minorHAnsi" w:hAnsiTheme="minorHAnsi"/>
          <w:i/>
          <w:sz w:val="22"/>
          <w:szCs w:val="22"/>
          <w:shd w:val="clear" w:color="auto" w:fill="FFFFFF"/>
        </w:rPr>
        <w:t>Patiënten met urinekatheter</w:t>
      </w:r>
    </w:p>
    <w:p w14:paraId="0B584681" w14:textId="77777777" w:rsidR="00F327A4" w:rsidRPr="00AE15DA" w:rsidRDefault="00F327A4" w:rsidP="0043334F">
      <w:pPr>
        <w:contextualSpacing/>
        <w:jc w:val="both"/>
        <w:rPr>
          <w:rFonts w:asciiTheme="minorHAnsi" w:hAnsiTheme="minorHAnsi"/>
          <w:b/>
          <w:color w:val="000000"/>
          <w:sz w:val="22"/>
          <w:szCs w:val="22"/>
        </w:rPr>
      </w:pPr>
    </w:p>
    <w:p w14:paraId="54957537" w14:textId="1DB702F2" w:rsidR="00415CD8" w:rsidRPr="00AE15DA" w:rsidRDefault="00415CD8" w:rsidP="0043334F">
      <w:pPr>
        <w:contextualSpacing/>
        <w:jc w:val="both"/>
        <w:rPr>
          <w:rFonts w:asciiTheme="minorHAnsi" w:hAnsiTheme="minorHAnsi"/>
          <w:color w:val="000000"/>
          <w:sz w:val="22"/>
          <w:szCs w:val="22"/>
        </w:rPr>
      </w:pPr>
      <w:r w:rsidRPr="00AE15DA">
        <w:rPr>
          <w:rFonts w:asciiTheme="minorHAnsi" w:hAnsiTheme="minorHAnsi"/>
          <w:b/>
          <w:color w:val="000000"/>
          <w:sz w:val="22"/>
          <w:szCs w:val="22"/>
        </w:rPr>
        <w:t xml:space="preserve">F7. </w:t>
      </w:r>
      <w:r w:rsidR="008617A1" w:rsidRPr="008617A1">
        <w:rPr>
          <w:rFonts w:asciiTheme="minorHAnsi" w:hAnsiTheme="minorHAnsi"/>
          <w:b/>
          <w:color w:val="000000"/>
          <w:sz w:val="22"/>
          <w:szCs w:val="22"/>
        </w:rPr>
        <w:t>Nitrofurantoïne is niet geschikt voor gebruik bij patiënten met een GFR &lt; 30 ml/min/1,73 m2</w:t>
      </w:r>
    </w:p>
    <w:p w14:paraId="1F557DD3" w14:textId="6BFD62CF" w:rsidR="00FA465E" w:rsidRPr="00AE15DA" w:rsidRDefault="008617A1" w:rsidP="0043334F">
      <w:pPr>
        <w:autoSpaceDE w:val="0"/>
        <w:autoSpaceDN w:val="0"/>
        <w:adjustRightInd w:val="0"/>
        <w:contextualSpacing/>
        <w:jc w:val="both"/>
        <w:rPr>
          <w:rFonts w:asciiTheme="minorHAnsi" w:hAnsiTheme="minorHAnsi"/>
          <w:i/>
          <w:color w:val="000000"/>
          <w:sz w:val="22"/>
          <w:szCs w:val="22"/>
        </w:rPr>
      </w:pPr>
      <w:r w:rsidRPr="008617A1">
        <w:rPr>
          <w:rFonts w:asciiTheme="minorHAnsi" w:hAnsiTheme="minorHAnsi"/>
          <w:color w:val="000000"/>
          <w:sz w:val="22"/>
          <w:szCs w:val="22"/>
        </w:rPr>
        <w:t>*Langdurig gebruik van nitrofurantoïne voor de onderdrukking van urineweginfecties is niet geschikt bij ouderen (vanwege het risico op onomkeerbare longfibrose, levertoxiciteit en perifere neuropathie bij langdurig gebruik)</w:t>
      </w:r>
    </w:p>
    <w:p w14:paraId="36C67BF4" w14:textId="77777777" w:rsidR="002F3D1A" w:rsidRPr="00AE15DA" w:rsidRDefault="002F3D1A" w:rsidP="0043334F">
      <w:pPr>
        <w:contextualSpacing/>
        <w:jc w:val="both"/>
        <w:rPr>
          <w:rFonts w:asciiTheme="minorHAnsi" w:hAnsiTheme="minorHAnsi"/>
          <w:b/>
          <w:i/>
          <w:color w:val="4472C4" w:themeColor="accent5"/>
          <w:sz w:val="22"/>
          <w:szCs w:val="22"/>
          <w:u w:val="single"/>
        </w:rPr>
      </w:pPr>
    </w:p>
    <w:p w14:paraId="557BA9E5" w14:textId="5DB7FD1D" w:rsidR="007C70E3"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G: </w:t>
      </w:r>
      <w:r w:rsidR="008617A1" w:rsidRPr="008617A1">
        <w:rPr>
          <w:rFonts w:asciiTheme="minorHAnsi" w:hAnsiTheme="minorHAnsi"/>
          <w:b/>
          <w:sz w:val="28"/>
          <w:szCs w:val="28"/>
        </w:rPr>
        <w:t>Endocriene systeemcriteria.</w:t>
      </w:r>
    </w:p>
    <w:p w14:paraId="767622CA" w14:textId="77777777" w:rsidR="008617A1" w:rsidRPr="00AE15DA" w:rsidRDefault="008617A1" w:rsidP="0043334F">
      <w:pPr>
        <w:contextualSpacing/>
        <w:jc w:val="both"/>
        <w:rPr>
          <w:rFonts w:asciiTheme="minorHAnsi" w:hAnsiTheme="minorHAnsi"/>
          <w:b/>
          <w:sz w:val="28"/>
          <w:szCs w:val="28"/>
        </w:rPr>
      </w:pPr>
    </w:p>
    <w:p w14:paraId="7B286138" w14:textId="0C20DB6F" w:rsidR="0043334F" w:rsidRPr="00AE15DA" w:rsidRDefault="00415CD8"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G1. </w:t>
      </w:r>
      <w:r w:rsidR="008617A1" w:rsidRPr="008617A1">
        <w:rPr>
          <w:rFonts w:asciiTheme="minorHAnsi" w:hAnsiTheme="minorHAnsi"/>
          <w:b/>
          <w:sz w:val="22"/>
          <w:szCs w:val="22"/>
        </w:rPr>
        <w:t>Een strakke bloedglucoseregulatie (HbA1C &lt; 7%) is niet geschikt bij patiënten met een lage levensverwachting (&lt; 5 jaar) of een voorgeschiedenis van achteruitgang of cognitieve stoornissen.</w:t>
      </w:r>
    </w:p>
    <w:p w14:paraId="58B66C74" w14:textId="77777777" w:rsidR="00E456DB" w:rsidRPr="00AE15DA" w:rsidRDefault="00E456DB" w:rsidP="0043334F">
      <w:pPr>
        <w:autoSpaceDE w:val="0"/>
        <w:autoSpaceDN w:val="0"/>
        <w:adjustRightInd w:val="0"/>
        <w:contextualSpacing/>
        <w:jc w:val="both"/>
        <w:rPr>
          <w:rFonts w:asciiTheme="minorHAnsi" w:hAnsiTheme="minorHAnsi"/>
          <w:b/>
          <w:sz w:val="22"/>
          <w:szCs w:val="22"/>
        </w:rPr>
      </w:pPr>
    </w:p>
    <w:p w14:paraId="696B7C06" w14:textId="77777777" w:rsidR="002F3D1A" w:rsidRPr="00AE15DA" w:rsidRDefault="002F3D1A" w:rsidP="0043334F">
      <w:pPr>
        <w:autoSpaceDE w:val="0"/>
        <w:autoSpaceDN w:val="0"/>
        <w:adjustRightInd w:val="0"/>
        <w:contextualSpacing/>
        <w:jc w:val="both"/>
        <w:rPr>
          <w:rFonts w:asciiTheme="minorHAnsi" w:hAnsiTheme="minorHAnsi"/>
          <w:b/>
          <w:sz w:val="22"/>
          <w:szCs w:val="22"/>
        </w:rPr>
      </w:pPr>
    </w:p>
    <w:p w14:paraId="36C0ADC6" w14:textId="77777777" w:rsidR="008617A1" w:rsidRDefault="00E66E29" w:rsidP="008617A1">
      <w:pPr>
        <w:autoSpaceDE w:val="0"/>
        <w:autoSpaceDN w:val="0"/>
        <w:adjustRightInd w:val="0"/>
        <w:contextualSpacing/>
        <w:jc w:val="both"/>
        <w:rPr>
          <w:rFonts w:asciiTheme="minorHAnsi" w:hAnsiTheme="minorHAnsi"/>
          <w:b/>
          <w:sz w:val="22"/>
          <w:szCs w:val="22"/>
        </w:rPr>
      </w:pPr>
      <w:r>
        <w:rPr>
          <w:rFonts w:ascii="Calibri" w:hAnsi="Calibri" w:cs="Calibri"/>
          <w:b/>
          <w:sz w:val="22"/>
          <w:szCs w:val="22"/>
        </w:rPr>
        <w:t>#</w:t>
      </w:r>
      <w:r w:rsidR="00415CD8" w:rsidRPr="00AE15DA">
        <w:rPr>
          <w:rFonts w:asciiTheme="minorHAnsi" w:hAnsiTheme="minorHAnsi"/>
          <w:b/>
          <w:sz w:val="22"/>
          <w:szCs w:val="22"/>
        </w:rPr>
        <w:t xml:space="preserve">G2. </w:t>
      </w:r>
      <w:r w:rsidR="008617A1" w:rsidRPr="008617A1">
        <w:rPr>
          <w:rFonts w:asciiTheme="minorHAnsi" w:hAnsiTheme="minorHAnsi"/>
          <w:b/>
          <w:sz w:val="22"/>
          <w:szCs w:val="22"/>
        </w:rPr>
        <w:t>Het gebruik van metformine is niet geschikt bij kwetsbare of ondervoede ouderen (vanwege de gastro-intestinale bijwerkingen en het anorexia-effect van metformine)</w:t>
      </w:r>
    </w:p>
    <w:p w14:paraId="34FC9674" w14:textId="2AFFF20F" w:rsidR="00850F9D" w:rsidRPr="00AE15DA" w:rsidRDefault="008617A1" w:rsidP="0043334F">
      <w:pPr>
        <w:contextualSpacing/>
        <w:jc w:val="both"/>
        <w:rPr>
          <w:rFonts w:asciiTheme="minorHAnsi" w:hAnsiTheme="minorHAnsi"/>
          <w:i/>
          <w:sz w:val="22"/>
          <w:szCs w:val="22"/>
        </w:rPr>
      </w:pPr>
      <w:r w:rsidRPr="008617A1">
        <w:rPr>
          <w:rFonts w:asciiTheme="minorHAnsi" w:hAnsiTheme="minorHAnsi"/>
          <w:i/>
          <w:sz w:val="22"/>
          <w:szCs w:val="22"/>
        </w:rPr>
        <w:t>*Het gebruik van metformine in gevallen met een risico op ondervoeding moet worden bepaald door rekening te houden met de balans tussen winst en verlies.</w:t>
      </w:r>
    </w:p>
    <w:p w14:paraId="2F95F3EB" w14:textId="77777777" w:rsidR="002F3D1A" w:rsidRPr="00AE15DA" w:rsidRDefault="002F3D1A" w:rsidP="0043334F">
      <w:pPr>
        <w:autoSpaceDE w:val="0"/>
        <w:autoSpaceDN w:val="0"/>
        <w:adjustRightInd w:val="0"/>
        <w:contextualSpacing/>
        <w:jc w:val="both"/>
        <w:rPr>
          <w:rFonts w:asciiTheme="minorHAnsi" w:hAnsiTheme="minorHAnsi" w:cstheme="minorHAnsi"/>
          <w:color w:val="000000"/>
          <w:sz w:val="22"/>
          <w:szCs w:val="22"/>
        </w:rPr>
      </w:pPr>
    </w:p>
    <w:p w14:paraId="7C817DCB" w14:textId="274FEEE4" w:rsidR="00415CD8" w:rsidRPr="00AE15DA" w:rsidRDefault="00415CD8" w:rsidP="0043334F">
      <w:pPr>
        <w:autoSpaceDE w:val="0"/>
        <w:autoSpaceDN w:val="0"/>
        <w:adjustRightInd w:val="0"/>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G3. </w:t>
      </w:r>
      <w:r w:rsidR="008617A1" w:rsidRPr="008617A1">
        <w:rPr>
          <w:rFonts w:asciiTheme="minorHAnsi" w:hAnsiTheme="minorHAnsi"/>
          <w:b/>
          <w:sz w:val="22"/>
          <w:szCs w:val="22"/>
        </w:rPr>
        <w:t>Metformine is niet geschikt voor gebruik bij patiënten met een GFR &lt; 30 ml/min/1,73 m2 (risico op lactaatacidose)</w:t>
      </w:r>
    </w:p>
    <w:p w14:paraId="68B7B660" w14:textId="77777777" w:rsidR="008617A1" w:rsidRPr="008617A1" w:rsidRDefault="008617A1" w:rsidP="008617A1">
      <w:pPr>
        <w:contextualSpacing/>
        <w:jc w:val="both"/>
        <w:rPr>
          <w:rFonts w:asciiTheme="minorHAnsi" w:hAnsiTheme="minorHAnsi"/>
          <w:i/>
          <w:sz w:val="22"/>
          <w:szCs w:val="22"/>
        </w:rPr>
      </w:pPr>
      <w:r w:rsidRPr="008617A1">
        <w:rPr>
          <w:rFonts w:asciiTheme="minorHAnsi" w:hAnsiTheme="minorHAnsi"/>
          <w:i/>
          <w:sz w:val="22"/>
          <w:szCs w:val="22"/>
        </w:rPr>
        <w:t>*De dosis metformine moet met 50% worden verlaagd bij patiënten met GFR: 30-45 ml/min/1,73 m2.</w:t>
      </w:r>
    </w:p>
    <w:p w14:paraId="047BC3C0" w14:textId="6ADC747D" w:rsidR="002F3D1A" w:rsidRPr="00AE15DA" w:rsidRDefault="008617A1" w:rsidP="008617A1">
      <w:pPr>
        <w:contextualSpacing/>
        <w:jc w:val="both"/>
        <w:rPr>
          <w:rFonts w:asciiTheme="minorHAnsi" w:hAnsiTheme="minorHAnsi"/>
          <w:i/>
          <w:sz w:val="22"/>
          <w:szCs w:val="22"/>
        </w:rPr>
      </w:pPr>
      <w:r w:rsidRPr="008617A1">
        <w:rPr>
          <w:rFonts w:asciiTheme="minorHAnsi" w:hAnsiTheme="minorHAnsi"/>
          <w:i/>
          <w:sz w:val="22"/>
          <w:szCs w:val="22"/>
        </w:rPr>
        <w:t>* Het gebruik van metformine is ook niet geschikt bij andere aandoeningen die het risico op lactaatacidose verhogen (hartfalen, leverfalen, shock of permanente hemodynamische instabiliteit, COPD, hypoxie).</w:t>
      </w:r>
    </w:p>
    <w:p w14:paraId="34226871" w14:textId="77777777" w:rsidR="002F3D1A" w:rsidRPr="00AE15DA" w:rsidRDefault="002F3D1A" w:rsidP="0043334F">
      <w:pPr>
        <w:contextualSpacing/>
        <w:jc w:val="both"/>
        <w:rPr>
          <w:rFonts w:asciiTheme="minorHAnsi" w:hAnsiTheme="minorHAnsi" w:cstheme="minorHAnsi"/>
          <w:color w:val="000000"/>
          <w:sz w:val="22"/>
          <w:szCs w:val="22"/>
        </w:rPr>
      </w:pPr>
    </w:p>
    <w:p w14:paraId="4F09262A" w14:textId="0D5EDCA6" w:rsidR="002F3D1A" w:rsidRPr="00AE15DA" w:rsidRDefault="00415CD8" w:rsidP="0043334F">
      <w:pPr>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G4. </w:t>
      </w:r>
      <w:r w:rsidR="008617A1" w:rsidRPr="008617A1">
        <w:rPr>
          <w:rFonts w:asciiTheme="minorHAnsi" w:hAnsiTheme="minorHAnsi"/>
          <w:b/>
          <w:sz w:val="22"/>
          <w:szCs w:val="22"/>
        </w:rPr>
        <w:t>Het gebruik van langwerkende sulfanilurea zoals glibenclamide en chloorpropamide is niet geschikt bij patiënten met type 2 DM (langdurig risico op hypoglykemie).</w:t>
      </w:r>
    </w:p>
    <w:p w14:paraId="11C38558"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4DF3FE9" w14:textId="5FB6F2B6" w:rsidR="002F3D1A" w:rsidRPr="00AE15D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G5. </w:t>
      </w:r>
      <w:r w:rsidR="008617A1" w:rsidRPr="008617A1">
        <w:rPr>
          <w:rFonts w:asciiTheme="minorHAnsi" w:hAnsiTheme="minorHAnsi"/>
          <w:b/>
          <w:sz w:val="22"/>
          <w:szCs w:val="22"/>
        </w:rPr>
        <w:t>Het gebruik van thiazolidinedionen (rosiglitazon, pioglitazon) is niet geschikt bij patiënten met gedocumenteerd hartfalen/voorgeschiedenis van fracturen/verhoogd risico op fracturen/blaaskanker of die insuline krijgen (verergering van hartfalen, verhoogd risico op fracturen en blaaskanker)</w:t>
      </w:r>
    </w:p>
    <w:p w14:paraId="53A3974C"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48CD0224" w14:textId="77777777" w:rsidR="00730686" w:rsidRPr="00AE15DA" w:rsidRDefault="00730686" w:rsidP="0043334F">
      <w:pPr>
        <w:spacing w:before="100" w:beforeAutospacing="1" w:after="100" w:afterAutospacing="1"/>
        <w:contextualSpacing/>
        <w:jc w:val="both"/>
        <w:rPr>
          <w:rFonts w:asciiTheme="minorHAnsi" w:hAnsiTheme="minorHAnsi"/>
          <w:sz w:val="22"/>
          <w:szCs w:val="22"/>
          <w:vertAlign w:val="superscript"/>
        </w:rPr>
      </w:pPr>
    </w:p>
    <w:p w14:paraId="298EA8DC" w14:textId="5FD2CF49" w:rsidR="002F3D1A" w:rsidRPr="00AE15DA" w:rsidRDefault="00730686" w:rsidP="0043334F">
      <w:pPr>
        <w:contextualSpacing/>
        <w:rPr>
          <w:rFonts w:asciiTheme="minorHAnsi" w:hAnsiTheme="minorHAnsi"/>
          <w:b/>
          <w:sz w:val="22"/>
          <w:szCs w:val="22"/>
        </w:rPr>
      </w:pPr>
      <w:r w:rsidRPr="00AE15DA">
        <w:rPr>
          <w:rFonts w:asciiTheme="minorHAnsi" w:hAnsiTheme="minorHAnsi"/>
          <w:b/>
          <w:sz w:val="22"/>
          <w:szCs w:val="22"/>
        </w:rPr>
        <w:t xml:space="preserve">G6. </w:t>
      </w:r>
      <w:r w:rsidR="008617A1" w:rsidRPr="008617A1">
        <w:rPr>
          <w:rFonts w:asciiTheme="minorHAnsi" w:hAnsiTheme="minorHAnsi"/>
          <w:b/>
          <w:sz w:val="22"/>
          <w:szCs w:val="22"/>
        </w:rPr>
        <w:t>Het gebruik van saxagliptine is niet geschikt bij patiënten met hartfalen.</w:t>
      </w:r>
    </w:p>
    <w:p w14:paraId="60F0D603" w14:textId="77777777" w:rsidR="002F3D1A" w:rsidRPr="00AE15DA" w:rsidRDefault="002F3D1A" w:rsidP="0043334F">
      <w:pPr>
        <w:contextualSpacing/>
        <w:rPr>
          <w:rFonts w:asciiTheme="minorHAnsi" w:hAnsiTheme="minorHAnsi"/>
          <w:b/>
          <w:sz w:val="22"/>
          <w:szCs w:val="22"/>
        </w:rPr>
      </w:pPr>
    </w:p>
    <w:p w14:paraId="5FD32A45" w14:textId="77777777" w:rsidR="009D067B" w:rsidRPr="00AE15DA" w:rsidRDefault="009D067B" w:rsidP="0043334F">
      <w:pPr>
        <w:pStyle w:val="HTMLncedenBiimlendirilmi"/>
        <w:contextualSpacing/>
        <w:jc w:val="both"/>
        <w:rPr>
          <w:rFonts w:asciiTheme="minorHAnsi" w:hAnsiTheme="minorHAnsi" w:cstheme="minorHAnsi"/>
          <w:color w:val="000000"/>
          <w:sz w:val="22"/>
          <w:szCs w:val="22"/>
        </w:rPr>
      </w:pPr>
    </w:p>
    <w:p w14:paraId="2FFB1604" w14:textId="77777777" w:rsidR="008617A1" w:rsidRDefault="00730686" w:rsidP="0043334F">
      <w:pPr>
        <w:contextualSpacing/>
        <w:rPr>
          <w:rFonts w:asciiTheme="minorHAnsi" w:hAnsiTheme="minorHAnsi"/>
          <w:b/>
          <w:sz w:val="22"/>
          <w:szCs w:val="22"/>
        </w:rPr>
      </w:pPr>
      <w:r w:rsidRPr="00AE15DA">
        <w:rPr>
          <w:rFonts w:asciiTheme="minorHAnsi" w:hAnsiTheme="minorHAnsi"/>
          <w:b/>
          <w:sz w:val="22"/>
          <w:szCs w:val="22"/>
        </w:rPr>
        <w:t>G7.</w:t>
      </w:r>
      <w:r w:rsidR="006C7F78" w:rsidRPr="00AE15DA">
        <w:rPr>
          <w:rFonts w:asciiTheme="minorHAnsi" w:hAnsiTheme="minorHAnsi"/>
          <w:b/>
          <w:sz w:val="22"/>
          <w:szCs w:val="22"/>
        </w:rPr>
        <w:t xml:space="preserve"> </w:t>
      </w:r>
      <w:r w:rsidR="008617A1" w:rsidRPr="008617A1">
        <w:rPr>
          <w:rFonts w:asciiTheme="minorHAnsi" w:hAnsiTheme="minorHAnsi"/>
          <w:b/>
          <w:sz w:val="22"/>
          <w:szCs w:val="22"/>
        </w:rPr>
        <w:t>Canagliflozine is niet geschikt voor gebruik bij patiënten met diabetes-gerelateerde amputatiecomplicaties van de onderste ledematen/ernstige perifere vaatziekte/recidiverende urineweginfectie/urogenitale infectie</w:t>
      </w:r>
    </w:p>
    <w:p w14:paraId="609543F5" w14:textId="04E3A011" w:rsidR="00457080" w:rsidRDefault="008617A1" w:rsidP="0043334F">
      <w:pPr>
        <w:contextualSpacing/>
        <w:rPr>
          <w:rFonts w:asciiTheme="minorHAnsi" w:hAnsiTheme="minorHAnsi"/>
          <w:sz w:val="22"/>
          <w:szCs w:val="22"/>
        </w:rPr>
      </w:pPr>
      <w:r w:rsidRPr="008617A1">
        <w:rPr>
          <w:rFonts w:asciiTheme="minorHAnsi" w:hAnsiTheme="minorHAnsi"/>
          <w:sz w:val="22"/>
          <w:szCs w:val="22"/>
        </w:rPr>
        <w:t>*SGLT-2-remmers moeten over het algemeen met voorzichtigheid worden gebruikt bij oudere patiënten, omdat ze uitdroging, aandrangincontinentie en diabetische ketoacidose kunnen veroorzaken.</w:t>
      </w:r>
    </w:p>
    <w:p w14:paraId="2B805DA1" w14:textId="77777777" w:rsidR="008617A1" w:rsidRPr="00AE15DA" w:rsidRDefault="008617A1" w:rsidP="0043334F">
      <w:pPr>
        <w:contextualSpacing/>
        <w:rPr>
          <w:rFonts w:asciiTheme="minorHAnsi" w:hAnsiTheme="minorHAnsi"/>
          <w:i/>
          <w:sz w:val="22"/>
          <w:szCs w:val="22"/>
        </w:rPr>
      </w:pPr>
    </w:p>
    <w:p w14:paraId="60058F4C" w14:textId="2EF30204" w:rsidR="00730686" w:rsidRPr="00AE15DA" w:rsidRDefault="00730686" w:rsidP="0043334F">
      <w:pPr>
        <w:autoSpaceDE w:val="0"/>
        <w:autoSpaceDN w:val="0"/>
        <w:adjustRightInd w:val="0"/>
        <w:contextualSpacing/>
        <w:rPr>
          <w:rFonts w:asciiTheme="minorHAnsi" w:hAnsiTheme="minorHAnsi"/>
          <w:b/>
          <w:sz w:val="22"/>
          <w:szCs w:val="22"/>
        </w:rPr>
      </w:pPr>
      <w:r w:rsidRPr="00AE15DA">
        <w:rPr>
          <w:rFonts w:asciiTheme="minorHAnsi" w:hAnsiTheme="minorHAnsi"/>
          <w:b/>
          <w:sz w:val="22"/>
          <w:szCs w:val="22"/>
        </w:rPr>
        <w:t>G8.</w:t>
      </w:r>
      <w:r w:rsidR="00C74D81" w:rsidRPr="00AE15DA">
        <w:rPr>
          <w:rFonts w:asciiTheme="minorHAnsi" w:hAnsiTheme="minorHAnsi"/>
          <w:b/>
          <w:sz w:val="22"/>
          <w:szCs w:val="22"/>
        </w:rPr>
        <w:t xml:space="preserve"> </w:t>
      </w:r>
      <w:r w:rsidR="0001080D" w:rsidRPr="0001080D">
        <w:rPr>
          <w:rFonts w:asciiTheme="minorHAnsi" w:hAnsiTheme="minorHAnsi"/>
          <w:b/>
          <w:sz w:val="22"/>
          <w:szCs w:val="22"/>
        </w:rPr>
        <w:t>Het is niet aangewezen om SGLT-2-remmers te gebruiken in gevallen met een GFR &lt; 45 ml/min/1,73 m2.</w:t>
      </w:r>
    </w:p>
    <w:p w14:paraId="4692AC16" w14:textId="77777777" w:rsidR="0001080D" w:rsidRPr="0001080D" w:rsidRDefault="0001080D" w:rsidP="0001080D">
      <w:pPr>
        <w:tabs>
          <w:tab w:val="left" w:pos="708"/>
        </w:tabs>
        <w:contextualSpacing/>
        <w:jc w:val="both"/>
        <w:rPr>
          <w:rFonts w:asciiTheme="minorHAnsi" w:hAnsiTheme="minorHAnsi"/>
          <w:i/>
          <w:sz w:val="22"/>
          <w:szCs w:val="22"/>
        </w:rPr>
      </w:pPr>
      <w:r w:rsidRPr="0001080D">
        <w:rPr>
          <w:rFonts w:asciiTheme="minorHAnsi" w:hAnsiTheme="minorHAnsi"/>
          <w:i/>
          <w:sz w:val="22"/>
          <w:szCs w:val="22"/>
        </w:rPr>
        <w:t>*Canagliflozine, empagliflozine en ertugliflozine zijn niet geschikt voor gebruik in gevallen met een GFR &lt; 45 ml/min/1,73 m2, voornamelijk vanwege verminderde werkzaamheid.</w:t>
      </w:r>
    </w:p>
    <w:p w14:paraId="03E09E04" w14:textId="77777777" w:rsidR="0001080D" w:rsidRPr="0001080D" w:rsidRDefault="0001080D" w:rsidP="0001080D">
      <w:pPr>
        <w:tabs>
          <w:tab w:val="left" w:pos="708"/>
        </w:tabs>
        <w:contextualSpacing/>
        <w:jc w:val="both"/>
        <w:rPr>
          <w:rFonts w:asciiTheme="minorHAnsi" w:hAnsiTheme="minorHAnsi"/>
          <w:i/>
          <w:sz w:val="22"/>
          <w:szCs w:val="22"/>
        </w:rPr>
      </w:pPr>
      <w:r w:rsidRPr="0001080D">
        <w:rPr>
          <w:rFonts w:asciiTheme="minorHAnsi" w:hAnsiTheme="minorHAnsi"/>
          <w:i/>
          <w:sz w:val="22"/>
          <w:szCs w:val="22"/>
        </w:rPr>
        <w:lastRenderedPageBreak/>
        <w:t>*Dapagliflozine is vanwege het verminderde effect niet geschikt voor gebruik in gevallen met een GFR &lt;60 ml/min/1,73m2.</w:t>
      </w:r>
    </w:p>
    <w:p w14:paraId="0A3320CF" w14:textId="5B1AA0A5" w:rsidR="002F3D1A" w:rsidRPr="00AE15DA" w:rsidRDefault="0001080D" w:rsidP="0001080D">
      <w:pPr>
        <w:tabs>
          <w:tab w:val="left" w:pos="708"/>
        </w:tabs>
        <w:contextualSpacing/>
        <w:jc w:val="both"/>
        <w:rPr>
          <w:rFonts w:asciiTheme="minorHAnsi" w:hAnsiTheme="minorHAnsi" w:cstheme="minorHAnsi"/>
          <w:sz w:val="22"/>
          <w:szCs w:val="22"/>
        </w:rPr>
      </w:pPr>
      <w:r w:rsidRPr="0001080D">
        <w:rPr>
          <w:rFonts w:asciiTheme="minorHAnsi" w:hAnsiTheme="minorHAnsi"/>
          <w:i/>
          <w:sz w:val="22"/>
          <w:szCs w:val="22"/>
        </w:rPr>
        <w:t>* Het gebruik van SGLT-2-remmers kan worden overwogen voor de behandeling van nefropathie (uitscheiding van albumine in de urine &gt; 300 mg/dag) bij patiënten met een GFR van 30-60 ml/min/1,73 m2.</w:t>
      </w:r>
    </w:p>
    <w:p w14:paraId="667E6E2D" w14:textId="77777777" w:rsidR="002F3D1A" w:rsidRPr="00AE15DA" w:rsidRDefault="002F3D1A" w:rsidP="0043334F">
      <w:pPr>
        <w:tabs>
          <w:tab w:val="left" w:pos="708"/>
        </w:tabs>
        <w:contextualSpacing/>
        <w:jc w:val="both"/>
        <w:rPr>
          <w:rFonts w:asciiTheme="minorHAnsi" w:hAnsiTheme="minorHAnsi" w:cstheme="minorHAnsi"/>
          <w:sz w:val="22"/>
          <w:szCs w:val="22"/>
        </w:rPr>
      </w:pPr>
    </w:p>
    <w:p w14:paraId="08ADE596" w14:textId="77777777" w:rsidR="0001080D" w:rsidRDefault="00EA06A2" w:rsidP="0001080D">
      <w:pPr>
        <w:tabs>
          <w:tab w:val="left" w:pos="708"/>
        </w:tabs>
        <w:contextualSpacing/>
        <w:jc w:val="both"/>
        <w:rPr>
          <w:rFonts w:asciiTheme="minorHAnsi" w:hAnsiTheme="minorHAnsi"/>
          <w:b/>
          <w:sz w:val="22"/>
          <w:szCs w:val="22"/>
        </w:rPr>
      </w:pPr>
      <w:r w:rsidRPr="00AE15DA">
        <w:rPr>
          <w:rFonts w:asciiTheme="minorHAnsi" w:hAnsiTheme="minorHAnsi"/>
          <w:b/>
          <w:sz w:val="22"/>
          <w:szCs w:val="22"/>
        </w:rPr>
        <w:t>G</w:t>
      </w:r>
      <w:r w:rsidR="00C5147A" w:rsidRPr="00AE15DA">
        <w:rPr>
          <w:rFonts w:asciiTheme="minorHAnsi" w:hAnsiTheme="minorHAnsi"/>
          <w:b/>
          <w:sz w:val="22"/>
          <w:szCs w:val="22"/>
        </w:rPr>
        <w:t>9</w:t>
      </w:r>
      <w:r w:rsidRPr="00AE15DA">
        <w:rPr>
          <w:rFonts w:asciiTheme="minorHAnsi" w:hAnsiTheme="minorHAnsi"/>
          <w:b/>
          <w:sz w:val="22"/>
          <w:szCs w:val="22"/>
        </w:rPr>
        <w:t xml:space="preserve">. </w:t>
      </w:r>
      <w:r w:rsidR="0001080D" w:rsidRPr="0001080D">
        <w:rPr>
          <w:rFonts w:asciiTheme="minorHAnsi" w:hAnsiTheme="minorHAnsi"/>
          <w:b/>
          <w:sz w:val="22"/>
          <w:szCs w:val="22"/>
        </w:rPr>
        <w:t>Androgeengebruik is niet geschikt in aanwezigheid van een laag serumtestosteronniveau, dat niet gepaard gaat met symptomen en tekenen die verband houden met androgeentekort.</w:t>
      </w:r>
    </w:p>
    <w:p w14:paraId="4E4A874F" w14:textId="1B9F7F02" w:rsidR="002F3D1A" w:rsidRDefault="0001080D" w:rsidP="0043334F">
      <w:pPr>
        <w:spacing w:before="100" w:beforeAutospacing="1"/>
        <w:contextualSpacing/>
        <w:jc w:val="both"/>
        <w:rPr>
          <w:rFonts w:asciiTheme="minorHAnsi" w:hAnsiTheme="minorHAnsi"/>
          <w:sz w:val="22"/>
          <w:szCs w:val="22"/>
        </w:rPr>
      </w:pPr>
      <w:r w:rsidRPr="0001080D">
        <w:rPr>
          <w:rFonts w:asciiTheme="minorHAnsi" w:hAnsiTheme="minorHAnsi"/>
          <w:sz w:val="22"/>
          <w:szCs w:val="22"/>
        </w:rPr>
        <w:t>*De diagnose hypogonadisme wordt gesteld bij aanhoudend lage serumtestosteronspiegels met symptomen en tekenen van androgeentekort.</w:t>
      </w:r>
    </w:p>
    <w:p w14:paraId="50D84345" w14:textId="77777777" w:rsidR="0001080D" w:rsidRPr="00AE15DA" w:rsidRDefault="0001080D" w:rsidP="0043334F">
      <w:pPr>
        <w:spacing w:before="100" w:beforeAutospacing="1"/>
        <w:contextualSpacing/>
        <w:jc w:val="both"/>
        <w:rPr>
          <w:rFonts w:asciiTheme="minorHAnsi" w:hAnsiTheme="minorHAnsi" w:cstheme="minorHAnsi"/>
          <w:color w:val="000000" w:themeColor="text1"/>
          <w:sz w:val="22"/>
          <w:szCs w:val="22"/>
        </w:rPr>
      </w:pPr>
    </w:p>
    <w:p w14:paraId="1ABD37C3" w14:textId="77777777" w:rsidR="0001080D" w:rsidRDefault="00415CD8" w:rsidP="0001080D">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G</w:t>
      </w:r>
      <w:r w:rsidR="00C5147A" w:rsidRPr="00AE15DA">
        <w:rPr>
          <w:rFonts w:asciiTheme="minorHAnsi" w:hAnsiTheme="minorHAnsi"/>
          <w:b/>
          <w:sz w:val="22"/>
          <w:szCs w:val="22"/>
        </w:rPr>
        <w:t>10</w:t>
      </w:r>
      <w:r w:rsidRPr="00AE15DA">
        <w:rPr>
          <w:rFonts w:asciiTheme="minorHAnsi" w:hAnsiTheme="minorHAnsi"/>
          <w:b/>
          <w:sz w:val="22"/>
          <w:szCs w:val="22"/>
        </w:rPr>
        <w:t xml:space="preserve">. </w:t>
      </w:r>
      <w:r w:rsidR="0001080D" w:rsidRPr="0001080D">
        <w:rPr>
          <w:rFonts w:asciiTheme="minorHAnsi" w:hAnsiTheme="minorHAnsi"/>
          <w:b/>
          <w:sz w:val="22"/>
          <w:szCs w:val="22"/>
        </w:rPr>
        <w:t>Systemisch gebruik van oestrogeen is niet geschikt bij patiënten met een voorgeschiedenis van borstkanker of veneuze trombo-embolie.</w:t>
      </w:r>
    </w:p>
    <w:p w14:paraId="29B72F5F" w14:textId="5F22E4BB" w:rsidR="0043334F" w:rsidRPr="00AE15DA" w:rsidRDefault="0001080D" w:rsidP="0043334F">
      <w:pPr>
        <w:spacing w:after="100" w:afterAutospacing="1"/>
        <w:contextualSpacing/>
        <w:jc w:val="both"/>
        <w:rPr>
          <w:rFonts w:asciiTheme="minorHAnsi" w:hAnsiTheme="minorHAnsi"/>
          <w:bCs/>
          <w:i/>
          <w:sz w:val="22"/>
          <w:szCs w:val="22"/>
        </w:rPr>
      </w:pPr>
      <w:r w:rsidRPr="0001080D">
        <w:rPr>
          <w:rFonts w:asciiTheme="minorHAnsi" w:hAnsiTheme="minorHAnsi"/>
          <w:bCs/>
          <w:i/>
          <w:sz w:val="22"/>
          <w:szCs w:val="22"/>
        </w:rPr>
        <w:t>*Vaginale oestrogeen bij patiënten met een voorgeschiedenis van borstkanker of veneuze trombo-embolie; Bij de behandeling van urogenitale symptomen zoals atrofische vaginitis kan het gegeven worden na niet-hormonale behandelingen, rekening houdend met de winst-verliesbalans.</w:t>
      </w:r>
    </w:p>
    <w:p w14:paraId="4526C7D4" w14:textId="77777777" w:rsidR="00D360FA" w:rsidRPr="00AE15DA" w:rsidRDefault="00D360FA" w:rsidP="0043334F">
      <w:pPr>
        <w:spacing w:before="100" w:beforeAutospacing="1" w:after="100" w:afterAutospacing="1"/>
        <w:contextualSpacing/>
        <w:jc w:val="both"/>
        <w:rPr>
          <w:rFonts w:asciiTheme="minorHAnsi" w:hAnsiTheme="minorHAnsi"/>
          <w:b/>
          <w:bCs/>
          <w:i/>
          <w:sz w:val="22"/>
          <w:szCs w:val="22"/>
        </w:rPr>
      </w:pPr>
    </w:p>
    <w:p w14:paraId="4F2D16DA" w14:textId="26860362" w:rsidR="002F3D1A" w:rsidRPr="00AE15DA" w:rsidRDefault="00415CD8" w:rsidP="0001080D">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sz w:val="22"/>
          <w:szCs w:val="22"/>
        </w:rPr>
        <w:t>G</w:t>
      </w:r>
      <w:r w:rsidR="00730686" w:rsidRPr="00AE15DA">
        <w:rPr>
          <w:rFonts w:asciiTheme="minorHAnsi" w:hAnsiTheme="minorHAnsi"/>
          <w:b/>
          <w:sz w:val="22"/>
          <w:szCs w:val="22"/>
        </w:rPr>
        <w:t>1</w:t>
      </w:r>
      <w:r w:rsidR="00C5147A" w:rsidRPr="00AE15DA">
        <w:rPr>
          <w:rFonts w:asciiTheme="minorHAnsi" w:hAnsiTheme="minorHAnsi"/>
          <w:b/>
          <w:sz w:val="22"/>
          <w:szCs w:val="22"/>
        </w:rPr>
        <w:t>1</w:t>
      </w:r>
      <w:r w:rsidR="0001080D" w:rsidRPr="0001080D">
        <w:rPr>
          <w:rFonts w:asciiTheme="minorHAnsi" w:hAnsiTheme="minorHAnsi"/>
          <w:b/>
          <w:sz w:val="22"/>
          <w:szCs w:val="22"/>
        </w:rPr>
        <w:t>. Oestrogeengebruik zonder gelijktijdig gebruik van progesteron is niet geschikt bij vrouwen met een intacte baarmoeder (risico op endometriumkanker)</w:t>
      </w:r>
    </w:p>
    <w:p w14:paraId="108E5FDD" w14:textId="339A88A4" w:rsidR="002F3D1A" w:rsidRDefault="00415CD8" w:rsidP="0001080D">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G</w:t>
      </w:r>
      <w:r w:rsidR="00730686" w:rsidRPr="00AE15DA">
        <w:rPr>
          <w:rFonts w:asciiTheme="minorHAnsi" w:hAnsiTheme="minorHAnsi"/>
          <w:b/>
          <w:color w:val="000000"/>
          <w:sz w:val="22"/>
          <w:szCs w:val="22"/>
        </w:rPr>
        <w:t>1</w:t>
      </w:r>
      <w:r w:rsidR="00C5147A" w:rsidRPr="00AE15DA">
        <w:rPr>
          <w:rFonts w:asciiTheme="minorHAnsi" w:hAnsiTheme="minorHAnsi"/>
          <w:b/>
          <w:color w:val="000000"/>
          <w:sz w:val="22"/>
          <w:szCs w:val="22"/>
        </w:rPr>
        <w:t>2</w:t>
      </w:r>
      <w:r w:rsidR="0001080D" w:rsidRPr="0001080D">
        <w:rPr>
          <w:rFonts w:asciiTheme="minorHAnsi" w:hAnsiTheme="minorHAnsi"/>
          <w:b/>
          <w:color w:val="000000"/>
          <w:sz w:val="22"/>
          <w:szCs w:val="22"/>
        </w:rPr>
        <w:t>. Het gebruik van megestrol als eetlustversterker is niet geschikt (minimaal effect op gewicht, protrombotische bijwerkingen)</w:t>
      </w:r>
    </w:p>
    <w:p w14:paraId="4A78C9F4" w14:textId="77777777" w:rsidR="0001080D" w:rsidRPr="00AE15DA" w:rsidRDefault="0001080D" w:rsidP="0001080D">
      <w:pPr>
        <w:pStyle w:val="HTMLncedenBiimlendirilmi"/>
        <w:contextualSpacing/>
        <w:jc w:val="both"/>
        <w:rPr>
          <w:rFonts w:asciiTheme="minorHAnsi" w:hAnsiTheme="minorHAnsi" w:cstheme="minorHAnsi"/>
          <w:color w:val="000000"/>
          <w:sz w:val="22"/>
          <w:szCs w:val="22"/>
        </w:rPr>
      </w:pPr>
    </w:p>
    <w:p w14:paraId="7B7E2407" w14:textId="227D621B" w:rsidR="002F3D1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shd w:val="clear" w:color="auto" w:fill="FFFFFF"/>
        </w:rPr>
      </w:pPr>
      <w:r w:rsidRPr="00AE15DA">
        <w:rPr>
          <w:rFonts w:asciiTheme="minorHAnsi" w:hAnsiTheme="minorHAnsi"/>
          <w:b/>
          <w:sz w:val="22"/>
          <w:szCs w:val="22"/>
          <w:shd w:val="clear" w:color="auto" w:fill="FFFFFF"/>
        </w:rPr>
        <w:t>G</w:t>
      </w:r>
      <w:r w:rsidR="00730686" w:rsidRPr="00AE15DA">
        <w:rPr>
          <w:rFonts w:asciiTheme="minorHAnsi" w:hAnsiTheme="minorHAnsi"/>
          <w:b/>
          <w:sz w:val="22"/>
          <w:szCs w:val="22"/>
          <w:shd w:val="clear" w:color="auto" w:fill="FFFFFF"/>
        </w:rPr>
        <w:t>1</w:t>
      </w:r>
      <w:r w:rsidR="00C5147A" w:rsidRPr="00AE15DA">
        <w:rPr>
          <w:rFonts w:asciiTheme="minorHAnsi" w:hAnsiTheme="minorHAnsi"/>
          <w:b/>
          <w:sz w:val="22"/>
          <w:szCs w:val="22"/>
          <w:shd w:val="clear" w:color="auto" w:fill="FFFFFF"/>
        </w:rPr>
        <w:t>3</w:t>
      </w:r>
      <w:r w:rsidRPr="00AE15DA">
        <w:rPr>
          <w:rFonts w:asciiTheme="minorHAnsi" w:hAnsiTheme="minorHAnsi"/>
          <w:b/>
          <w:sz w:val="22"/>
          <w:szCs w:val="22"/>
          <w:shd w:val="clear" w:color="auto" w:fill="FFFFFF"/>
        </w:rPr>
        <w:t xml:space="preserve">. </w:t>
      </w:r>
      <w:r w:rsidR="0001080D" w:rsidRPr="0001080D">
        <w:rPr>
          <w:rFonts w:asciiTheme="minorHAnsi" w:hAnsiTheme="minorHAnsi"/>
          <w:b/>
          <w:sz w:val="22"/>
          <w:szCs w:val="22"/>
          <w:shd w:val="clear" w:color="auto" w:fill="FFFFFF"/>
        </w:rPr>
        <w:t>Bij ouderen met subklinische hypothyreoïdie (TSH: 4-10 mIE/L; fT4: N) is het gebruik van schildklierhormoon niet aangewezen (geen bijkomend voordeel, mogelijk risico op bijwerkingen zoals atriumfibrilleren en osteoporose).</w:t>
      </w:r>
    </w:p>
    <w:p w14:paraId="3F296AE5" w14:textId="77777777" w:rsidR="0001080D" w:rsidRPr="00AE15DA" w:rsidRDefault="0001080D"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14:paraId="31391D86" w14:textId="6702FE7F" w:rsidR="002F3D1A" w:rsidRPr="00AE15DA" w:rsidRDefault="007C70E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r w:rsidRPr="00AE15DA">
        <w:rPr>
          <w:rFonts w:asciiTheme="minorHAnsi" w:hAnsiTheme="minorHAnsi"/>
          <w:b/>
          <w:sz w:val="28"/>
          <w:szCs w:val="28"/>
        </w:rPr>
        <w:t xml:space="preserve">H: </w:t>
      </w:r>
      <w:r w:rsidR="0001080D" w:rsidRPr="0001080D">
        <w:rPr>
          <w:rFonts w:asciiTheme="minorHAnsi" w:hAnsiTheme="minorHAnsi"/>
          <w:b/>
          <w:sz w:val="28"/>
          <w:szCs w:val="28"/>
        </w:rPr>
        <w:t>Antimuscarine-anticholinerge belasting</w:t>
      </w:r>
    </w:p>
    <w:p w14:paraId="772E769E" w14:textId="77777777"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14:paraId="006F6908" w14:textId="7608A583" w:rsidR="0001080D" w:rsidRDefault="004816D3" w:rsidP="00010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r w:rsidRPr="00AE15DA">
        <w:rPr>
          <w:rFonts w:asciiTheme="minorHAnsi" w:hAnsiTheme="minorHAnsi"/>
          <w:b/>
          <w:sz w:val="22"/>
          <w:szCs w:val="22"/>
        </w:rPr>
        <w:t>H</w:t>
      </w:r>
      <w:r w:rsidR="001E43C4" w:rsidRPr="00AE15DA">
        <w:rPr>
          <w:rFonts w:asciiTheme="minorHAnsi" w:hAnsiTheme="minorHAnsi"/>
          <w:b/>
          <w:sz w:val="22"/>
          <w:szCs w:val="22"/>
        </w:rPr>
        <w:t>1</w:t>
      </w:r>
      <w:r w:rsidRPr="00AE15DA">
        <w:rPr>
          <w:rFonts w:asciiTheme="minorHAnsi" w:hAnsiTheme="minorHAnsi"/>
          <w:b/>
          <w:sz w:val="22"/>
          <w:szCs w:val="22"/>
        </w:rPr>
        <w:t xml:space="preserve">. </w:t>
      </w:r>
      <w:r w:rsidR="0001080D" w:rsidRPr="0001080D">
        <w:rPr>
          <w:rFonts w:asciiTheme="minorHAnsi" w:hAnsiTheme="minorHAnsi"/>
          <w:b/>
          <w:sz w:val="22"/>
          <w:szCs w:val="22"/>
        </w:rPr>
        <w:t>Geneesmiddelen met sterke anticholinerge effecten - tricyclische antidepressiva, chloorpromazine, thioridazine, clozapine, olanzapine, hyoscine, orale oxybutynine, antihistaminica van de eerste generatie (feniramine, chloorfeniramine, hydroxyzine, cyproheptadine, dimenhydrinaat, difenhydramine, meclizine) zijn niet</w:t>
      </w:r>
      <w:r w:rsidR="0001080D">
        <w:rPr>
          <w:rFonts w:asciiTheme="minorHAnsi" w:hAnsiTheme="minorHAnsi"/>
          <w:b/>
          <w:sz w:val="22"/>
          <w:szCs w:val="22"/>
        </w:rPr>
        <w:t xml:space="preserve"> geschikt in de volgende situaties</w:t>
      </w:r>
    </w:p>
    <w:p w14:paraId="44C280F6" w14:textId="77777777" w:rsidR="00D463B1" w:rsidRDefault="00D463B1" w:rsidP="00010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p>
    <w:p w14:paraId="4AF1561B" w14:textId="77777777" w:rsidR="00D463B1" w:rsidRDefault="001E43C4" w:rsidP="00D46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r w:rsidRPr="00AE15DA">
        <w:rPr>
          <w:rFonts w:asciiTheme="minorHAnsi" w:hAnsiTheme="minorHAnsi"/>
          <w:b/>
          <w:sz w:val="22"/>
          <w:szCs w:val="22"/>
        </w:rPr>
        <w:tab/>
      </w:r>
      <w:r w:rsidR="00D463B1" w:rsidRPr="00D463B1">
        <w:rPr>
          <w:rFonts w:asciiTheme="minorHAnsi" w:hAnsiTheme="minorHAnsi"/>
          <w:b/>
          <w:sz w:val="22"/>
          <w:szCs w:val="22"/>
        </w:rPr>
        <w:t>Vallen/obstipatie/smallehoekglaucoom/dementie/delirium/urineretentie/obstructieve LUTS-symptomen bij mannen/gelijktijdig gebruik van geneesmiddelen met sterke anticholinerge effecten</w:t>
      </w:r>
    </w:p>
    <w:p w14:paraId="57AD4C03" w14:textId="77777777" w:rsidR="00D463B1" w:rsidRPr="00D463B1" w:rsidRDefault="00D463B1" w:rsidP="00D463B1">
      <w:pPr>
        <w:spacing w:after="100" w:afterAutospacing="1"/>
        <w:contextualSpacing/>
        <w:jc w:val="both"/>
        <w:rPr>
          <w:rFonts w:asciiTheme="minorHAnsi" w:hAnsiTheme="minorHAnsi"/>
          <w:i/>
          <w:sz w:val="22"/>
          <w:szCs w:val="22"/>
          <w:shd w:val="clear" w:color="auto" w:fill="FFFFFF"/>
        </w:rPr>
      </w:pPr>
      <w:r w:rsidRPr="00D463B1">
        <w:rPr>
          <w:rFonts w:asciiTheme="minorHAnsi" w:hAnsiTheme="minorHAnsi"/>
          <w:i/>
          <w:sz w:val="22"/>
          <w:szCs w:val="22"/>
          <w:shd w:val="clear" w:color="auto" w:fill="FFFFFF"/>
        </w:rPr>
        <w:t>*Over het algemeen verdient het gebruik van geneesmiddelen met sterke anticholinerge effecten niet de voorkeur bij ouderen; In geval van klinische noodzaak, moet het zorgvuldig worden gevolgd in termen van bijwerkingen.</w:t>
      </w:r>
    </w:p>
    <w:p w14:paraId="13327121" w14:textId="2E49F020" w:rsidR="002F3D1A" w:rsidRPr="00AE15DA" w:rsidRDefault="00D463B1" w:rsidP="00D463B1">
      <w:pPr>
        <w:spacing w:after="100" w:afterAutospacing="1"/>
        <w:contextualSpacing/>
        <w:jc w:val="both"/>
        <w:rPr>
          <w:rFonts w:asciiTheme="minorHAnsi" w:hAnsiTheme="minorHAnsi"/>
          <w:i/>
          <w:sz w:val="22"/>
          <w:szCs w:val="22"/>
        </w:rPr>
      </w:pPr>
      <w:r w:rsidRPr="00D463B1">
        <w:rPr>
          <w:rFonts w:asciiTheme="minorHAnsi" w:hAnsiTheme="minorHAnsi"/>
          <w:i/>
          <w:sz w:val="22"/>
          <w:szCs w:val="22"/>
          <w:shd w:val="clear" w:color="auto" w:fill="FFFFFF"/>
        </w:rPr>
        <w:t>*Parenteraal gebruik van antihistaminica van de eerste generatie is geschikt bij een acute allergische reactie.</w:t>
      </w:r>
    </w:p>
    <w:p w14:paraId="0A81567C" w14:textId="77777777" w:rsidR="002F3D1A" w:rsidRPr="00AE15DA" w:rsidRDefault="002F3D1A" w:rsidP="0043334F">
      <w:pPr>
        <w:contextualSpacing/>
        <w:jc w:val="both"/>
        <w:rPr>
          <w:rFonts w:asciiTheme="minorHAnsi" w:hAnsiTheme="minorHAnsi" w:cstheme="minorHAnsi"/>
          <w:color w:val="000000"/>
          <w:sz w:val="22"/>
          <w:szCs w:val="22"/>
        </w:rPr>
      </w:pPr>
    </w:p>
    <w:p w14:paraId="33205FE6" w14:textId="11BA3652" w:rsidR="002F3D1A" w:rsidRPr="00AE15DA"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J: </w:t>
      </w:r>
      <w:r w:rsidR="00D463B1" w:rsidRPr="00D463B1">
        <w:rPr>
          <w:rFonts w:asciiTheme="minorHAnsi" w:hAnsiTheme="minorHAnsi"/>
          <w:b/>
          <w:sz w:val="28"/>
          <w:szCs w:val="28"/>
        </w:rPr>
        <w:t>Supplementen.</w:t>
      </w:r>
    </w:p>
    <w:p w14:paraId="6C41EAFA" w14:textId="77777777" w:rsidR="002F3D1A" w:rsidRPr="00AE15DA" w:rsidRDefault="002F3D1A" w:rsidP="0043334F">
      <w:pPr>
        <w:contextualSpacing/>
        <w:jc w:val="both"/>
        <w:rPr>
          <w:rFonts w:asciiTheme="minorHAnsi" w:hAnsiTheme="minorHAnsi"/>
          <w:b/>
          <w:sz w:val="28"/>
          <w:szCs w:val="28"/>
        </w:rPr>
      </w:pPr>
    </w:p>
    <w:p w14:paraId="37E05D73" w14:textId="299EB799" w:rsidR="00D21A73" w:rsidRPr="00AE15DA" w:rsidRDefault="004816D3" w:rsidP="0043334F">
      <w:pPr>
        <w:contextualSpacing/>
        <w:jc w:val="both"/>
        <w:rPr>
          <w:rFonts w:asciiTheme="minorHAnsi" w:hAnsiTheme="minorHAnsi"/>
          <w:b/>
          <w:sz w:val="28"/>
          <w:szCs w:val="28"/>
        </w:rPr>
      </w:pPr>
      <w:r w:rsidRPr="00AE15DA">
        <w:rPr>
          <w:rFonts w:asciiTheme="minorHAnsi" w:hAnsiTheme="minorHAnsi"/>
          <w:b/>
          <w:sz w:val="22"/>
          <w:szCs w:val="22"/>
        </w:rPr>
        <w:t xml:space="preserve">J1. </w:t>
      </w:r>
      <w:r w:rsidR="00D463B1" w:rsidRPr="00D463B1">
        <w:rPr>
          <w:rFonts w:asciiTheme="minorHAnsi" w:hAnsiTheme="minorHAnsi"/>
          <w:b/>
          <w:sz w:val="22"/>
          <w:szCs w:val="22"/>
        </w:rPr>
        <w:t>Het gebruik van gingko biloba-extract is niet geschikt in gevallen met bloedingsrisico (gebruik van anticoagulantia, gebruik van NSAID's, significante bloedingsgeschiedenis).</w:t>
      </w:r>
    </w:p>
    <w:p w14:paraId="52B1A8B1" w14:textId="61D13FE9" w:rsidR="002F3D1A" w:rsidRPr="00AE15DA" w:rsidRDefault="00D463B1" w:rsidP="0043334F">
      <w:pPr>
        <w:shd w:val="clear" w:color="auto" w:fill="FFFFFF"/>
        <w:spacing w:after="100" w:afterAutospacing="1"/>
        <w:contextualSpacing/>
        <w:jc w:val="both"/>
        <w:rPr>
          <w:rFonts w:asciiTheme="minorHAnsi" w:hAnsiTheme="minorHAnsi"/>
          <w:color w:val="000000" w:themeColor="text1"/>
          <w:sz w:val="22"/>
          <w:szCs w:val="22"/>
        </w:rPr>
      </w:pPr>
      <w:r w:rsidRPr="00D463B1">
        <w:rPr>
          <w:rFonts w:asciiTheme="minorHAnsi" w:hAnsiTheme="minorHAnsi"/>
          <w:color w:val="000000"/>
          <w:sz w:val="22"/>
          <w:szCs w:val="22"/>
        </w:rPr>
        <w:t>*Het risico op bloedingen neemt toe bij het gebruik van aspirine met gingko biloba; Het kan beter zijn om ze niet in combinatie te gebruiken.</w:t>
      </w:r>
    </w:p>
    <w:p w14:paraId="6735D778" w14:textId="77777777"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14:paraId="1797F54E" w14:textId="77777777"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14:paraId="3A140F84" w14:textId="60F78179" w:rsidR="00A8214A" w:rsidRDefault="004816D3" w:rsidP="00D463B1">
      <w:pPr>
        <w:shd w:val="clear" w:color="auto" w:fill="FFFFFF"/>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lastRenderedPageBreak/>
        <w:t xml:space="preserve">J2. </w:t>
      </w:r>
      <w:r w:rsidR="00D463B1" w:rsidRPr="00D463B1">
        <w:rPr>
          <w:rFonts w:asciiTheme="minorHAnsi" w:hAnsiTheme="minorHAnsi"/>
          <w:b/>
          <w:sz w:val="22"/>
          <w:szCs w:val="22"/>
        </w:rPr>
        <w:t>Sint-janskruid is niet geschikt voor systemisch gebruik bij patiënten die antidepressiva gebruiken (vooral het risico op serotonerge syndroom met SSRI's) en bij patiënten die geneesmiddelen gebruiken die worden gemetaboliseerd door cytochroom p450 (bijv. digoxine, theofylline, warfarine, carbamazepine, fenytoïne, fenobarbital) (St. Sint-Janskruid activeert cytochroom p450)</w:t>
      </w:r>
    </w:p>
    <w:p w14:paraId="122EE696" w14:textId="77777777" w:rsidR="00D463B1" w:rsidRPr="00AE15DA" w:rsidRDefault="00D463B1" w:rsidP="00D463B1">
      <w:pPr>
        <w:shd w:val="clear" w:color="auto" w:fill="FFFFFF"/>
        <w:spacing w:before="100" w:beforeAutospacing="1" w:after="100" w:afterAutospacing="1"/>
        <w:contextualSpacing/>
        <w:jc w:val="both"/>
        <w:rPr>
          <w:rFonts w:asciiTheme="minorHAnsi" w:hAnsiTheme="minorHAnsi"/>
          <w:b/>
          <w:color w:val="000000" w:themeColor="text1"/>
          <w:sz w:val="22"/>
          <w:szCs w:val="22"/>
        </w:rPr>
      </w:pPr>
    </w:p>
    <w:p w14:paraId="51F333FE" w14:textId="77777777" w:rsidR="00D463B1" w:rsidRDefault="00C6392A" w:rsidP="0043334F">
      <w:pPr>
        <w:contextualSpacing/>
        <w:jc w:val="both"/>
        <w:rPr>
          <w:rFonts w:asciiTheme="minorHAnsi" w:hAnsiTheme="minorHAnsi"/>
          <w:b/>
          <w:color w:val="000000" w:themeColor="text1"/>
          <w:sz w:val="22"/>
          <w:szCs w:val="22"/>
        </w:rPr>
      </w:pPr>
      <w:r>
        <w:rPr>
          <w:rFonts w:ascii="Calibri" w:hAnsi="Calibri" w:cs="Calibri"/>
          <w:b/>
          <w:sz w:val="22"/>
          <w:szCs w:val="22"/>
        </w:rPr>
        <w:t>#</w:t>
      </w:r>
      <w:r w:rsidR="00552087" w:rsidRPr="00AE15DA">
        <w:rPr>
          <w:rFonts w:asciiTheme="minorHAnsi" w:hAnsiTheme="minorHAnsi"/>
          <w:b/>
          <w:color w:val="000000" w:themeColor="text1"/>
          <w:sz w:val="22"/>
          <w:szCs w:val="22"/>
        </w:rPr>
        <w:t>J3.</w:t>
      </w:r>
      <w:r w:rsidR="006C7F78" w:rsidRPr="00AE15DA">
        <w:rPr>
          <w:rFonts w:asciiTheme="minorHAnsi" w:hAnsiTheme="minorHAnsi"/>
          <w:b/>
          <w:color w:val="000000" w:themeColor="text1"/>
          <w:sz w:val="22"/>
          <w:szCs w:val="22"/>
        </w:rPr>
        <w:t xml:space="preserve"> </w:t>
      </w:r>
      <w:r w:rsidR="00D463B1" w:rsidRPr="00D463B1">
        <w:rPr>
          <w:rFonts w:asciiTheme="minorHAnsi" w:hAnsiTheme="minorHAnsi"/>
          <w:b/>
          <w:color w:val="000000" w:themeColor="text1"/>
          <w:sz w:val="22"/>
          <w:szCs w:val="22"/>
        </w:rPr>
        <w:t>Suppletie is niet aangewezen bij patiënten die warfarine gebruiken (vanwege een mogelijk verhoogd risico op bloedingen)</w:t>
      </w:r>
    </w:p>
    <w:p w14:paraId="521FDEC3" w14:textId="71E8BF07" w:rsidR="00F613FF" w:rsidRPr="00AE15DA" w:rsidRDefault="00D463B1" w:rsidP="0043334F">
      <w:pPr>
        <w:contextualSpacing/>
        <w:jc w:val="both"/>
        <w:rPr>
          <w:rFonts w:asciiTheme="minorHAnsi" w:hAnsiTheme="minorHAnsi"/>
          <w:i/>
          <w:color w:val="000000" w:themeColor="text1"/>
          <w:sz w:val="22"/>
          <w:szCs w:val="22"/>
        </w:rPr>
      </w:pPr>
      <w:r w:rsidRPr="00D463B1">
        <w:rPr>
          <w:rFonts w:asciiTheme="minorHAnsi" w:hAnsiTheme="minorHAnsi"/>
          <w:color w:val="000000" w:themeColor="text1"/>
          <w:sz w:val="22"/>
          <w:szCs w:val="22"/>
        </w:rPr>
        <w:t xml:space="preserve">*Veel oraal gebruikte supplementen (bijv. </w:t>
      </w:r>
      <w:proofErr w:type="gramStart"/>
      <w:r w:rsidRPr="00D463B1">
        <w:rPr>
          <w:rFonts w:asciiTheme="minorHAnsi" w:hAnsiTheme="minorHAnsi"/>
          <w:color w:val="000000" w:themeColor="text1"/>
          <w:sz w:val="22"/>
          <w:szCs w:val="22"/>
        </w:rPr>
        <w:t>ginseng</w:t>
      </w:r>
      <w:proofErr w:type="gramEnd"/>
      <w:r w:rsidRPr="00D463B1">
        <w:rPr>
          <w:rFonts w:asciiTheme="minorHAnsi" w:hAnsiTheme="minorHAnsi"/>
          <w:color w:val="000000" w:themeColor="text1"/>
          <w:sz w:val="22"/>
          <w:szCs w:val="22"/>
        </w:rPr>
        <w:t>, knoflook, kurkuma, gember, duivelsklauw, sint-janskruid, co-enzym Q10, groene thee, enz.) kunnen het risico op bloedingen verhogen door de anticoagulerende werking van warfarine te versterken.</w:t>
      </w:r>
    </w:p>
    <w:p w14:paraId="33678B18" w14:textId="03DECCC5" w:rsidR="00846115" w:rsidRDefault="0084611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15625C03" w14:textId="77777777" w:rsidR="00FC26A6" w:rsidRDefault="00FC26A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14:paraId="2D9FD5DA" w14:textId="5877060A" w:rsidR="00121BFE" w:rsidRDefault="00121BFE" w:rsidP="00121BFE">
      <w:pPr>
        <w:contextualSpacing/>
        <w:jc w:val="both"/>
        <w:rPr>
          <w:rFonts w:asciiTheme="minorHAnsi" w:hAnsiTheme="minorHAnsi" w:cstheme="minorHAnsi"/>
          <w:bCs/>
          <w:color w:val="000000"/>
          <w:shd w:val="clear" w:color="auto" w:fill="FFFFFF"/>
        </w:rPr>
      </w:pPr>
      <w:r w:rsidRPr="000C6676">
        <w:rPr>
          <w:rFonts w:asciiTheme="minorHAnsi" w:hAnsiTheme="minorHAnsi" w:cstheme="minorHAnsi"/>
          <w:bCs/>
        </w:rPr>
        <w:t>#</w:t>
      </w:r>
      <w:r w:rsidR="00D463B1" w:rsidRPr="00D463B1">
        <w:t xml:space="preserve"> </w:t>
      </w:r>
      <w:r w:rsidR="00D463B1" w:rsidRPr="00D463B1">
        <w:rPr>
          <w:rFonts w:asciiTheme="minorHAnsi" w:hAnsiTheme="minorHAnsi" w:cstheme="minorHAnsi"/>
          <w:bCs/>
          <w:color w:val="000000"/>
          <w:shd w:val="clear" w:color="auto" w:fill="FFFFFF"/>
        </w:rPr>
        <w:t xml:space="preserve">Criteria die geen consensus hebben opgeleverd in de </w:t>
      </w:r>
      <w:r w:rsidR="00D463B1">
        <w:rPr>
          <w:rFonts w:asciiTheme="minorHAnsi" w:hAnsiTheme="minorHAnsi" w:cstheme="minorHAnsi"/>
          <w:bCs/>
          <w:color w:val="000000"/>
          <w:shd w:val="clear" w:color="auto" w:fill="FFFFFF"/>
        </w:rPr>
        <w:t>International Delphi-panelstudi</w:t>
      </w:r>
    </w:p>
    <w:p w14:paraId="323F93A2" w14:textId="7E9D7BF8" w:rsidR="00D463B1" w:rsidRDefault="00D463B1" w:rsidP="00121BFE">
      <w:pPr>
        <w:contextualSpacing/>
        <w:jc w:val="both"/>
        <w:rPr>
          <w:rFonts w:asciiTheme="minorHAnsi" w:hAnsiTheme="minorHAnsi" w:cstheme="minorHAnsi"/>
          <w:bCs/>
          <w:color w:val="000000"/>
          <w:shd w:val="clear" w:color="auto" w:fill="FFFFFF"/>
        </w:rPr>
      </w:pPr>
      <w:bookmarkStart w:id="0" w:name="_GoBack"/>
      <w:bookmarkEnd w:id="0"/>
    </w:p>
    <w:p w14:paraId="09A1D0D0" w14:textId="1FD4818C" w:rsidR="00D463B1" w:rsidRDefault="00D463B1" w:rsidP="00121BFE">
      <w:pPr>
        <w:contextualSpacing/>
        <w:jc w:val="both"/>
        <w:rPr>
          <w:rFonts w:asciiTheme="minorHAnsi" w:hAnsiTheme="minorHAnsi" w:cstheme="minorHAnsi"/>
          <w:bCs/>
          <w:color w:val="000000"/>
          <w:shd w:val="clear" w:color="auto" w:fill="FFFFFF"/>
        </w:rPr>
      </w:pPr>
    </w:p>
    <w:p w14:paraId="11D3FCA8"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afkortingen:</w:t>
      </w:r>
    </w:p>
    <w:p w14:paraId="0C907161" w14:textId="77777777" w:rsidR="00D463B1" w:rsidRPr="00D463B1" w:rsidRDefault="00D463B1" w:rsidP="00D463B1">
      <w:pPr>
        <w:contextualSpacing/>
        <w:jc w:val="both"/>
        <w:rPr>
          <w:rFonts w:asciiTheme="minorHAnsi" w:hAnsiTheme="minorHAnsi" w:cstheme="minorHAnsi"/>
          <w:bCs/>
          <w:i/>
        </w:rPr>
      </w:pPr>
    </w:p>
    <w:p w14:paraId="1C5A607F"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AF: atriale fibrillatie</w:t>
      </w:r>
    </w:p>
    <w:p w14:paraId="52349BD6"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ACEI: Angiotensine-converterende enzymremmers</w:t>
      </w:r>
    </w:p>
    <w:p w14:paraId="474B4752"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ARB: Angiotensine-receptorblokkers</w:t>
      </w:r>
    </w:p>
    <w:p w14:paraId="2DFBE1D1" w14:textId="77777777" w:rsidR="00D463B1" w:rsidRPr="00D463B1" w:rsidRDefault="00D463B1" w:rsidP="00D463B1">
      <w:pPr>
        <w:contextualSpacing/>
        <w:jc w:val="both"/>
        <w:rPr>
          <w:rFonts w:asciiTheme="minorHAnsi" w:hAnsiTheme="minorHAnsi" w:cstheme="minorHAnsi"/>
          <w:bCs/>
          <w:i/>
        </w:rPr>
      </w:pPr>
      <w:proofErr w:type="gramStart"/>
      <w:r w:rsidRPr="00D463B1">
        <w:rPr>
          <w:rFonts w:asciiTheme="minorHAnsi" w:hAnsiTheme="minorHAnsi" w:cstheme="minorHAnsi"/>
          <w:bCs/>
          <w:i/>
        </w:rPr>
        <w:t>ChEI's:Acetylcholinesteraseremmers</w:t>
      </w:r>
      <w:proofErr w:type="gramEnd"/>
    </w:p>
    <w:p w14:paraId="3312DE47"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DM: Diabetes mellitus</w:t>
      </w:r>
    </w:p>
    <w:p w14:paraId="75E60AFA"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EF: Ejectiefractie</w:t>
      </w:r>
    </w:p>
    <w:p w14:paraId="15401A13"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eGFR: geschatte glomerulaire filtratiesnelheid</w:t>
      </w:r>
    </w:p>
    <w:p w14:paraId="57350B1D"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FDA: Food and Drug Administration</w:t>
      </w:r>
    </w:p>
    <w:p w14:paraId="28F84AED"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GIS: Gastro-intestinaal systeem</w:t>
      </w:r>
    </w:p>
    <w:p w14:paraId="585F3572"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TIA: voorbijgaande ischemische aanval</w:t>
      </w:r>
    </w:p>
    <w:p w14:paraId="57923DF7"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GER: gastro-oesofageale reflux</w:t>
      </w:r>
    </w:p>
    <w:p w14:paraId="2060079F"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H1-receptor: Histamine 1-receptor</w:t>
      </w:r>
    </w:p>
    <w:p w14:paraId="1F111EE7"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HT: Hypertensie</w:t>
      </w:r>
    </w:p>
    <w:p w14:paraId="6EDB49F9"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INR: internationale genormaliseerde verhouding</w:t>
      </w:r>
    </w:p>
    <w:p w14:paraId="6DB1CF4A"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COPD: chronische obstructieve longziekte</w:t>
      </w:r>
    </w:p>
    <w:p w14:paraId="596A3135"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LUTS: symptomen van lagere urinewegen</w:t>
      </w:r>
    </w:p>
    <w:p w14:paraId="59EEAAAD"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MI: myocardinfarct</w:t>
      </w:r>
    </w:p>
    <w:p w14:paraId="34168252"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CNS: centraal zenuwstelsel</w:t>
      </w:r>
    </w:p>
    <w:p w14:paraId="5E92449A"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NSAID: niet-steroïde anti-inflammatoire geneesmiddelen</w:t>
      </w:r>
    </w:p>
    <w:p w14:paraId="2C5EA65B"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NYHA: New York Heart Association</w:t>
      </w:r>
    </w:p>
    <w:p w14:paraId="4620C5CD"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OAC: orale anticoagulantia</w:t>
      </w:r>
    </w:p>
    <w:p w14:paraId="72513405"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PMR: residu na mictie</w:t>
      </w:r>
    </w:p>
    <w:p w14:paraId="304588E5"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pO2: Gedeeltelijke zuurstofdruk</w:t>
      </w:r>
    </w:p>
    <w:p w14:paraId="76A19460"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PPI: Protonpompremmers</w:t>
      </w:r>
    </w:p>
    <w:p w14:paraId="2FC62940"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QTc: gecorrigeerd QT-interval</w:t>
      </w:r>
    </w:p>
    <w:p w14:paraId="6029582F"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RAS: Renine-angiotensinesysteem</w:t>
      </w:r>
    </w:p>
    <w:p w14:paraId="2D28FE68"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SGLT-2: Natrium-glucose cotransporter-2</w:t>
      </w:r>
    </w:p>
    <w:p w14:paraId="18B4B4E0"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SNRI's: serotonine-noradrenalineheropnameremmers</w:t>
      </w:r>
    </w:p>
    <w:p w14:paraId="678BA7BA" w14:textId="77777777" w:rsidR="00D463B1" w:rsidRPr="00D463B1" w:rsidRDefault="00D463B1" w:rsidP="00D463B1">
      <w:pPr>
        <w:contextualSpacing/>
        <w:jc w:val="both"/>
        <w:rPr>
          <w:rFonts w:asciiTheme="minorHAnsi" w:hAnsiTheme="minorHAnsi" w:cstheme="minorHAnsi"/>
          <w:bCs/>
          <w:i/>
        </w:rPr>
      </w:pPr>
      <w:r w:rsidRPr="00D463B1">
        <w:rPr>
          <w:rFonts w:asciiTheme="minorHAnsi" w:hAnsiTheme="minorHAnsi" w:cstheme="minorHAnsi"/>
          <w:bCs/>
          <w:i/>
        </w:rPr>
        <w:t>SSRI's: selectieve serotonineheropnameremmers</w:t>
      </w:r>
    </w:p>
    <w:p w14:paraId="06848E3F" w14:textId="5C8893DD" w:rsidR="004F6EEC" w:rsidRPr="00181929" w:rsidRDefault="00D463B1" w:rsidP="00516BDA">
      <w:pPr>
        <w:contextualSpacing/>
        <w:jc w:val="both"/>
        <w:rPr>
          <w:rFonts w:asciiTheme="minorHAnsi" w:hAnsiTheme="minorHAnsi"/>
          <w:color w:val="000000" w:themeColor="text1"/>
          <w:sz w:val="22"/>
          <w:szCs w:val="22"/>
          <w:vertAlign w:val="superscript"/>
        </w:rPr>
      </w:pPr>
      <w:r w:rsidRPr="00D463B1">
        <w:rPr>
          <w:rFonts w:asciiTheme="minorHAnsi" w:hAnsiTheme="minorHAnsi" w:cstheme="minorHAnsi"/>
          <w:bCs/>
          <w:i/>
        </w:rPr>
        <w:t>TSH</w:t>
      </w:r>
      <w:r w:rsidR="00516BDA">
        <w:rPr>
          <w:rFonts w:asciiTheme="minorHAnsi" w:hAnsiTheme="minorHAnsi" w:cstheme="minorHAnsi"/>
          <w:bCs/>
          <w:i/>
        </w:rPr>
        <w:t>: Schildklierstimulerend hormo</w:t>
      </w:r>
    </w:p>
    <w:sectPr w:rsidR="004F6EEC" w:rsidRPr="00181929" w:rsidSect="003E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B64D1"/>
    <w:multiLevelType w:val="hybridMultilevel"/>
    <w:tmpl w:val="CD9A3100"/>
    <w:lvl w:ilvl="0" w:tplc="C5BA2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D57070F"/>
    <w:multiLevelType w:val="hybridMultilevel"/>
    <w:tmpl w:val="EC447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956F4"/>
    <w:multiLevelType w:val="hybridMultilevel"/>
    <w:tmpl w:val="E4D8DB2A"/>
    <w:lvl w:ilvl="0" w:tplc="36FE1B8A">
      <w:start w:val="8"/>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41A2D"/>
    <w:multiLevelType w:val="hybridMultilevel"/>
    <w:tmpl w:val="ED102BF2"/>
    <w:lvl w:ilvl="0" w:tplc="16A4F3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F30FB"/>
    <w:multiLevelType w:val="hybridMultilevel"/>
    <w:tmpl w:val="73306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E734F2"/>
    <w:multiLevelType w:val="hybridMultilevel"/>
    <w:tmpl w:val="7D68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30F27"/>
    <w:multiLevelType w:val="hybridMultilevel"/>
    <w:tmpl w:val="F7E6D4B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C465DE"/>
    <w:multiLevelType w:val="hybridMultilevel"/>
    <w:tmpl w:val="382413DE"/>
    <w:lvl w:ilvl="0" w:tplc="000AFE02">
      <w:start w:val="201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D173396"/>
    <w:multiLevelType w:val="hybridMultilevel"/>
    <w:tmpl w:val="A2F65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FFE0002"/>
    <w:multiLevelType w:val="hybridMultilevel"/>
    <w:tmpl w:val="2A2E86BE"/>
    <w:lvl w:ilvl="0" w:tplc="D1F07BDC">
      <w:start w:val="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84945"/>
    <w:multiLevelType w:val="hybridMultilevel"/>
    <w:tmpl w:val="E5AC8848"/>
    <w:lvl w:ilvl="0" w:tplc="FEA21AC2">
      <w:start w:val="3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D37E79"/>
    <w:multiLevelType w:val="hybridMultilevel"/>
    <w:tmpl w:val="C714D80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5622A8"/>
    <w:multiLevelType w:val="hybridMultilevel"/>
    <w:tmpl w:val="BFDE5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CC20DA"/>
    <w:multiLevelType w:val="hybridMultilevel"/>
    <w:tmpl w:val="12EC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C43D0B"/>
    <w:multiLevelType w:val="hybridMultilevel"/>
    <w:tmpl w:val="936AF2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0870A7"/>
    <w:multiLevelType w:val="hybridMultilevel"/>
    <w:tmpl w:val="2A7E90CE"/>
    <w:lvl w:ilvl="0" w:tplc="CC382E9C">
      <w:start w:val="1"/>
      <w:numFmt w:val="bullet"/>
      <w:lvlText w:val="•"/>
      <w:lvlJc w:val="left"/>
      <w:pPr>
        <w:tabs>
          <w:tab w:val="num" w:pos="720"/>
        </w:tabs>
        <w:ind w:left="720" w:hanging="360"/>
      </w:pPr>
      <w:rPr>
        <w:rFonts w:ascii="Arial" w:hAnsi="Arial" w:hint="default"/>
      </w:rPr>
    </w:lvl>
    <w:lvl w:ilvl="1" w:tplc="7CD8C6BC" w:tentative="1">
      <w:start w:val="1"/>
      <w:numFmt w:val="bullet"/>
      <w:lvlText w:val="•"/>
      <w:lvlJc w:val="left"/>
      <w:pPr>
        <w:tabs>
          <w:tab w:val="num" w:pos="1440"/>
        </w:tabs>
        <w:ind w:left="1440" w:hanging="360"/>
      </w:pPr>
      <w:rPr>
        <w:rFonts w:ascii="Arial" w:hAnsi="Arial" w:hint="default"/>
      </w:rPr>
    </w:lvl>
    <w:lvl w:ilvl="2" w:tplc="9014CDB8" w:tentative="1">
      <w:start w:val="1"/>
      <w:numFmt w:val="bullet"/>
      <w:lvlText w:val="•"/>
      <w:lvlJc w:val="left"/>
      <w:pPr>
        <w:tabs>
          <w:tab w:val="num" w:pos="2160"/>
        </w:tabs>
        <w:ind w:left="2160" w:hanging="360"/>
      </w:pPr>
      <w:rPr>
        <w:rFonts w:ascii="Arial" w:hAnsi="Arial" w:hint="default"/>
      </w:rPr>
    </w:lvl>
    <w:lvl w:ilvl="3" w:tplc="A38EFF6E" w:tentative="1">
      <w:start w:val="1"/>
      <w:numFmt w:val="bullet"/>
      <w:lvlText w:val="•"/>
      <w:lvlJc w:val="left"/>
      <w:pPr>
        <w:tabs>
          <w:tab w:val="num" w:pos="2880"/>
        </w:tabs>
        <w:ind w:left="2880" w:hanging="360"/>
      </w:pPr>
      <w:rPr>
        <w:rFonts w:ascii="Arial" w:hAnsi="Arial" w:hint="default"/>
      </w:rPr>
    </w:lvl>
    <w:lvl w:ilvl="4" w:tplc="EC423EC0" w:tentative="1">
      <w:start w:val="1"/>
      <w:numFmt w:val="bullet"/>
      <w:lvlText w:val="•"/>
      <w:lvlJc w:val="left"/>
      <w:pPr>
        <w:tabs>
          <w:tab w:val="num" w:pos="3600"/>
        </w:tabs>
        <w:ind w:left="3600" w:hanging="360"/>
      </w:pPr>
      <w:rPr>
        <w:rFonts w:ascii="Arial" w:hAnsi="Arial" w:hint="default"/>
      </w:rPr>
    </w:lvl>
    <w:lvl w:ilvl="5" w:tplc="A40C065C" w:tentative="1">
      <w:start w:val="1"/>
      <w:numFmt w:val="bullet"/>
      <w:lvlText w:val="•"/>
      <w:lvlJc w:val="left"/>
      <w:pPr>
        <w:tabs>
          <w:tab w:val="num" w:pos="4320"/>
        </w:tabs>
        <w:ind w:left="4320" w:hanging="360"/>
      </w:pPr>
      <w:rPr>
        <w:rFonts w:ascii="Arial" w:hAnsi="Arial" w:hint="default"/>
      </w:rPr>
    </w:lvl>
    <w:lvl w:ilvl="6" w:tplc="4D4A99C6" w:tentative="1">
      <w:start w:val="1"/>
      <w:numFmt w:val="bullet"/>
      <w:lvlText w:val="•"/>
      <w:lvlJc w:val="left"/>
      <w:pPr>
        <w:tabs>
          <w:tab w:val="num" w:pos="5040"/>
        </w:tabs>
        <w:ind w:left="5040" w:hanging="360"/>
      </w:pPr>
      <w:rPr>
        <w:rFonts w:ascii="Arial" w:hAnsi="Arial" w:hint="default"/>
      </w:rPr>
    </w:lvl>
    <w:lvl w:ilvl="7" w:tplc="F050B3AE" w:tentative="1">
      <w:start w:val="1"/>
      <w:numFmt w:val="bullet"/>
      <w:lvlText w:val="•"/>
      <w:lvlJc w:val="left"/>
      <w:pPr>
        <w:tabs>
          <w:tab w:val="num" w:pos="5760"/>
        </w:tabs>
        <w:ind w:left="5760" w:hanging="360"/>
      </w:pPr>
      <w:rPr>
        <w:rFonts w:ascii="Arial" w:hAnsi="Arial" w:hint="default"/>
      </w:rPr>
    </w:lvl>
    <w:lvl w:ilvl="8" w:tplc="C928892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83197"/>
    <w:multiLevelType w:val="hybridMultilevel"/>
    <w:tmpl w:val="7B26086E"/>
    <w:lvl w:ilvl="0" w:tplc="A0E85586">
      <w:start w:val="1"/>
      <w:numFmt w:val="bullet"/>
      <w:lvlText w:val="•"/>
      <w:lvlJc w:val="left"/>
      <w:pPr>
        <w:tabs>
          <w:tab w:val="num" w:pos="720"/>
        </w:tabs>
        <w:ind w:left="720" w:hanging="360"/>
      </w:pPr>
      <w:rPr>
        <w:rFonts w:ascii="Arial" w:hAnsi="Arial" w:hint="default"/>
      </w:rPr>
    </w:lvl>
    <w:lvl w:ilvl="1" w:tplc="605E841C" w:tentative="1">
      <w:start w:val="1"/>
      <w:numFmt w:val="bullet"/>
      <w:lvlText w:val="•"/>
      <w:lvlJc w:val="left"/>
      <w:pPr>
        <w:tabs>
          <w:tab w:val="num" w:pos="1440"/>
        </w:tabs>
        <w:ind w:left="1440" w:hanging="360"/>
      </w:pPr>
      <w:rPr>
        <w:rFonts w:ascii="Arial" w:hAnsi="Arial" w:hint="default"/>
      </w:rPr>
    </w:lvl>
    <w:lvl w:ilvl="2" w:tplc="AFA6182E" w:tentative="1">
      <w:start w:val="1"/>
      <w:numFmt w:val="bullet"/>
      <w:lvlText w:val="•"/>
      <w:lvlJc w:val="left"/>
      <w:pPr>
        <w:tabs>
          <w:tab w:val="num" w:pos="2160"/>
        </w:tabs>
        <w:ind w:left="2160" w:hanging="360"/>
      </w:pPr>
      <w:rPr>
        <w:rFonts w:ascii="Arial" w:hAnsi="Arial" w:hint="default"/>
      </w:rPr>
    </w:lvl>
    <w:lvl w:ilvl="3" w:tplc="E026B53C" w:tentative="1">
      <w:start w:val="1"/>
      <w:numFmt w:val="bullet"/>
      <w:lvlText w:val="•"/>
      <w:lvlJc w:val="left"/>
      <w:pPr>
        <w:tabs>
          <w:tab w:val="num" w:pos="2880"/>
        </w:tabs>
        <w:ind w:left="2880" w:hanging="360"/>
      </w:pPr>
      <w:rPr>
        <w:rFonts w:ascii="Arial" w:hAnsi="Arial" w:hint="default"/>
      </w:rPr>
    </w:lvl>
    <w:lvl w:ilvl="4" w:tplc="684E099E" w:tentative="1">
      <w:start w:val="1"/>
      <w:numFmt w:val="bullet"/>
      <w:lvlText w:val="•"/>
      <w:lvlJc w:val="left"/>
      <w:pPr>
        <w:tabs>
          <w:tab w:val="num" w:pos="3600"/>
        </w:tabs>
        <w:ind w:left="3600" w:hanging="360"/>
      </w:pPr>
      <w:rPr>
        <w:rFonts w:ascii="Arial" w:hAnsi="Arial" w:hint="default"/>
      </w:rPr>
    </w:lvl>
    <w:lvl w:ilvl="5" w:tplc="47DE7AC0" w:tentative="1">
      <w:start w:val="1"/>
      <w:numFmt w:val="bullet"/>
      <w:lvlText w:val="•"/>
      <w:lvlJc w:val="left"/>
      <w:pPr>
        <w:tabs>
          <w:tab w:val="num" w:pos="4320"/>
        </w:tabs>
        <w:ind w:left="4320" w:hanging="360"/>
      </w:pPr>
      <w:rPr>
        <w:rFonts w:ascii="Arial" w:hAnsi="Arial" w:hint="default"/>
      </w:rPr>
    </w:lvl>
    <w:lvl w:ilvl="6" w:tplc="77FED8A4" w:tentative="1">
      <w:start w:val="1"/>
      <w:numFmt w:val="bullet"/>
      <w:lvlText w:val="•"/>
      <w:lvlJc w:val="left"/>
      <w:pPr>
        <w:tabs>
          <w:tab w:val="num" w:pos="5040"/>
        </w:tabs>
        <w:ind w:left="5040" w:hanging="360"/>
      </w:pPr>
      <w:rPr>
        <w:rFonts w:ascii="Arial" w:hAnsi="Arial" w:hint="default"/>
      </w:rPr>
    </w:lvl>
    <w:lvl w:ilvl="7" w:tplc="AB9E6166" w:tentative="1">
      <w:start w:val="1"/>
      <w:numFmt w:val="bullet"/>
      <w:lvlText w:val="•"/>
      <w:lvlJc w:val="left"/>
      <w:pPr>
        <w:tabs>
          <w:tab w:val="num" w:pos="5760"/>
        </w:tabs>
        <w:ind w:left="5760" w:hanging="360"/>
      </w:pPr>
      <w:rPr>
        <w:rFonts w:ascii="Arial" w:hAnsi="Arial" w:hint="default"/>
      </w:rPr>
    </w:lvl>
    <w:lvl w:ilvl="8" w:tplc="E11EC7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27197"/>
    <w:multiLevelType w:val="hybridMultilevel"/>
    <w:tmpl w:val="6DCA464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505D43"/>
    <w:multiLevelType w:val="hybridMultilevel"/>
    <w:tmpl w:val="319A5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B0A6A"/>
    <w:multiLevelType w:val="hybridMultilevel"/>
    <w:tmpl w:val="5508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D3"/>
    <w:rsid w:val="0000160D"/>
    <w:rsid w:val="0000460C"/>
    <w:rsid w:val="00004769"/>
    <w:rsid w:val="00010206"/>
    <w:rsid w:val="0001080D"/>
    <w:rsid w:val="00014125"/>
    <w:rsid w:val="00015F50"/>
    <w:rsid w:val="00021609"/>
    <w:rsid w:val="00021804"/>
    <w:rsid w:val="0002415A"/>
    <w:rsid w:val="000257D5"/>
    <w:rsid w:val="00026150"/>
    <w:rsid w:val="0002626B"/>
    <w:rsid w:val="0003479E"/>
    <w:rsid w:val="000355E5"/>
    <w:rsid w:val="000356BF"/>
    <w:rsid w:val="00037FCC"/>
    <w:rsid w:val="000400A8"/>
    <w:rsid w:val="000400D0"/>
    <w:rsid w:val="00040C22"/>
    <w:rsid w:val="0004436F"/>
    <w:rsid w:val="00045B23"/>
    <w:rsid w:val="0004758A"/>
    <w:rsid w:val="00047F5E"/>
    <w:rsid w:val="000510CC"/>
    <w:rsid w:val="00053DE6"/>
    <w:rsid w:val="00054322"/>
    <w:rsid w:val="0005598C"/>
    <w:rsid w:val="00061300"/>
    <w:rsid w:val="000655D0"/>
    <w:rsid w:val="00065B8F"/>
    <w:rsid w:val="00065D94"/>
    <w:rsid w:val="00066BC9"/>
    <w:rsid w:val="00071CA0"/>
    <w:rsid w:val="00073AC4"/>
    <w:rsid w:val="00075F1D"/>
    <w:rsid w:val="00076629"/>
    <w:rsid w:val="00080395"/>
    <w:rsid w:val="000819B7"/>
    <w:rsid w:val="00081D24"/>
    <w:rsid w:val="00083EA3"/>
    <w:rsid w:val="00084794"/>
    <w:rsid w:val="000855F9"/>
    <w:rsid w:val="00085775"/>
    <w:rsid w:val="0008628F"/>
    <w:rsid w:val="00087602"/>
    <w:rsid w:val="00090112"/>
    <w:rsid w:val="00090B84"/>
    <w:rsid w:val="00091AE7"/>
    <w:rsid w:val="00091E32"/>
    <w:rsid w:val="00092318"/>
    <w:rsid w:val="00092759"/>
    <w:rsid w:val="00092C7B"/>
    <w:rsid w:val="00093EC2"/>
    <w:rsid w:val="00095BEE"/>
    <w:rsid w:val="000A0433"/>
    <w:rsid w:val="000B0558"/>
    <w:rsid w:val="000B0A93"/>
    <w:rsid w:val="000C0642"/>
    <w:rsid w:val="000C5534"/>
    <w:rsid w:val="000D4635"/>
    <w:rsid w:val="000E523E"/>
    <w:rsid w:val="000F0A36"/>
    <w:rsid w:val="000F13DE"/>
    <w:rsid w:val="000F3F34"/>
    <w:rsid w:val="00100FB2"/>
    <w:rsid w:val="00104E9A"/>
    <w:rsid w:val="00106EEE"/>
    <w:rsid w:val="001105EC"/>
    <w:rsid w:val="00112690"/>
    <w:rsid w:val="00113006"/>
    <w:rsid w:val="001134EA"/>
    <w:rsid w:val="00114A1E"/>
    <w:rsid w:val="00121BFE"/>
    <w:rsid w:val="00121EBA"/>
    <w:rsid w:val="001324EC"/>
    <w:rsid w:val="00132DE8"/>
    <w:rsid w:val="00151CAF"/>
    <w:rsid w:val="001532DD"/>
    <w:rsid w:val="00154A78"/>
    <w:rsid w:val="00154DDA"/>
    <w:rsid w:val="0015630B"/>
    <w:rsid w:val="001574B3"/>
    <w:rsid w:val="00160C9A"/>
    <w:rsid w:val="001633D3"/>
    <w:rsid w:val="00164AD4"/>
    <w:rsid w:val="00165484"/>
    <w:rsid w:val="00166F4D"/>
    <w:rsid w:val="00172D94"/>
    <w:rsid w:val="00177A33"/>
    <w:rsid w:val="00181929"/>
    <w:rsid w:val="00181A52"/>
    <w:rsid w:val="0018466D"/>
    <w:rsid w:val="0019412F"/>
    <w:rsid w:val="001951A4"/>
    <w:rsid w:val="001978D3"/>
    <w:rsid w:val="001A18FD"/>
    <w:rsid w:val="001A1AC8"/>
    <w:rsid w:val="001A75B0"/>
    <w:rsid w:val="001A7D4B"/>
    <w:rsid w:val="001B0833"/>
    <w:rsid w:val="001B5A5A"/>
    <w:rsid w:val="001B712D"/>
    <w:rsid w:val="001B7711"/>
    <w:rsid w:val="001C05D8"/>
    <w:rsid w:val="001C2259"/>
    <w:rsid w:val="001C3B9F"/>
    <w:rsid w:val="001C4638"/>
    <w:rsid w:val="001C4991"/>
    <w:rsid w:val="001C6B9B"/>
    <w:rsid w:val="001C7AA5"/>
    <w:rsid w:val="001D0784"/>
    <w:rsid w:val="001D0FDF"/>
    <w:rsid w:val="001D2054"/>
    <w:rsid w:val="001D20FD"/>
    <w:rsid w:val="001D3D97"/>
    <w:rsid w:val="001D5654"/>
    <w:rsid w:val="001D620C"/>
    <w:rsid w:val="001D6E33"/>
    <w:rsid w:val="001D77B1"/>
    <w:rsid w:val="001D79D5"/>
    <w:rsid w:val="001E0D99"/>
    <w:rsid w:val="001E21D9"/>
    <w:rsid w:val="001E2534"/>
    <w:rsid w:val="001E43C4"/>
    <w:rsid w:val="001E4863"/>
    <w:rsid w:val="001E53AC"/>
    <w:rsid w:val="001F0F26"/>
    <w:rsid w:val="001F1D33"/>
    <w:rsid w:val="001F1E93"/>
    <w:rsid w:val="00203DA0"/>
    <w:rsid w:val="0020437C"/>
    <w:rsid w:val="00205833"/>
    <w:rsid w:val="00205C46"/>
    <w:rsid w:val="002062D3"/>
    <w:rsid w:val="002126FC"/>
    <w:rsid w:val="0021729B"/>
    <w:rsid w:val="002201A8"/>
    <w:rsid w:val="002247CF"/>
    <w:rsid w:val="00226912"/>
    <w:rsid w:val="00227CEA"/>
    <w:rsid w:val="002338D4"/>
    <w:rsid w:val="00234A6B"/>
    <w:rsid w:val="0023565A"/>
    <w:rsid w:val="00236CC7"/>
    <w:rsid w:val="002400AD"/>
    <w:rsid w:val="00243403"/>
    <w:rsid w:val="0024448C"/>
    <w:rsid w:val="00252669"/>
    <w:rsid w:val="00253673"/>
    <w:rsid w:val="002544BF"/>
    <w:rsid w:val="0025486C"/>
    <w:rsid w:val="00260D35"/>
    <w:rsid w:val="0026221F"/>
    <w:rsid w:val="00262F57"/>
    <w:rsid w:val="00263917"/>
    <w:rsid w:val="00265913"/>
    <w:rsid w:val="00266BFA"/>
    <w:rsid w:val="0027135B"/>
    <w:rsid w:val="00275153"/>
    <w:rsid w:val="00281E45"/>
    <w:rsid w:val="002833F1"/>
    <w:rsid w:val="00283F9B"/>
    <w:rsid w:val="00287A6A"/>
    <w:rsid w:val="00291BC9"/>
    <w:rsid w:val="00291DF5"/>
    <w:rsid w:val="0029488A"/>
    <w:rsid w:val="00297212"/>
    <w:rsid w:val="002A1E62"/>
    <w:rsid w:val="002A1F33"/>
    <w:rsid w:val="002A37BD"/>
    <w:rsid w:val="002A3F28"/>
    <w:rsid w:val="002A4194"/>
    <w:rsid w:val="002A77E2"/>
    <w:rsid w:val="002B1554"/>
    <w:rsid w:val="002B1EED"/>
    <w:rsid w:val="002B34B7"/>
    <w:rsid w:val="002B6451"/>
    <w:rsid w:val="002D0A83"/>
    <w:rsid w:val="002D4714"/>
    <w:rsid w:val="002D5830"/>
    <w:rsid w:val="002E0C44"/>
    <w:rsid w:val="002E6712"/>
    <w:rsid w:val="002F01BF"/>
    <w:rsid w:val="002F1556"/>
    <w:rsid w:val="002F2266"/>
    <w:rsid w:val="002F3D1A"/>
    <w:rsid w:val="002F6F09"/>
    <w:rsid w:val="003006BC"/>
    <w:rsid w:val="00300FF3"/>
    <w:rsid w:val="003065A3"/>
    <w:rsid w:val="00311560"/>
    <w:rsid w:val="003115C2"/>
    <w:rsid w:val="00312242"/>
    <w:rsid w:val="00314F21"/>
    <w:rsid w:val="00315D5C"/>
    <w:rsid w:val="00315FD6"/>
    <w:rsid w:val="00316725"/>
    <w:rsid w:val="00316C80"/>
    <w:rsid w:val="00321099"/>
    <w:rsid w:val="00323A20"/>
    <w:rsid w:val="00325178"/>
    <w:rsid w:val="00325B49"/>
    <w:rsid w:val="00326FBE"/>
    <w:rsid w:val="00331FB6"/>
    <w:rsid w:val="0033221B"/>
    <w:rsid w:val="00335FC3"/>
    <w:rsid w:val="00336868"/>
    <w:rsid w:val="003400E8"/>
    <w:rsid w:val="003401A2"/>
    <w:rsid w:val="00340685"/>
    <w:rsid w:val="00343FFC"/>
    <w:rsid w:val="003454AA"/>
    <w:rsid w:val="003518AB"/>
    <w:rsid w:val="00352099"/>
    <w:rsid w:val="0035218F"/>
    <w:rsid w:val="0035237C"/>
    <w:rsid w:val="00354D28"/>
    <w:rsid w:val="00357F28"/>
    <w:rsid w:val="00362CCD"/>
    <w:rsid w:val="0036490F"/>
    <w:rsid w:val="00364C7E"/>
    <w:rsid w:val="00371D89"/>
    <w:rsid w:val="00371FA1"/>
    <w:rsid w:val="00372860"/>
    <w:rsid w:val="00372E65"/>
    <w:rsid w:val="003745CD"/>
    <w:rsid w:val="003814F4"/>
    <w:rsid w:val="00382998"/>
    <w:rsid w:val="003830D2"/>
    <w:rsid w:val="003866F3"/>
    <w:rsid w:val="00393286"/>
    <w:rsid w:val="0039417B"/>
    <w:rsid w:val="00395C74"/>
    <w:rsid w:val="003A095E"/>
    <w:rsid w:val="003A7145"/>
    <w:rsid w:val="003B112F"/>
    <w:rsid w:val="003B2784"/>
    <w:rsid w:val="003B5483"/>
    <w:rsid w:val="003B6019"/>
    <w:rsid w:val="003B60AB"/>
    <w:rsid w:val="003B695E"/>
    <w:rsid w:val="003B7EA1"/>
    <w:rsid w:val="003C1049"/>
    <w:rsid w:val="003C1C0D"/>
    <w:rsid w:val="003C2C5A"/>
    <w:rsid w:val="003C4F47"/>
    <w:rsid w:val="003C6CAB"/>
    <w:rsid w:val="003D11EA"/>
    <w:rsid w:val="003D5980"/>
    <w:rsid w:val="003E168B"/>
    <w:rsid w:val="003E1832"/>
    <w:rsid w:val="003E239B"/>
    <w:rsid w:val="003E55AF"/>
    <w:rsid w:val="003E5FC3"/>
    <w:rsid w:val="003F04C2"/>
    <w:rsid w:val="003F0778"/>
    <w:rsid w:val="003F1247"/>
    <w:rsid w:val="003F196D"/>
    <w:rsid w:val="004004B8"/>
    <w:rsid w:val="004017CC"/>
    <w:rsid w:val="00402869"/>
    <w:rsid w:val="00411563"/>
    <w:rsid w:val="00413258"/>
    <w:rsid w:val="00415CD8"/>
    <w:rsid w:val="00416085"/>
    <w:rsid w:val="00416A60"/>
    <w:rsid w:val="00416CEA"/>
    <w:rsid w:val="00416F8C"/>
    <w:rsid w:val="0041743C"/>
    <w:rsid w:val="00420902"/>
    <w:rsid w:val="00420E7D"/>
    <w:rsid w:val="004252CE"/>
    <w:rsid w:val="0042725D"/>
    <w:rsid w:val="00427633"/>
    <w:rsid w:val="00432CB1"/>
    <w:rsid w:val="0043334F"/>
    <w:rsid w:val="00434C71"/>
    <w:rsid w:val="0043549A"/>
    <w:rsid w:val="00435B48"/>
    <w:rsid w:val="00437CBA"/>
    <w:rsid w:val="00440192"/>
    <w:rsid w:val="00440D2F"/>
    <w:rsid w:val="00441B80"/>
    <w:rsid w:val="00441E2C"/>
    <w:rsid w:val="00443C1A"/>
    <w:rsid w:val="004457F5"/>
    <w:rsid w:val="00447AB0"/>
    <w:rsid w:val="00451261"/>
    <w:rsid w:val="00451DB0"/>
    <w:rsid w:val="00456EE1"/>
    <w:rsid w:val="00457080"/>
    <w:rsid w:val="00465DB7"/>
    <w:rsid w:val="0046723F"/>
    <w:rsid w:val="00467FD2"/>
    <w:rsid w:val="004706F6"/>
    <w:rsid w:val="00470968"/>
    <w:rsid w:val="004713FB"/>
    <w:rsid w:val="0047294E"/>
    <w:rsid w:val="00473982"/>
    <w:rsid w:val="00476646"/>
    <w:rsid w:val="00477E26"/>
    <w:rsid w:val="00480788"/>
    <w:rsid w:val="004807A3"/>
    <w:rsid w:val="004816D3"/>
    <w:rsid w:val="00483854"/>
    <w:rsid w:val="00484571"/>
    <w:rsid w:val="00484D6B"/>
    <w:rsid w:val="00487182"/>
    <w:rsid w:val="00490A46"/>
    <w:rsid w:val="0049143D"/>
    <w:rsid w:val="00491855"/>
    <w:rsid w:val="00491B54"/>
    <w:rsid w:val="0049383D"/>
    <w:rsid w:val="004957B4"/>
    <w:rsid w:val="004A1D23"/>
    <w:rsid w:val="004A3626"/>
    <w:rsid w:val="004A3B5D"/>
    <w:rsid w:val="004B1085"/>
    <w:rsid w:val="004B3852"/>
    <w:rsid w:val="004B3E25"/>
    <w:rsid w:val="004B563F"/>
    <w:rsid w:val="004B6FD4"/>
    <w:rsid w:val="004B7EAD"/>
    <w:rsid w:val="004C05A6"/>
    <w:rsid w:val="004C2A0E"/>
    <w:rsid w:val="004C4341"/>
    <w:rsid w:val="004C50B1"/>
    <w:rsid w:val="004D232C"/>
    <w:rsid w:val="004D36A2"/>
    <w:rsid w:val="004D377A"/>
    <w:rsid w:val="004D40A5"/>
    <w:rsid w:val="004D50E2"/>
    <w:rsid w:val="004D5B7B"/>
    <w:rsid w:val="004D7540"/>
    <w:rsid w:val="004E4361"/>
    <w:rsid w:val="004E6DCE"/>
    <w:rsid w:val="004E741B"/>
    <w:rsid w:val="004F0BA3"/>
    <w:rsid w:val="004F3ECE"/>
    <w:rsid w:val="004F6EEC"/>
    <w:rsid w:val="00500348"/>
    <w:rsid w:val="0050241C"/>
    <w:rsid w:val="00502681"/>
    <w:rsid w:val="005058A0"/>
    <w:rsid w:val="00507E8C"/>
    <w:rsid w:val="00511475"/>
    <w:rsid w:val="0051165B"/>
    <w:rsid w:val="005125F1"/>
    <w:rsid w:val="00512F73"/>
    <w:rsid w:val="00514FC7"/>
    <w:rsid w:val="00516BDA"/>
    <w:rsid w:val="005207E3"/>
    <w:rsid w:val="00522079"/>
    <w:rsid w:val="00522D7C"/>
    <w:rsid w:val="00524390"/>
    <w:rsid w:val="00526743"/>
    <w:rsid w:val="005332E0"/>
    <w:rsid w:val="00534D4C"/>
    <w:rsid w:val="0053570A"/>
    <w:rsid w:val="0053763D"/>
    <w:rsid w:val="00541ADA"/>
    <w:rsid w:val="00543018"/>
    <w:rsid w:val="00550E60"/>
    <w:rsid w:val="00552087"/>
    <w:rsid w:val="005542D9"/>
    <w:rsid w:val="0055586D"/>
    <w:rsid w:val="00556579"/>
    <w:rsid w:val="00560E4D"/>
    <w:rsid w:val="005629AD"/>
    <w:rsid w:val="00562C85"/>
    <w:rsid w:val="005652AF"/>
    <w:rsid w:val="00565CCC"/>
    <w:rsid w:val="00567CAF"/>
    <w:rsid w:val="005712F8"/>
    <w:rsid w:val="00571731"/>
    <w:rsid w:val="00571F4A"/>
    <w:rsid w:val="00572E38"/>
    <w:rsid w:val="00580636"/>
    <w:rsid w:val="005814F7"/>
    <w:rsid w:val="005828E0"/>
    <w:rsid w:val="005851BD"/>
    <w:rsid w:val="0058582C"/>
    <w:rsid w:val="0058769E"/>
    <w:rsid w:val="00593A7C"/>
    <w:rsid w:val="00595B53"/>
    <w:rsid w:val="005A076E"/>
    <w:rsid w:val="005A15B3"/>
    <w:rsid w:val="005A2A45"/>
    <w:rsid w:val="005A3211"/>
    <w:rsid w:val="005A33D2"/>
    <w:rsid w:val="005A3FED"/>
    <w:rsid w:val="005A554D"/>
    <w:rsid w:val="005B0791"/>
    <w:rsid w:val="005B19B5"/>
    <w:rsid w:val="005B1CBB"/>
    <w:rsid w:val="005B2907"/>
    <w:rsid w:val="005B2CC7"/>
    <w:rsid w:val="005B3FA7"/>
    <w:rsid w:val="005B41E5"/>
    <w:rsid w:val="005B6223"/>
    <w:rsid w:val="005C1A55"/>
    <w:rsid w:val="005C2A13"/>
    <w:rsid w:val="005C2DD0"/>
    <w:rsid w:val="005C3BDD"/>
    <w:rsid w:val="005C424D"/>
    <w:rsid w:val="005C5E0A"/>
    <w:rsid w:val="005D06E5"/>
    <w:rsid w:val="005D0D90"/>
    <w:rsid w:val="005D12E4"/>
    <w:rsid w:val="005D1802"/>
    <w:rsid w:val="005D31DE"/>
    <w:rsid w:val="005D42A0"/>
    <w:rsid w:val="005D43D8"/>
    <w:rsid w:val="005D467C"/>
    <w:rsid w:val="005D469F"/>
    <w:rsid w:val="005D4B6E"/>
    <w:rsid w:val="005D53BA"/>
    <w:rsid w:val="005D6BA3"/>
    <w:rsid w:val="005D7ABC"/>
    <w:rsid w:val="005E1847"/>
    <w:rsid w:val="005E391F"/>
    <w:rsid w:val="005E45E4"/>
    <w:rsid w:val="005E5EA5"/>
    <w:rsid w:val="005E6936"/>
    <w:rsid w:val="005F1665"/>
    <w:rsid w:val="005F2AAF"/>
    <w:rsid w:val="005F6D0A"/>
    <w:rsid w:val="0060023A"/>
    <w:rsid w:val="00601511"/>
    <w:rsid w:val="006025E9"/>
    <w:rsid w:val="00603F01"/>
    <w:rsid w:val="0061359C"/>
    <w:rsid w:val="006135AC"/>
    <w:rsid w:val="00613818"/>
    <w:rsid w:val="00613C08"/>
    <w:rsid w:val="0061510C"/>
    <w:rsid w:val="00615418"/>
    <w:rsid w:val="00616000"/>
    <w:rsid w:val="006177A8"/>
    <w:rsid w:val="006222BA"/>
    <w:rsid w:val="00624D4B"/>
    <w:rsid w:val="00626192"/>
    <w:rsid w:val="00627EC1"/>
    <w:rsid w:val="00632179"/>
    <w:rsid w:val="00632E6B"/>
    <w:rsid w:val="0063374F"/>
    <w:rsid w:val="006344A9"/>
    <w:rsid w:val="006353C1"/>
    <w:rsid w:val="00636C65"/>
    <w:rsid w:val="006402D3"/>
    <w:rsid w:val="00640D00"/>
    <w:rsid w:val="00640D14"/>
    <w:rsid w:val="00642443"/>
    <w:rsid w:val="006428E7"/>
    <w:rsid w:val="00643FAF"/>
    <w:rsid w:val="00644FDD"/>
    <w:rsid w:val="00645890"/>
    <w:rsid w:val="006465B2"/>
    <w:rsid w:val="00647A9F"/>
    <w:rsid w:val="00647B95"/>
    <w:rsid w:val="0065038A"/>
    <w:rsid w:val="0065161A"/>
    <w:rsid w:val="00651DFE"/>
    <w:rsid w:val="00652A7D"/>
    <w:rsid w:val="00652D0A"/>
    <w:rsid w:val="00653D4A"/>
    <w:rsid w:val="00654832"/>
    <w:rsid w:val="00655A96"/>
    <w:rsid w:val="00655FBB"/>
    <w:rsid w:val="006577F4"/>
    <w:rsid w:val="006637DF"/>
    <w:rsid w:val="006658FF"/>
    <w:rsid w:val="00665CF3"/>
    <w:rsid w:val="00670589"/>
    <w:rsid w:val="00673D3A"/>
    <w:rsid w:val="0067408A"/>
    <w:rsid w:val="00674646"/>
    <w:rsid w:val="00675A2E"/>
    <w:rsid w:val="00677D79"/>
    <w:rsid w:val="006810CD"/>
    <w:rsid w:val="0068272A"/>
    <w:rsid w:val="0068545B"/>
    <w:rsid w:val="0068645E"/>
    <w:rsid w:val="00690D24"/>
    <w:rsid w:val="006930F9"/>
    <w:rsid w:val="0069365D"/>
    <w:rsid w:val="006947A9"/>
    <w:rsid w:val="006A626D"/>
    <w:rsid w:val="006A79E8"/>
    <w:rsid w:val="006A7A75"/>
    <w:rsid w:val="006B049A"/>
    <w:rsid w:val="006B26D3"/>
    <w:rsid w:val="006B276C"/>
    <w:rsid w:val="006B693B"/>
    <w:rsid w:val="006B6CEF"/>
    <w:rsid w:val="006B7E82"/>
    <w:rsid w:val="006C0B69"/>
    <w:rsid w:val="006C1648"/>
    <w:rsid w:val="006C24B0"/>
    <w:rsid w:val="006C2A94"/>
    <w:rsid w:val="006C53C2"/>
    <w:rsid w:val="006C68CF"/>
    <w:rsid w:val="006C7F78"/>
    <w:rsid w:val="006D5CE8"/>
    <w:rsid w:val="006E1573"/>
    <w:rsid w:val="006E15A9"/>
    <w:rsid w:val="006E1D82"/>
    <w:rsid w:val="006F489E"/>
    <w:rsid w:val="006F7D91"/>
    <w:rsid w:val="00701618"/>
    <w:rsid w:val="00701F80"/>
    <w:rsid w:val="00703591"/>
    <w:rsid w:val="00703B07"/>
    <w:rsid w:val="00703B72"/>
    <w:rsid w:val="00704DC8"/>
    <w:rsid w:val="00706F21"/>
    <w:rsid w:val="007114BF"/>
    <w:rsid w:val="007124A2"/>
    <w:rsid w:val="00715BE6"/>
    <w:rsid w:val="007167E7"/>
    <w:rsid w:val="007171DC"/>
    <w:rsid w:val="00721400"/>
    <w:rsid w:val="00730686"/>
    <w:rsid w:val="007310AE"/>
    <w:rsid w:val="00732C74"/>
    <w:rsid w:val="0073385B"/>
    <w:rsid w:val="00733DA9"/>
    <w:rsid w:val="0073555F"/>
    <w:rsid w:val="00735BD1"/>
    <w:rsid w:val="00736F79"/>
    <w:rsid w:val="00744A29"/>
    <w:rsid w:val="00744B1A"/>
    <w:rsid w:val="007528C0"/>
    <w:rsid w:val="00753B92"/>
    <w:rsid w:val="00753DEC"/>
    <w:rsid w:val="007554D6"/>
    <w:rsid w:val="00755881"/>
    <w:rsid w:val="00755A46"/>
    <w:rsid w:val="00756580"/>
    <w:rsid w:val="00761702"/>
    <w:rsid w:val="007629F3"/>
    <w:rsid w:val="007630CD"/>
    <w:rsid w:val="007662E6"/>
    <w:rsid w:val="00773FC1"/>
    <w:rsid w:val="00774205"/>
    <w:rsid w:val="0077432A"/>
    <w:rsid w:val="00775E7C"/>
    <w:rsid w:val="00775FD3"/>
    <w:rsid w:val="0077695B"/>
    <w:rsid w:val="0077774A"/>
    <w:rsid w:val="007906AE"/>
    <w:rsid w:val="00791269"/>
    <w:rsid w:val="007933ED"/>
    <w:rsid w:val="00793C35"/>
    <w:rsid w:val="00796D4A"/>
    <w:rsid w:val="007975FC"/>
    <w:rsid w:val="007A7455"/>
    <w:rsid w:val="007A7469"/>
    <w:rsid w:val="007B0632"/>
    <w:rsid w:val="007B0AC0"/>
    <w:rsid w:val="007B331A"/>
    <w:rsid w:val="007B4A79"/>
    <w:rsid w:val="007B4B4E"/>
    <w:rsid w:val="007B56F8"/>
    <w:rsid w:val="007B5B2E"/>
    <w:rsid w:val="007B6ECF"/>
    <w:rsid w:val="007C09E9"/>
    <w:rsid w:val="007C129A"/>
    <w:rsid w:val="007C2F1C"/>
    <w:rsid w:val="007C49CE"/>
    <w:rsid w:val="007C70E3"/>
    <w:rsid w:val="007C7E27"/>
    <w:rsid w:val="007D40DC"/>
    <w:rsid w:val="007D439E"/>
    <w:rsid w:val="007D5087"/>
    <w:rsid w:val="007E6D24"/>
    <w:rsid w:val="007F3FA2"/>
    <w:rsid w:val="007F5570"/>
    <w:rsid w:val="007F616D"/>
    <w:rsid w:val="007F6A65"/>
    <w:rsid w:val="00800B38"/>
    <w:rsid w:val="008020B5"/>
    <w:rsid w:val="00802E28"/>
    <w:rsid w:val="00805649"/>
    <w:rsid w:val="008073BC"/>
    <w:rsid w:val="00814D2E"/>
    <w:rsid w:val="00815BB0"/>
    <w:rsid w:val="008161CD"/>
    <w:rsid w:val="0081726F"/>
    <w:rsid w:val="008237BC"/>
    <w:rsid w:val="00825F13"/>
    <w:rsid w:val="008276D3"/>
    <w:rsid w:val="0083180B"/>
    <w:rsid w:val="00837426"/>
    <w:rsid w:val="008404DE"/>
    <w:rsid w:val="008407A9"/>
    <w:rsid w:val="00841D7F"/>
    <w:rsid w:val="00841FCD"/>
    <w:rsid w:val="0084265E"/>
    <w:rsid w:val="00842B44"/>
    <w:rsid w:val="00845C98"/>
    <w:rsid w:val="00846115"/>
    <w:rsid w:val="00850F9D"/>
    <w:rsid w:val="0085190E"/>
    <w:rsid w:val="008551B9"/>
    <w:rsid w:val="00857FDB"/>
    <w:rsid w:val="008617A1"/>
    <w:rsid w:val="00862440"/>
    <w:rsid w:val="00862E94"/>
    <w:rsid w:val="00863911"/>
    <w:rsid w:val="0086661D"/>
    <w:rsid w:val="00870688"/>
    <w:rsid w:val="008722B2"/>
    <w:rsid w:val="00873A44"/>
    <w:rsid w:val="00876081"/>
    <w:rsid w:val="0087703E"/>
    <w:rsid w:val="00877ED8"/>
    <w:rsid w:val="00880636"/>
    <w:rsid w:val="00884CE4"/>
    <w:rsid w:val="008859A7"/>
    <w:rsid w:val="008859BE"/>
    <w:rsid w:val="0088755E"/>
    <w:rsid w:val="00894B78"/>
    <w:rsid w:val="00896FF8"/>
    <w:rsid w:val="0089729A"/>
    <w:rsid w:val="00897716"/>
    <w:rsid w:val="008A0522"/>
    <w:rsid w:val="008A0E08"/>
    <w:rsid w:val="008A43D3"/>
    <w:rsid w:val="008A4ACE"/>
    <w:rsid w:val="008A66A7"/>
    <w:rsid w:val="008A784E"/>
    <w:rsid w:val="008B346B"/>
    <w:rsid w:val="008B42B7"/>
    <w:rsid w:val="008B50F1"/>
    <w:rsid w:val="008B5D9E"/>
    <w:rsid w:val="008B7591"/>
    <w:rsid w:val="008C1869"/>
    <w:rsid w:val="008C38A7"/>
    <w:rsid w:val="008C6331"/>
    <w:rsid w:val="008C63C1"/>
    <w:rsid w:val="008D27BF"/>
    <w:rsid w:val="008D2E91"/>
    <w:rsid w:val="008D71DC"/>
    <w:rsid w:val="008E2110"/>
    <w:rsid w:val="008E27D5"/>
    <w:rsid w:val="008E28D8"/>
    <w:rsid w:val="008E2DAC"/>
    <w:rsid w:val="008E5301"/>
    <w:rsid w:val="008E682D"/>
    <w:rsid w:val="008F0350"/>
    <w:rsid w:val="008F0B06"/>
    <w:rsid w:val="008F1374"/>
    <w:rsid w:val="008F2AD2"/>
    <w:rsid w:val="008F32F0"/>
    <w:rsid w:val="008F41BE"/>
    <w:rsid w:val="008F48D3"/>
    <w:rsid w:val="008F513F"/>
    <w:rsid w:val="008F5164"/>
    <w:rsid w:val="008F7445"/>
    <w:rsid w:val="0090073D"/>
    <w:rsid w:val="00900E9E"/>
    <w:rsid w:val="00901F3F"/>
    <w:rsid w:val="0090616E"/>
    <w:rsid w:val="0090624B"/>
    <w:rsid w:val="00906816"/>
    <w:rsid w:val="009145A7"/>
    <w:rsid w:val="009148D8"/>
    <w:rsid w:val="00915D35"/>
    <w:rsid w:val="009165BB"/>
    <w:rsid w:val="009174E2"/>
    <w:rsid w:val="0092466D"/>
    <w:rsid w:val="0092504D"/>
    <w:rsid w:val="0092741D"/>
    <w:rsid w:val="00927A61"/>
    <w:rsid w:val="00930C31"/>
    <w:rsid w:val="009361B0"/>
    <w:rsid w:val="00936BBA"/>
    <w:rsid w:val="00940A4D"/>
    <w:rsid w:val="009460D3"/>
    <w:rsid w:val="00956F54"/>
    <w:rsid w:val="00960A8C"/>
    <w:rsid w:val="0096214E"/>
    <w:rsid w:val="0096255B"/>
    <w:rsid w:val="00962639"/>
    <w:rsid w:val="00962855"/>
    <w:rsid w:val="00962ED0"/>
    <w:rsid w:val="00964679"/>
    <w:rsid w:val="00965815"/>
    <w:rsid w:val="009679B2"/>
    <w:rsid w:val="00967AEF"/>
    <w:rsid w:val="00970755"/>
    <w:rsid w:val="00973CBC"/>
    <w:rsid w:val="00975694"/>
    <w:rsid w:val="00976295"/>
    <w:rsid w:val="00976791"/>
    <w:rsid w:val="00977134"/>
    <w:rsid w:val="00977E8D"/>
    <w:rsid w:val="00984861"/>
    <w:rsid w:val="00984E98"/>
    <w:rsid w:val="0098680F"/>
    <w:rsid w:val="00986E89"/>
    <w:rsid w:val="00987874"/>
    <w:rsid w:val="00987AC3"/>
    <w:rsid w:val="009907C6"/>
    <w:rsid w:val="00990E75"/>
    <w:rsid w:val="00991613"/>
    <w:rsid w:val="009929B6"/>
    <w:rsid w:val="00992E12"/>
    <w:rsid w:val="00993CE5"/>
    <w:rsid w:val="00994461"/>
    <w:rsid w:val="00995A4B"/>
    <w:rsid w:val="00997946"/>
    <w:rsid w:val="009A0355"/>
    <w:rsid w:val="009A1A45"/>
    <w:rsid w:val="009A5B3D"/>
    <w:rsid w:val="009B3752"/>
    <w:rsid w:val="009B489A"/>
    <w:rsid w:val="009B4E92"/>
    <w:rsid w:val="009B7566"/>
    <w:rsid w:val="009C4131"/>
    <w:rsid w:val="009C6541"/>
    <w:rsid w:val="009C6CDB"/>
    <w:rsid w:val="009C777C"/>
    <w:rsid w:val="009D067B"/>
    <w:rsid w:val="009D0E3E"/>
    <w:rsid w:val="009D247E"/>
    <w:rsid w:val="009D2A23"/>
    <w:rsid w:val="009D2C59"/>
    <w:rsid w:val="009D7B07"/>
    <w:rsid w:val="009E0013"/>
    <w:rsid w:val="009E4B52"/>
    <w:rsid w:val="009E7F13"/>
    <w:rsid w:val="009F14E9"/>
    <w:rsid w:val="009F25AA"/>
    <w:rsid w:val="009F2774"/>
    <w:rsid w:val="009F27D4"/>
    <w:rsid w:val="009F4E70"/>
    <w:rsid w:val="009F5934"/>
    <w:rsid w:val="009F6F0A"/>
    <w:rsid w:val="00A029E4"/>
    <w:rsid w:val="00A03983"/>
    <w:rsid w:val="00A04EB0"/>
    <w:rsid w:val="00A0667A"/>
    <w:rsid w:val="00A069E4"/>
    <w:rsid w:val="00A074A4"/>
    <w:rsid w:val="00A07A21"/>
    <w:rsid w:val="00A10964"/>
    <w:rsid w:val="00A10A6F"/>
    <w:rsid w:val="00A110EA"/>
    <w:rsid w:val="00A11150"/>
    <w:rsid w:val="00A111FF"/>
    <w:rsid w:val="00A1337F"/>
    <w:rsid w:val="00A142BC"/>
    <w:rsid w:val="00A14566"/>
    <w:rsid w:val="00A14718"/>
    <w:rsid w:val="00A157FE"/>
    <w:rsid w:val="00A15DBA"/>
    <w:rsid w:val="00A15E4A"/>
    <w:rsid w:val="00A24261"/>
    <w:rsid w:val="00A25D28"/>
    <w:rsid w:val="00A25F0E"/>
    <w:rsid w:val="00A267FB"/>
    <w:rsid w:val="00A26C9E"/>
    <w:rsid w:val="00A3021F"/>
    <w:rsid w:val="00A36AA2"/>
    <w:rsid w:val="00A37988"/>
    <w:rsid w:val="00A41CBF"/>
    <w:rsid w:val="00A434C4"/>
    <w:rsid w:val="00A43D2C"/>
    <w:rsid w:val="00A45994"/>
    <w:rsid w:val="00A515A0"/>
    <w:rsid w:val="00A57292"/>
    <w:rsid w:val="00A60CF8"/>
    <w:rsid w:val="00A6365F"/>
    <w:rsid w:val="00A67B6A"/>
    <w:rsid w:val="00A718C6"/>
    <w:rsid w:val="00A728A8"/>
    <w:rsid w:val="00A74E88"/>
    <w:rsid w:val="00A75E05"/>
    <w:rsid w:val="00A77521"/>
    <w:rsid w:val="00A805F3"/>
    <w:rsid w:val="00A8214A"/>
    <w:rsid w:val="00A90924"/>
    <w:rsid w:val="00A91C96"/>
    <w:rsid w:val="00A91EA7"/>
    <w:rsid w:val="00A938DF"/>
    <w:rsid w:val="00A945C2"/>
    <w:rsid w:val="00A964BC"/>
    <w:rsid w:val="00A96620"/>
    <w:rsid w:val="00A97094"/>
    <w:rsid w:val="00AA036C"/>
    <w:rsid w:val="00AB55E5"/>
    <w:rsid w:val="00AB7223"/>
    <w:rsid w:val="00AB77CD"/>
    <w:rsid w:val="00AC03A0"/>
    <w:rsid w:val="00AC2E2F"/>
    <w:rsid w:val="00AC6A21"/>
    <w:rsid w:val="00AC740A"/>
    <w:rsid w:val="00AC755D"/>
    <w:rsid w:val="00AD0552"/>
    <w:rsid w:val="00AD2C8B"/>
    <w:rsid w:val="00AD4496"/>
    <w:rsid w:val="00AD50D2"/>
    <w:rsid w:val="00AD6BB0"/>
    <w:rsid w:val="00AE15DA"/>
    <w:rsid w:val="00AE1A98"/>
    <w:rsid w:val="00AE2BCB"/>
    <w:rsid w:val="00AE48D0"/>
    <w:rsid w:val="00AE67BB"/>
    <w:rsid w:val="00AF09FA"/>
    <w:rsid w:val="00AF251E"/>
    <w:rsid w:val="00AF3B24"/>
    <w:rsid w:val="00AF3B90"/>
    <w:rsid w:val="00AF4E1B"/>
    <w:rsid w:val="00AF5419"/>
    <w:rsid w:val="00B00331"/>
    <w:rsid w:val="00B015E1"/>
    <w:rsid w:val="00B01CDF"/>
    <w:rsid w:val="00B03D16"/>
    <w:rsid w:val="00B042CC"/>
    <w:rsid w:val="00B06245"/>
    <w:rsid w:val="00B07D05"/>
    <w:rsid w:val="00B10D1F"/>
    <w:rsid w:val="00B12447"/>
    <w:rsid w:val="00B125CB"/>
    <w:rsid w:val="00B14389"/>
    <w:rsid w:val="00B144BA"/>
    <w:rsid w:val="00B15071"/>
    <w:rsid w:val="00B20708"/>
    <w:rsid w:val="00B211EF"/>
    <w:rsid w:val="00B21DA1"/>
    <w:rsid w:val="00B22D0E"/>
    <w:rsid w:val="00B23051"/>
    <w:rsid w:val="00B26120"/>
    <w:rsid w:val="00B30D4B"/>
    <w:rsid w:val="00B30E13"/>
    <w:rsid w:val="00B33217"/>
    <w:rsid w:val="00B33C9D"/>
    <w:rsid w:val="00B3469F"/>
    <w:rsid w:val="00B36A53"/>
    <w:rsid w:val="00B40EEF"/>
    <w:rsid w:val="00B416E8"/>
    <w:rsid w:val="00B42344"/>
    <w:rsid w:val="00B43776"/>
    <w:rsid w:val="00B44C76"/>
    <w:rsid w:val="00B458E9"/>
    <w:rsid w:val="00B45E3D"/>
    <w:rsid w:val="00B45F32"/>
    <w:rsid w:val="00B460F0"/>
    <w:rsid w:val="00B46CF1"/>
    <w:rsid w:val="00B51775"/>
    <w:rsid w:val="00B53907"/>
    <w:rsid w:val="00B54873"/>
    <w:rsid w:val="00B56AF5"/>
    <w:rsid w:val="00B57AB3"/>
    <w:rsid w:val="00B602B7"/>
    <w:rsid w:val="00B616F5"/>
    <w:rsid w:val="00B62358"/>
    <w:rsid w:val="00B63495"/>
    <w:rsid w:val="00B647C5"/>
    <w:rsid w:val="00B64E2C"/>
    <w:rsid w:val="00B65E96"/>
    <w:rsid w:val="00B67D39"/>
    <w:rsid w:val="00B763B1"/>
    <w:rsid w:val="00B81A62"/>
    <w:rsid w:val="00B82E17"/>
    <w:rsid w:val="00B835E2"/>
    <w:rsid w:val="00B83F83"/>
    <w:rsid w:val="00B84A0C"/>
    <w:rsid w:val="00B8575B"/>
    <w:rsid w:val="00B86050"/>
    <w:rsid w:val="00B86D00"/>
    <w:rsid w:val="00B9344C"/>
    <w:rsid w:val="00B96D63"/>
    <w:rsid w:val="00BA0FFC"/>
    <w:rsid w:val="00BA481E"/>
    <w:rsid w:val="00BA4ACD"/>
    <w:rsid w:val="00BA7BF0"/>
    <w:rsid w:val="00BB7F73"/>
    <w:rsid w:val="00BC37D2"/>
    <w:rsid w:val="00BC47E4"/>
    <w:rsid w:val="00BD26E6"/>
    <w:rsid w:val="00BD2CD7"/>
    <w:rsid w:val="00BD3262"/>
    <w:rsid w:val="00BD3B4B"/>
    <w:rsid w:val="00BD5653"/>
    <w:rsid w:val="00BE4844"/>
    <w:rsid w:val="00BE60AB"/>
    <w:rsid w:val="00BE78C6"/>
    <w:rsid w:val="00BF1DEA"/>
    <w:rsid w:val="00BF451D"/>
    <w:rsid w:val="00BF5560"/>
    <w:rsid w:val="00BF665D"/>
    <w:rsid w:val="00C017BA"/>
    <w:rsid w:val="00C0545C"/>
    <w:rsid w:val="00C139FE"/>
    <w:rsid w:val="00C1596E"/>
    <w:rsid w:val="00C16EE7"/>
    <w:rsid w:val="00C17E0C"/>
    <w:rsid w:val="00C17E0F"/>
    <w:rsid w:val="00C2062C"/>
    <w:rsid w:val="00C20F97"/>
    <w:rsid w:val="00C237F6"/>
    <w:rsid w:val="00C23A47"/>
    <w:rsid w:val="00C2436C"/>
    <w:rsid w:val="00C24DA9"/>
    <w:rsid w:val="00C27AF4"/>
    <w:rsid w:val="00C27B15"/>
    <w:rsid w:val="00C37EAD"/>
    <w:rsid w:val="00C40172"/>
    <w:rsid w:val="00C477FF"/>
    <w:rsid w:val="00C5147A"/>
    <w:rsid w:val="00C56A3D"/>
    <w:rsid w:val="00C5736E"/>
    <w:rsid w:val="00C60A86"/>
    <w:rsid w:val="00C60B74"/>
    <w:rsid w:val="00C612D4"/>
    <w:rsid w:val="00C631E1"/>
    <w:rsid w:val="00C6392A"/>
    <w:rsid w:val="00C64083"/>
    <w:rsid w:val="00C6518F"/>
    <w:rsid w:val="00C65751"/>
    <w:rsid w:val="00C66256"/>
    <w:rsid w:val="00C662FB"/>
    <w:rsid w:val="00C74272"/>
    <w:rsid w:val="00C74D81"/>
    <w:rsid w:val="00C75B3A"/>
    <w:rsid w:val="00C77496"/>
    <w:rsid w:val="00C80C53"/>
    <w:rsid w:val="00C80F75"/>
    <w:rsid w:val="00C81F01"/>
    <w:rsid w:val="00C8210B"/>
    <w:rsid w:val="00C83642"/>
    <w:rsid w:val="00C845C8"/>
    <w:rsid w:val="00C846A1"/>
    <w:rsid w:val="00C846A5"/>
    <w:rsid w:val="00C923EC"/>
    <w:rsid w:val="00C946DE"/>
    <w:rsid w:val="00C94FD6"/>
    <w:rsid w:val="00CA0B57"/>
    <w:rsid w:val="00CA1DFB"/>
    <w:rsid w:val="00CA3FAF"/>
    <w:rsid w:val="00CA5845"/>
    <w:rsid w:val="00CB15CF"/>
    <w:rsid w:val="00CB17D5"/>
    <w:rsid w:val="00CB2DFA"/>
    <w:rsid w:val="00CB6A6D"/>
    <w:rsid w:val="00CB7419"/>
    <w:rsid w:val="00CB779B"/>
    <w:rsid w:val="00CC0179"/>
    <w:rsid w:val="00CC0B3A"/>
    <w:rsid w:val="00CC3B96"/>
    <w:rsid w:val="00CC5EBB"/>
    <w:rsid w:val="00CC71EB"/>
    <w:rsid w:val="00CD36C1"/>
    <w:rsid w:val="00CE22F0"/>
    <w:rsid w:val="00CE29E6"/>
    <w:rsid w:val="00CE6A6F"/>
    <w:rsid w:val="00CE7E93"/>
    <w:rsid w:val="00CF0F63"/>
    <w:rsid w:val="00CF109A"/>
    <w:rsid w:val="00CF7992"/>
    <w:rsid w:val="00D03264"/>
    <w:rsid w:val="00D03893"/>
    <w:rsid w:val="00D0519F"/>
    <w:rsid w:val="00D05356"/>
    <w:rsid w:val="00D10490"/>
    <w:rsid w:val="00D121E9"/>
    <w:rsid w:val="00D127F8"/>
    <w:rsid w:val="00D133EE"/>
    <w:rsid w:val="00D16308"/>
    <w:rsid w:val="00D167A3"/>
    <w:rsid w:val="00D173A5"/>
    <w:rsid w:val="00D17D20"/>
    <w:rsid w:val="00D20A4F"/>
    <w:rsid w:val="00D21A73"/>
    <w:rsid w:val="00D223CE"/>
    <w:rsid w:val="00D328FA"/>
    <w:rsid w:val="00D35B4C"/>
    <w:rsid w:val="00D360FA"/>
    <w:rsid w:val="00D43247"/>
    <w:rsid w:val="00D43767"/>
    <w:rsid w:val="00D43C10"/>
    <w:rsid w:val="00D463B1"/>
    <w:rsid w:val="00D536CC"/>
    <w:rsid w:val="00D53C0B"/>
    <w:rsid w:val="00D60CD4"/>
    <w:rsid w:val="00D639C7"/>
    <w:rsid w:val="00D65C94"/>
    <w:rsid w:val="00D65F9C"/>
    <w:rsid w:val="00D718ED"/>
    <w:rsid w:val="00D71917"/>
    <w:rsid w:val="00D74B99"/>
    <w:rsid w:val="00D819C7"/>
    <w:rsid w:val="00D82C45"/>
    <w:rsid w:val="00D830DC"/>
    <w:rsid w:val="00D84B2F"/>
    <w:rsid w:val="00D9141C"/>
    <w:rsid w:val="00D929F9"/>
    <w:rsid w:val="00D94A14"/>
    <w:rsid w:val="00D95EEF"/>
    <w:rsid w:val="00D9619B"/>
    <w:rsid w:val="00D97BE1"/>
    <w:rsid w:val="00DA0A4A"/>
    <w:rsid w:val="00DA27BF"/>
    <w:rsid w:val="00DA310F"/>
    <w:rsid w:val="00DA3647"/>
    <w:rsid w:val="00DA6191"/>
    <w:rsid w:val="00DA7BE4"/>
    <w:rsid w:val="00DB001F"/>
    <w:rsid w:val="00DB20DE"/>
    <w:rsid w:val="00DB4994"/>
    <w:rsid w:val="00DB4C21"/>
    <w:rsid w:val="00DB700F"/>
    <w:rsid w:val="00DB7B61"/>
    <w:rsid w:val="00DC01F3"/>
    <w:rsid w:val="00DC2120"/>
    <w:rsid w:val="00DC6D73"/>
    <w:rsid w:val="00DD2B7F"/>
    <w:rsid w:val="00DD44DA"/>
    <w:rsid w:val="00DD5079"/>
    <w:rsid w:val="00DD54A1"/>
    <w:rsid w:val="00DD5A7E"/>
    <w:rsid w:val="00DD5C55"/>
    <w:rsid w:val="00DD61FA"/>
    <w:rsid w:val="00DD6AB8"/>
    <w:rsid w:val="00DE097E"/>
    <w:rsid w:val="00DE32E9"/>
    <w:rsid w:val="00DE6169"/>
    <w:rsid w:val="00DE6315"/>
    <w:rsid w:val="00DE6F80"/>
    <w:rsid w:val="00DF17A4"/>
    <w:rsid w:val="00DF1C70"/>
    <w:rsid w:val="00DF3FF3"/>
    <w:rsid w:val="00DF41DB"/>
    <w:rsid w:val="00DF520F"/>
    <w:rsid w:val="00DF52CF"/>
    <w:rsid w:val="00DF7BC7"/>
    <w:rsid w:val="00E00B93"/>
    <w:rsid w:val="00E0202B"/>
    <w:rsid w:val="00E03B23"/>
    <w:rsid w:val="00E058D3"/>
    <w:rsid w:val="00E05C7C"/>
    <w:rsid w:val="00E07AD0"/>
    <w:rsid w:val="00E1265B"/>
    <w:rsid w:val="00E12F35"/>
    <w:rsid w:val="00E1306E"/>
    <w:rsid w:val="00E13480"/>
    <w:rsid w:val="00E14DB4"/>
    <w:rsid w:val="00E213DD"/>
    <w:rsid w:val="00E22B04"/>
    <w:rsid w:val="00E23750"/>
    <w:rsid w:val="00E23F38"/>
    <w:rsid w:val="00E27F02"/>
    <w:rsid w:val="00E35D89"/>
    <w:rsid w:val="00E375D1"/>
    <w:rsid w:val="00E404D0"/>
    <w:rsid w:val="00E4147F"/>
    <w:rsid w:val="00E43D34"/>
    <w:rsid w:val="00E44BD4"/>
    <w:rsid w:val="00E44EA4"/>
    <w:rsid w:val="00E456DB"/>
    <w:rsid w:val="00E45F6D"/>
    <w:rsid w:val="00E502EF"/>
    <w:rsid w:val="00E55F41"/>
    <w:rsid w:val="00E60D55"/>
    <w:rsid w:val="00E62201"/>
    <w:rsid w:val="00E6236B"/>
    <w:rsid w:val="00E6288D"/>
    <w:rsid w:val="00E629E1"/>
    <w:rsid w:val="00E62CC0"/>
    <w:rsid w:val="00E6501F"/>
    <w:rsid w:val="00E65BB5"/>
    <w:rsid w:val="00E66E29"/>
    <w:rsid w:val="00E67324"/>
    <w:rsid w:val="00E67728"/>
    <w:rsid w:val="00E72FF9"/>
    <w:rsid w:val="00E73841"/>
    <w:rsid w:val="00E74F94"/>
    <w:rsid w:val="00E76AB7"/>
    <w:rsid w:val="00E85274"/>
    <w:rsid w:val="00E8558E"/>
    <w:rsid w:val="00E86B5B"/>
    <w:rsid w:val="00E87D4F"/>
    <w:rsid w:val="00E900C6"/>
    <w:rsid w:val="00E918C6"/>
    <w:rsid w:val="00E940F8"/>
    <w:rsid w:val="00E9520D"/>
    <w:rsid w:val="00E95297"/>
    <w:rsid w:val="00EA06A2"/>
    <w:rsid w:val="00EA1155"/>
    <w:rsid w:val="00EA2592"/>
    <w:rsid w:val="00EA5A07"/>
    <w:rsid w:val="00EA77B5"/>
    <w:rsid w:val="00EB01A5"/>
    <w:rsid w:val="00EB17C4"/>
    <w:rsid w:val="00EB251E"/>
    <w:rsid w:val="00EB3161"/>
    <w:rsid w:val="00EB3B20"/>
    <w:rsid w:val="00EB4586"/>
    <w:rsid w:val="00EB686B"/>
    <w:rsid w:val="00EB6EE5"/>
    <w:rsid w:val="00EB7C06"/>
    <w:rsid w:val="00EB7D94"/>
    <w:rsid w:val="00EB7D99"/>
    <w:rsid w:val="00EC1F1A"/>
    <w:rsid w:val="00EC3754"/>
    <w:rsid w:val="00EC4745"/>
    <w:rsid w:val="00EC566D"/>
    <w:rsid w:val="00EC68B4"/>
    <w:rsid w:val="00ED0296"/>
    <w:rsid w:val="00ED179E"/>
    <w:rsid w:val="00ED6235"/>
    <w:rsid w:val="00EE065C"/>
    <w:rsid w:val="00EE1790"/>
    <w:rsid w:val="00EE1D35"/>
    <w:rsid w:val="00EE3B0F"/>
    <w:rsid w:val="00EE6325"/>
    <w:rsid w:val="00EE6D91"/>
    <w:rsid w:val="00EF3660"/>
    <w:rsid w:val="00EF419D"/>
    <w:rsid w:val="00EF6B15"/>
    <w:rsid w:val="00EF739C"/>
    <w:rsid w:val="00EF7CC9"/>
    <w:rsid w:val="00F00159"/>
    <w:rsid w:val="00F0094B"/>
    <w:rsid w:val="00F01DEC"/>
    <w:rsid w:val="00F02027"/>
    <w:rsid w:val="00F0235F"/>
    <w:rsid w:val="00F02620"/>
    <w:rsid w:val="00F04982"/>
    <w:rsid w:val="00F05BC8"/>
    <w:rsid w:val="00F0705F"/>
    <w:rsid w:val="00F113B5"/>
    <w:rsid w:val="00F11773"/>
    <w:rsid w:val="00F117E7"/>
    <w:rsid w:val="00F11DEE"/>
    <w:rsid w:val="00F123D7"/>
    <w:rsid w:val="00F15170"/>
    <w:rsid w:val="00F22918"/>
    <w:rsid w:val="00F2318F"/>
    <w:rsid w:val="00F2611F"/>
    <w:rsid w:val="00F305CB"/>
    <w:rsid w:val="00F3119D"/>
    <w:rsid w:val="00F3259D"/>
    <w:rsid w:val="00F327A4"/>
    <w:rsid w:val="00F332AE"/>
    <w:rsid w:val="00F33DB8"/>
    <w:rsid w:val="00F351C1"/>
    <w:rsid w:val="00F36366"/>
    <w:rsid w:val="00F407CC"/>
    <w:rsid w:val="00F40CAF"/>
    <w:rsid w:val="00F412F2"/>
    <w:rsid w:val="00F43794"/>
    <w:rsid w:val="00F45DFF"/>
    <w:rsid w:val="00F461E8"/>
    <w:rsid w:val="00F46988"/>
    <w:rsid w:val="00F510F7"/>
    <w:rsid w:val="00F52324"/>
    <w:rsid w:val="00F5594B"/>
    <w:rsid w:val="00F56423"/>
    <w:rsid w:val="00F564FF"/>
    <w:rsid w:val="00F57997"/>
    <w:rsid w:val="00F61358"/>
    <w:rsid w:val="00F613FF"/>
    <w:rsid w:val="00F61EE0"/>
    <w:rsid w:val="00F62A6D"/>
    <w:rsid w:val="00F63F30"/>
    <w:rsid w:val="00F65987"/>
    <w:rsid w:val="00F662CB"/>
    <w:rsid w:val="00F71CAF"/>
    <w:rsid w:val="00F7589A"/>
    <w:rsid w:val="00F76444"/>
    <w:rsid w:val="00F77C2F"/>
    <w:rsid w:val="00F80E7F"/>
    <w:rsid w:val="00F81B5F"/>
    <w:rsid w:val="00F865E6"/>
    <w:rsid w:val="00F8684D"/>
    <w:rsid w:val="00F94046"/>
    <w:rsid w:val="00F94B4C"/>
    <w:rsid w:val="00F95442"/>
    <w:rsid w:val="00FA073F"/>
    <w:rsid w:val="00FA22B8"/>
    <w:rsid w:val="00FA257C"/>
    <w:rsid w:val="00FA465E"/>
    <w:rsid w:val="00FA61D9"/>
    <w:rsid w:val="00FA7B48"/>
    <w:rsid w:val="00FB2356"/>
    <w:rsid w:val="00FB24F3"/>
    <w:rsid w:val="00FB2C83"/>
    <w:rsid w:val="00FB30E3"/>
    <w:rsid w:val="00FB3103"/>
    <w:rsid w:val="00FB3255"/>
    <w:rsid w:val="00FB337C"/>
    <w:rsid w:val="00FB33BB"/>
    <w:rsid w:val="00FB34F7"/>
    <w:rsid w:val="00FB3C8A"/>
    <w:rsid w:val="00FB5CFB"/>
    <w:rsid w:val="00FB7B8F"/>
    <w:rsid w:val="00FC13CC"/>
    <w:rsid w:val="00FC26A6"/>
    <w:rsid w:val="00FC3650"/>
    <w:rsid w:val="00FC36D6"/>
    <w:rsid w:val="00FC594C"/>
    <w:rsid w:val="00FC6B3D"/>
    <w:rsid w:val="00FC7A2E"/>
    <w:rsid w:val="00FD43CE"/>
    <w:rsid w:val="00FD5BD7"/>
    <w:rsid w:val="00FE2062"/>
    <w:rsid w:val="00FE2208"/>
    <w:rsid w:val="00FE2891"/>
    <w:rsid w:val="00FE62C6"/>
    <w:rsid w:val="00FF2A7E"/>
    <w:rsid w:val="00FF4066"/>
    <w:rsid w:val="00FF709D"/>
    <w:rsid w:val="00FF7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064"/>
  <w15:docId w15:val="{68A58175-940E-284C-BE28-1855B12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16D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816D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816D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unhideWhenUsed/>
    <w:qFormat/>
    <w:rsid w:val="004816D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16D3"/>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4816D3"/>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4816D3"/>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4816D3"/>
    <w:rPr>
      <w:rFonts w:asciiTheme="majorHAnsi" w:eastAsiaTheme="majorEastAsia" w:hAnsiTheme="majorHAnsi" w:cstheme="majorBidi"/>
      <w:i/>
      <w:iCs/>
      <w:color w:val="2E74B5" w:themeColor="accent1" w:themeShade="BF"/>
      <w:lang w:eastAsia="tr-TR"/>
    </w:rPr>
  </w:style>
  <w:style w:type="paragraph" w:styleId="ListeParagraf">
    <w:name w:val="List Paragraph"/>
    <w:basedOn w:val="Normal"/>
    <w:uiPriority w:val="34"/>
    <w:qFormat/>
    <w:rsid w:val="004816D3"/>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4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816D3"/>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4816D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816D3"/>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4816D3"/>
    <w:pPr>
      <w:spacing w:before="100" w:beforeAutospacing="1" w:after="100" w:afterAutospacing="1"/>
    </w:pPr>
  </w:style>
  <w:style w:type="character" w:customStyle="1" w:styleId="h1">
    <w:name w:val="h1"/>
    <w:basedOn w:val="VarsaylanParagrafYazTipi"/>
    <w:rsid w:val="004816D3"/>
  </w:style>
  <w:style w:type="character" w:customStyle="1" w:styleId="headingendmark">
    <w:name w:val="headingendmark"/>
    <w:basedOn w:val="VarsaylanParagrafYazTipi"/>
    <w:rsid w:val="004816D3"/>
  </w:style>
  <w:style w:type="character" w:styleId="Kpr">
    <w:name w:val="Hyperlink"/>
    <w:basedOn w:val="VarsaylanParagrafYazTipi"/>
    <w:uiPriority w:val="99"/>
    <w:unhideWhenUsed/>
    <w:rsid w:val="004816D3"/>
    <w:rPr>
      <w:color w:val="0000FF"/>
      <w:u w:val="single"/>
    </w:rPr>
  </w:style>
  <w:style w:type="paragraph" w:customStyle="1" w:styleId="bulletndent1">
    <w:name w:val="bulletındent1"/>
    <w:basedOn w:val="Normal"/>
    <w:rsid w:val="004816D3"/>
    <w:pPr>
      <w:spacing w:before="100" w:beforeAutospacing="1" w:after="100" w:afterAutospacing="1"/>
    </w:pPr>
  </w:style>
  <w:style w:type="character" w:customStyle="1" w:styleId="glyph">
    <w:name w:val="glyph"/>
    <w:basedOn w:val="VarsaylanParagrafYazTipi"/>
    <w:rsid w:val="004816D3"/>
  </w:style>
  <w:style w:type="character" w:styleId="Vurgu">
    <w:name w:val="Emphasis"/>
    <w:basedOn w:val="VarsaylanParagrafYazTipi"/>
    <w:uiPriority w:val="20"/>
    <w:qFormat/>
    <w:rsid w:val="004816D3"/>
    <w:rPr>
      <w:i/>
      <w:iCs/>
    </w:rPr>
  </w:style>
  <w:style w:type="character" w:customStyle="1" w:styleId="apple-converted-space">
    <w:name w:val="apple-converted-space"/>
    <w:basedOn w:val="VarsaylanParagrafYazTipi"/>
    <w:rsid w:val="004816D3"/>
  </w:style>
  <w:style w:type="character" w:styleId="zlenenKpr">
    <w:name w:val="FollowedHyperlink"/>
    <w:basedOn w:val="VarsaylanParagrafYazTipi"/>
    <w:uiPriority w:val="99"/>
    <w:semiHidden/>
    <w:unhideWhenUsed/>
    <w:rsid w:val="004816D3"/>
    <w:rPr>
      <w:color w:val="954F72" w:themeColor="followedHyperlink"/>
      <w:u w:val="single"/>
    </w:rPr>
  </w:style>
  <w:style w:type="character" w:customStyle="1" w:styleId="nowrap">
    <w:name w:val="nowrap"/>
    <w:basedOn w:val="VarsaylanParagrafYazTipi"/>
    <w:rsid w:val="004816D3"/>
  </w:style>
  <w:style w:type="paragraph" w:customStyle="1" w:styleId="headinganchor">
    <w:name w:val="headinganchor"/>
    <w:basedOn w:val="Normal"/>
    <w:rsid w:val="004816D3"/>
    <w:pPr>
      <w:spacing w:before="100" w:beforeAutospacing="1" w:after="100" w:afterAutospacing="1"/>
    </w:pPr>
  </w:style>
  <w:style w:type="character" w:styleId="Gl">
    <w:name w:val="Strong"/>
    <w:basedOn w:val="VarsaylanParagrafYazTipi"/>
    <w:uiPriority w:val="22"/>
    <w:qFormat/>
    <w:rsid w:val="004816D3"/>
    <w:rPr>
      <w:b/>
      <w:bCs/>
    </w:rPr>
  </w:style>
  <w:style w:type="character" w:customStyle="1" w:styleId="highlighted">
    <w:name w:val="highlighted"/>
    <w:basedOn w:val="VarsaylanParagrafYazTipi"/>
    <w:rsid w:val="004816D3"/>
  </w:style>
  <w:style w:type="character" w:customStyle="1" w:styleId="h2">
    <w:name w:val="h2"/>
    <w:basedOn w:val="VarsaylanParagrafYazTipi"/>
    <w:rsid w:val="004816D3"/>
  </w:style>
  <w:style w:type="paragraph" w:customStyle="1" w:styleId="svarticle">
    <w:name w:val="svarticle"/>
    <w:basedOn w:val="Normal"/>
    <w:rsid w:val="004816D3"/>
    <w:pPr>
      <w:spacing w:before="100" w:beforeAutospacing="1" w:after="100" w:afterAutospacing="1"/>
    </w:pPr>
  </w:style>
  <w:style w:type="character" w:customStyle="1" w:styleId="highlight">
    <w:name w:val="highlight"/>
    <w:basedOn w:val="VarsaylanParagrafYazTipi"/>
    <w:rsid w:val="004816D3"/>
  </w:style>
  <w:style w:type="paragraph" w:customStyle="1" w:styleId="paragraph">
    <w:name w:val="paragraph"/>
    <w:basedOn w:val="Normal"/>
    <w:rsid w:val="004816D3"/>
    <w:pPr>
      <w:spacing w:before="100" w:beforeAutospacing="1" w:after="100" w:afterAutospacing="1"/>
    </w:pPr>
  </w:style>
  <w:style w:type="character" w:customStyle="1" w:styleId="normaltextrun">
    <w:name w:val="normaltextrun"/>
    <w:basedOn w:val="VarsaylanParagrafYazTipi"/>
    <w:rsid w:val="004816D3"/>
  </w:style>
  <w:style w:type="character" w:customStyle="1" w:styleId="spellingerror">
    <w:name w:val="spellingerror"/>
    <w:basedOn w:val="VarsaylanParagrafYazTipi"/>
    <w:rsid w:val="004816D3"/>
  </w:style>
  <w:style w:type="character" w:customStyle="1" w:styleId="eop">
    <w:name w:val="eop"/>
    <w:basedOn w:val="VarsaylanParagrafYazTipi"/>
    <w:rsid w:val="004816D3"/>
  </w:style>
  <w:style w:type="character" w:styleId="AklamaBavurusu">
    <w:name w:val="annotation reference"/>
    <w:basedOn w:val="VarsaylanParagrafYazTipi"/>
    <w:uiPriority w:val="99"/>
    <w:semiHidden/>
    <w:unhideWhenUsed/>
    <w:rsid w:val="004816D3"/>
    <w:rPr>
      <w:sz w:val="16"/>
      <w:szCs w:val="16"/>
    </w:rPr>
  </w:style>
  <w:style w:type="paragraph" w:styleId="AklamaMetni">
    <w:name w:val="annotation text"/>
    <w:basedOn w:val="Normal"/>
    <w:link w:val="AklamaMetniChar"/>
    <w:uiPriority w:val="99"/>
    <w:unhideWhenUsed/>
    <w:rsid w:val="004816D3"/>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4816D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816D3"/>
    <w:rPr>
      <w:b/>
      <w:bCs/>
    </w:rPr>
  </w:style>
  <w:style w:type="character" w:customStyle="1" w:styleId="AklamaKonusuChar">
    <w:name w:val="Açıklama Konusu Char"/>
    <w:basedOn w:val="AklamaMetniChar"/>
    <w:link w:val="AklamaKonusu"/>
    <w:uiPriority w:val="99"/>
    <w:semiHidden/>
    <w:rsid w:val="004816D3"/>
    <w:rPr>
      <w:rFonts w:eastAsiaTheme="minorEastAsia"/>
      <w:b/>
      <w:bCs/>
      <w:sz w:val="20"/>
      <w:szCs w:val="20"/>
      <w:lang w:eastAsia="tr-TR"/>
    </w:rPr>
  </w:style>
  <w:style w:type="paragraph" w:styleId="BalonMetni">
    <w:name w:val="Balloon Text"/>
    <w:basedOn w:val="Normal"/>
    <w:link w:val="BalonMetniChar"/>
    <w:uiPriority w:val="99"/>
    <w:semiHidden/>
    <w:unhideWhenUsed/>
    <w:rsid w:val="004816D3"/>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4816D3"/>
    <w:rPr>
      <w:rFonts w:ascii="Tahoma" w:eastAsiaTheme="minorEastAsia" w:hAnsi="Tahoma" w:cs="Tahoma"/>
      <w:sz w:val="16"/>
      <w:szCs w:val="16"/>
      <w:lang w:eastAsia="tr-TR"/>
    </w:rPr>
  </w:style>
  <w:style w:type="character" w:customStyle="1" w:styleId="medcalcfontcctab">
    <w:name w:val="medcalcfontcctab"/>
    <w:basedOn w:val="VarsaylanParagrafYazTipi"/>
    <w:rsid w:val="004816D3"/>
  </w:style>
  <w:style w:type="paragraph" w:customStyle="1" w:styleId="bulletindent1">
    <w:name w:val="bulletindent1"/>
    <w:basedOn w:val="Normal"/>
    <w:rsid w:val="004816D3"/>
    <w:pPr>
      <w:spacing w:before="100" w:beforeAutospacing="1" w:after="100" w:afterAutospacing="1"/>
    </w:pPr>
  </w:style>
  <w:style w:type="character" w:customStyle="1" w:styleId="cit">
    <w:name w:val="cit"/>
    <w:basedOn w:val="VarsaylanParagrafYazTipi"/>
    <w:rsid w:val="004816D3"/>
  </w:style>
  <w:style w:type="character" w:customStyle="1" w:styleId="fm-vol-iss-date">
    <w:name w:val="fm-vol-iss-date"/>
    <w:basedOn w:val="VarsaylanParagrafYazTipi"/>
    <w:rsid w:val="004816D3"/>
  </w:style>
  <w:style w:type="character" w:customStyle="1" w:styleId="doi">
    <w:name w:val="doi"/>
    <w:basedOn w:val="VarsaylanParagrafYazTipi"/>
    <w:rsid w:val="004816D3"/>
  </w:style>
  <w:style w:type="character" w:customStyle="1" w:styleId="fm-citation-ids-label">
    <w:name w:val="fm-citation-ids-label"/>
    <w:basedOn w:val="VarsaylanParagrafYazTipi"/>
    <w:rsid w:val="004816D3"/>
  </w:style>
  <w:style w:type="character" w:customStyle="1" w:styleId="title-text">
    <w:name w:val="title-text"/>
    <w:basedOn w:val="VarsaylanParagrafYazTipi"/>
    <w:rsid w:val="004816D3"/>
  </w:style>
  <w:style w:type="character" w:customStyle="1" w:styleId="published-date">
    <w:name w:val="published-date"/>
    <w:basedOn w:val="VarsaylanParagrafYazTipi"/>
    <w:rsid w:val="004816D3"/>
  </w:style>
  <w:style w:type="character" w:customStyle="1" w:styleId="subhead-sans">
    <w:name w:val="subhead-sans"/>
    <w:basedOn w:val="VarsaylanParagrafYazTipi"/>
    <w:rsid w:val="004816D3"/>
  </w:style>
  <w:style w:type="character" w:customStyle="1" w:styleId="zmlenmeyenBahsetme1">
    <w:name w:val="Çözümlenmeyen Bahsetme1"/>
    <w:basedOn w:val="VarsaylanParagrafYazTipi"/>
    <w:uiPriority w:val="99"/>
    <w:semiHidden/>
    <w:unhideWhenUsed/>
    <w:rsid w:val="00160C9A"/>
    <w:rPr>
      <w:color w:val="808080"/>
      <w:shd w:val="clear" w:color="auto" w:fill="E6E6E6"/>
    </w:rPr>
  </w:style>
  <w:style w:type="character" w:customStyle="1" w:styleId="zmlenmeyenBahsetme2">
    <w:name w:val="Çözümlenmeyen Bahsetme2"/>
    <w:basedOn w:val="VarsaylanParagrafYazTipi"/>
    <w:uiPriority w:val="99"/>
    <w:semiHidden/>
    <w:unhideWhenUsed/>
    <w:rsid w:val="007B0AC0"/>
    <w:rPr>
      <w:color w:val="808080"/>
      <w:shd w:val="clear" w:color="auto" w:fill="E6E6E6"/>
    </w:rPr>
  </w:style>
  <w:style w:type="paragraph" w:styleId="Dzeltme">
    <w:name w:val="Revision"/>
    <w:hidden/>
    <w:uiPriority w:val="99"/>
    <w:semiHidden/>
    <w:rsid w:val="0008628F"/>
    <w:pPr>
      <w:spacing w:after="0" w:line="240" w:lineRule="auto"/>
    </w:pPr>
    <w:rPr>
      <w:rFonts w:eastAsiaTheme="minorEastAsia"/>
      <w:lang w:eastAsia="tr-TR"/>
    </w:rPr>
  </w:style>
  <w:style w:type="paragraph" w:customStyle="1" w:styleId="title1">
    <w:name w:val="title1"/>
    <w:basedOn w:val="Normal"/>
    <w:rsid w:val="002B1554"/>
    <w:rPr>
      <w:sz w:val="27"/>
      <w:szCs w:val="27"/>
    </w:rPr>
  </w:style>
  <w:style w:type="paragraph" w:customStyle="1" w:styleId="desc2">
    <w:name w:val="desc2"/>
    <w:basedOn w:val="Normal"/>
    <w:rsid w:val="002B1554"/>
    <w:rPr>
      <w:sz w:val="26"/>
      <w:szCs w:val="26"/>
    </w:rPr>
  </w:style>
  <w:style w:type="paragraph" w:customStyle="1" w:styleId="details1">
    <w:name w:val="details1"/>
    <w:basedOn w:val="Normal"/>
    <w:rsid w:val="002B1554"/>
    <w:rPr>
      <w:sz w:val="22"/>
      <w:szCs w:val="22"/>
    </w:rPr>
  </w:style>
  <w:style w:type="character" w:customStyle="1" w:styleId="jrnl">
    <w:name w:val="jrnl"/>
    <w:basedOn w:val="VarsaylanParagrafYazTipi"/>
    <w:rsid w:val="002B1554"/>
  </w:style>
  <w:style w:type="character" w:customStyle="1" w:styleId="reference2">
    <w:name w:val="reference2"/>
    <w:basedOn w:val="VarsaylanParagrafYazTipi"/>
    <w:rsid w:val="00A43D2C"/>
  </w:style>
  <w:style w:type="paragraph" w:customStyle="1" w:styleId="p">
    <w:name w:val="p"/>
    <w:basedOn w:val="Normal"/>
    <w:rsid w:val="00632179"/>
    <w:pPr>
      <w:spacing w:before="100" w:beforeAutospacing="1" w:after="100" w:afterAutospacing="1"/>
    </w:pPr>
  </w:style>
  <w:style w:type="character" w:customStyle="1" w:styleId="element-citation">
    <w:name w:val="element-citation"/>
    <w:basedOn w:val="VarsaylanParagrafYazTipi"/>
    <w:rsid w:val="00632179"/>
  </w:style>
  <w:style w:type="character" w:customStyle="1" w:styleId="ref-journal">
    <w:name w:val="ref-journal"/>
    <w:basedOn w:val="VarsaylanParagrafYazTipi"/>
    <w:rsid w:val="00632179"/>
  </w:style>
  <w:style w:type="character" w:customStyle="1" w:styleId="ref-vol">
    <w:name w:val="ref-vol"/>
    <w:basedOn w:val="VarsaylanParagrafYazTipi"/>
    <w:rsid w:val="00632179"/>
  </w:style>
  <w:style w:type="character" w:customStyle="1" w:styleId="A0">
    <w:name w:val="A0"/>
    <w:uiPriority w:val="99"/>
    <w:rsid w:val="007528C0"/>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5A33D2"/>
    <w:pPr>
      <w:spacing w:before="100" w:beforeAutospacing="1" w:after="100" w:afterAutospacing="1"/>
    </w:pPr>
  </w:style>
  <w:style w:type="paragraph" w:customStyle="1" w:styleId="Saptanm">
    <w:name w:val="Saptanmış"/>
    <w:rsid w:val="003E5F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paragraph" w:customStyle="1" w:styleId="xydp98b0ef9amsonormal">
    <w:name w:val="x_ydp98b0ef9amsonormal"/>
    <w:basedOn w:val="Normal"/>
    <w:rsid w:val="005712F8"/>
    <w:pPr>
      <w:spacing w:before="100" w:beforeAutospacing="1" w:after="100" w:afterAutospacing="1"/>
    </w:pPr>
  </w:style>
  <w:style w:type="character" w:customStyle="1" w:styleId="xydp98b0ef9amsohyperlink">
    <w:name w:val="x_ydp98b0ef9amsohyperlink"/>
    <w:basedOn w:val="VarsaylanParagrafYazTipi"/>
    <w:rsid w:val="005712F8"/>
  </w:style>
  <w:style w:type="character" w:customStyle="1" w:styleId="user-generated">
    <w:name w:val="user-generated"/>
    <w:basedOn w:val="VarsaylanParagrafYazTipi"/>
    <w:rsid w:val="001D5654"/>
  </w:style>
  <w:style w:type="character" w:customStyle="1" w:styleId="zmlenmeyenBahsetme3">
    <w:name w:val="Çözümlenmeyen Bahsetme3"/>
    <w:basedOn w:val="VarsaylanParagrafYazTipi"/>
    <w:uiPriority w:val="99"/>
    <w:semiHidden/>
    <w:unhideWhenUsed/>
    <w:rsid w:val="001978D3"/>
    <w:rPr>
      <w:color w:val="808080"/>
      <w:shd w:val="clear" w:color="auto" w:fill="E6E6E6"/>
    </w:rPr>
  </w:style>
  <w:style w:type="paragraph" w:customStyle="1" w:styleId="xydpfcd73491msonormal">
    <w:name w:val="x_ydpfcd73491msonormal"/>
    <w:basedOn w:val="Normal"/>
    <w:rsid w:val="001978D3"/>
    <w:pPr>
      <w:spacing w:before="100" w:beforeAutospacing="1" w:after="100" w:afterAutospacing="1"/>
    </w:pPr>
  </w:style>
  <w:style w:type="character" w:customStyle="1" w:styleId="HTMLPreformattedChar">
    <w:name w:val="HTML Preformatted Char"/>
    <w:basedOn w:val="VarsaylanParagrafYazTipi"/>
    <w:uiPriority w:val="99"/>
    <w:rsid w:val="001978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909">
      <w:bodyDiv w:val="1"/>
      <w:marLeft w:val="0"/>
      <w:marRight w:val="0"/>
      <w:marTop w:val="0"/>
      <w:marBottom w:val="0"/>
      <w:divBdr>
        <w:top w:val="none" w:sz="0" w:space="0" w:color="auto"/>
        <w:left w:val="none" w:sz="0" w:space="0" w:color="auto"/>
        <w:bottom w:val="none" w:sz="0" w:space="0" w:color="auto"/>
        <w:right w:val="none" w:sz="0" w:space="0" w:color="auto"/>
      </w:divBdr>
      <w:divsChild>
        <w:div w:id="82264733">
          <w:marLeft w:val="0"/>
          <w:marRight w:val="0"/>
          <w:marTop w:val="0"/>
          <w:marBottom w:val="0"/>
          <w:divBdr>
            <w:top w:val="none" w:sz="0" w:space="0" w:color="auto"/>
            <w:left w:val="none" w:sz="0" w:space="0" w:color="auto"/>
            <w:bottom w:val="none" w:sz="0" w:space="0" w:color="auto"/>
            <w:right w:val="none" w:sz="0" w:space="0" w:color="auto"/>
          </w:divBdr>
        </w:div>
        <w:div w:id="621502678">
          <w:marLeft w:val="0"/>
          <w:marRight w:val="0"/>
          <w:marTop w:val="0"/>
          <w:marBottom w:val="0"/>
          <w:divBdr>
            <w:top w:val="none" w:sz="0" w:space="0" w:color="auto"/>
            <w:left w:val="none" w:sz="0" w:space="0" w:color="auto"/>
            <w:bottom w:val="none" w:sz="0" w:space="0" w:color="auto"/>
            <w:right w:val="none" w:sz="0" w:space="0" w:color="auto"/>
          </w:divBdr>
        </w:div>
        <w:div w:id="327562977">
          <w:marLeft w:val="0"/>
          <w:marRight w:val="0"/>
          <w:marTop w:val="0"/>
          <w:marBottom w:val="0"/>
          <w:divBdr>
            <w:top w:val="none" w:sz="0" w:space="0" w:color="auto"/>
            <w:left w:val="none" w:sz="0" w:space="0" w:color="auto"/>
            <w:bottom w:val="none" w:sz="0" w:space="0" w:color="auto"/>
            <w:right w:val="none" w:sz="0" w:space="0" w:color="auto"/>
          </w:divBdr>
        </w:div>
      </w:divsChild>
    </w:div>
    <w:div w:id="10886160">
      <w:bodyDiv w:val="1"/>
      <w:marLeft w:val="0"/>
      <w:marRight w:val="0"/>
      <w:marTop w:val="0"/>
      <w:marBottom w:val="0"/>
      <w:divBdr>
        <w:top w:val="none" w:sz="0" w:space="0" w:color="auto"/>
        <w:left w:val="none" w:sz="0" w:space="0" w:color="auto"/>
        <w:bottom w:val="none" w:sz="0" w:space="0" w:color="auto"/>
        <w:right w:val="none" w:sz="0" w:space="0" w:color="auto"/>
      </w:divBdr>
    </w:div>
    <w:div w:id="14620892">
      <w:bodyDiv w:val="1"/>
      <w:marLeft w:val="0"/>
      <w:marRight w:val="0"/>
      <w:marTop w:val="0"/>
      <w:marBottom w:val="0"/>
      <w:divBdr>
        <w:top w:val="none" w:sz="0" w:space="0" w:color="auto"/>
        <w:left w:val="none" w:sz="0" w:space="0" w:color="auto"/>
        <w:bottom w:val="none" w:sz="0" w:space="0" w:color="auto"/>
        <w:right w:val="none" w:sz="0" w:space="0" w:color="auto"/>
      </w:divBdr>
    </w:div>
    <w:div w:id="61565106">
      <w:bodyDiv w:val="1"/>
      <w:marLeft w:val="0"/>
      <w:marRight w:val="0"/>
      <w:marTop w:val="0"/>
      <w:marBottom w:val="0"/>
      <w:divBdr>
        <w:top w:val="none" w:sz="0" w:space="0" w:color="auto"/>
        <w:left w:val="none" w:sz="0" w:space="0" w:color="auto"/>
        <w:bottom w:val="none" w:sz="0" w:space="0" w:color="auto"/>
        <w:right w:val="none" w:sz="0" w:space="0" w:color="auto"/>
      </w:divBdr>
    </w:div>
    <w:div w:id="69276022">
      <w:bodyDiv w:val="1"/>
      <w:marLeft w:val="0"/>
      <w:marRight w:val="0"/>
      <w:marTop w:val="0"/>
      <w:marBottom w:val="0"/>
      <w:divBdr>
        <w:top w:val="none" w:sz="0" w:space="0" w:color="auto"/>
        <w:left w:val="none" w:sz="0" w:space="0" w:color="auto"/>
        <w:bottom w:val="none" w:sz="0" w:space="0" w:color="auto"/>
        <w:right w:val="none" w:sz="0" w:space="0" w:color="auto"/>
      </w:divBdr>
      <w:divsChild>
        <w:div w:id="1054505732">
          <w:marLeft w:val="0"/>
          <w:marRight w:val="0"/>
          <w:marTop w:val="0"/>
          <w:marBottom w:val="0"/>
          <w:divBdr>
            <w:top w:val="none" w:sz="0" w:space="0" w:color="auto"/>
            <w:left w:val="none" w:sz="0" w:space="0" w:color="auto"/>
            <w:bottom w:val="none" w:sz="0" w:space="0" w:color="auto"/>
            <w:right w:val="none" w:sz="0" w:space="0" w:color="auto"/>
          </w:divBdr>
          <w:divsChild>
            <w:div w:id="32193912">
              <w:marLeft w:val="0"/>
              <w:marRight w:val="0"/>
              <w:marTop w:val="0"/>
              <w:marBottom w:val="0"/>
              <w:divBdr>
                <w:top w:val="none" w:sz="0" w:space="0" w:color="auto"/>
                <w:left w:val="none" w:sz="0" w:space="0" w:color="auto"/>
                <w:bottom w:val="none" w:sz="0" w:space="0" w:color="auto"/>
                <w:right w:val="none" w:sz="0" w:space="0" w:color="auto"/>
              </w:divBdr>
              <w:divsChild>
                <w:div w:id="1346707531">
                  <w:marLeft w:val="-268"/>
                  <w:marRight w:val="-268"/>
                  <w:marTop w:val="0"/>
                  <w:marBottom w:val="0"/>
                  <w:divBdr>
                    <w:top w:val="none" w:sz="0" w:space="0" w:color="auto"/>
                    <w:left w:val="none" w:sz="0" w:space="0" w:color="auto"/>
                    <w:bottom w:val="none" w:sz="0" w:space="0" w:color="auto"/>
                    <w:right w:val="none" w:sz="0" w:space="0" w:color="auto"/>
                  </w:divBdr>
                  <w:divsChild>
                    <w:div w:id="335772656">
                      <w:marLeft w:val="0"/>
                      <w:marRight w:val="0"/>
                      <w:marTop w:val="0"/>
                      <w:marBottom w:val="0"/>
                      <w:divBdr>
                        <w:top w:val="none" w:sz="0" w:space="0" w:color="auto"/>
                        <w:left w:val="none" w:sz="0" w:space="0" w:color="auto"/>
                        <w:bottom w:val="none" w:sz="0" w:space="0" w:color="auto"/>
                        <w:right w:val="none" w:sz="0" w:space="0" w:color="auto"/>
                      </w:divBdr>
                      <w:divsChild>
                        <w:div w:id="120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9013">
      <w:bodyDiv w:val="1"/>
      <w:marLeft w:val="0"/>
      <w:marRight w:val="0"/>
      <w:marTop w:val="0"/>
      <w:marBottom w:val="0"/>
      <w:divBdr>
        <w:top w:val="none" w:sz="0" w:space="0" w:color="auto"/>
        <w:left w:val="none" w:sz="0" w:space="0" w:color="auto"/>
        <w:bottom w:val="none" w:sz="0" w:space="0" w:color="auto"/>
        <w:right w:val="none" w:sz="0" w:space="0" w:color="auto"/>
      </w:divBdr>
    </w:div>
    <w:div w:id="87896001">
      <w:bodyDiv w:val="1"/>
      <w:marLeft w:val="0"/>
      <w:marRight w:val="0"/>
      <w:marTop w:val="0"/>
      <w:marBottom w:val="0"/>
      <w:divBdr>
        <w:top w:val="none" w:sz="0" w:space="0" w:color="auto"/>
        <w:left w:val="none" w:sz="0" w:space="0" w:color="auto"/>
        <w:bottom w:val="none" w:sz="0" w:space="0" w:color="auto"/>
        <w:right w:val="none" w:sz="0" w:space="0" w:color="auto"/>
      </w:divBdr>
    </w:div>
    <w:div w:id="93133058">
      <w:bodyDiv w:val="1"/>
      <w:marLeft w:val="0"/>
      <w:marRight w:val="0"/>
      <w:marTop w:val="0"/>
      <w:marBottom w:val="0"/>
      <w:divBdr>
        <w:top w:val="none" w:sz="0" w:space="0" w:color="auto"/>
        <w:left w:val="none" w:sz="0" w:space="0" w:color="auto"/>
        <w:bottom w:val="none" w:sz="0" w:space="0" w:color="auto"/>
        <w:right w:val="none" w:sz="0" w:space="0" w:color="auto"/>
      </w:divBdr>
    </w:div>
    <w:div w:id="111367861">
      <w:bodyDiv w:val="1"/>
      <w:marLeft w:val="0"/>
      <w:marRight w:val="0"/>
      <w:marTop w:val="0"/>
      <w:marBottom w:val="0"/>
      <w:divBdr>
        <w:top w:val="none" w:sz="0" w:space="0" w:color="auto"/>
        <w:left w:val="none" w:sz="0" w:space="0" w:color="auto"/>
        <w:bottom w:val="none" w:sz="0" w:space="0" w:color="auto"/>
        <w:right w:val="none" w:sz="0" w:space="0" w:color="auto"/>
      </w:divBdr>
    </w:div>
    <w:div w:id="112603911">
      <w:bodyDiv w:val="1"/>
      <w:marLeft w:val="0"/>
      <w:marRight w:val="0"/>
      <w:marTop w:val="0"/>
      <w:marBottom w:val="0"/>
      <w:divBdr>
        <w:top w:val="none" w:sz="0" w:space="0" w:color="auto"/>
        <w:left w:val="none" w:sz="0" w:space="0" w:color="auto"/>
        <w:bottom w:val="none" w:sz="0" w:space="0" w:color="auto"/>
        <w:right w:val="none" w:sz="0" w:space="0" w:color="auto"/>
      </w:divBdr>
    </w:div>
    <w:div w:id="158885647">
      <w:bodyDiv w:val="1"/>
      <w:marLeft w:val="0"/>
      <w:marRight w:val="0"/>
      <w:marTop w:val="0"/>
      <w:marBottom w:val="0"/>
      <w:divBdr>
        <w:top w:val="none" w:sz="0" w:space="0" w:color="auto"/>
        <w:left w:val="none" w:sz="0" w:space="0" w:color="auto"/>
        <w:bottom w:val="none" w:sz="0" w:space="0" w:color="auto"/>
        <w:right w:val="none" w:sz="0" w:space="0" w:color="auto"/>
      </w:divBdr>
    </w:div>
    <w:div w:id="164633115">
      <w:bodyDiv w:val="1"/>
      <w:marLeft w:val="0"/>
      <w:marRight w:val="0"/>
      <w:marTop w:val="0"/>
      <w:marBottom w:val="0"/>
      <w:divBdr>
        <w:top w:val="none" w:sz="0" w:space="0" w:color="auto"/>
        <w:left w:val="none" w:sz="0" w:space="0" w:color="auto"/>
        <w:bottom w:val="none" w:sz="0" w:space="0" w:color="auto"/>
        <w:right w:val="none" w:sz="0" w:space="0" w:color="auto"/>
      </w:divBdr>
    </w:div>
    <w:div w:id="167644115">
      <w:bodyDiv w:val="1"/>
      <w:marLeft w:val="0"/>
      <w:marRight w:val="0"/>
      <w:marTop w:val="0"/>
      <w:marBottom w:val="0"/>
      <w:divBdr>
        <w:top w:val="none" w:sz="0" w:space="0" w:color="auto"/>
        <w:left w:val="none" w:sz="0" w:space="0" w:color="auto"/>
        <w:bottom w:val="none" w:sz="0" w:space="0" w:color="auto"/>
        <w:right w:val="none" w:sz="0" w:space="0" w:color="auto"/>
      </w:divBdr>
    </w:div>
    <w:div w:id="186260661">
      <w:bodyDiv w:val="1"/>
      <w:marLeft w:val="0"/>
      <w:marRight w:val="0"/>
      <w:marTop w:val="0"/>
      <w:marBottom w:val="0"/>
      <w:divBdr>
        <w:top w:val="none" w:sz="0" w:space="0" w:color="auto"/>
        <w:left w:val="none" w:sz="0" w:space="0" w:color="auto"/>
        <w:bottom w:val="none" w:sz="0" w:space="0" w:color="auto"/>
        <w:right w:val="none" w:sz="0" w:space="0" w:color="auto"/>
      </w:divBdr>
    </w:div>
    <w:div w:id="212667605">
      <w:bodyDiv w:val="1"/>
      <w:marLeft w:val="0"/>
      <w:marRight w:val="0"/>
      <w:marTop w:val="0"/>
      <w:marBottom w:val="0"/>
      <w:divBdr>
        <w:top w:val="none" w:sz="0" w:space="0" w:color="auto"/>
        <w:left w:val="none" w:sz="0" w:space="0" w:color="auto"/>
        <w:bottom w:val="none" w:sz="0" w:space="0" w:color="auto"/>
        <w:right w:val="none" w:sz="0" w:space="0" w:color="auto"/>
      </w:divBdr>
    </w:div>
    <w:div w:id="213467430">
      <w:bodyDiv w:val="1"/>
      <w:marLeft w:val="0"/>
      <w:marRight w:val="0"/>
      <w:marTop w:val="0"/>
      <w:marBottom w:val="0"/>
      <w:divBdr>
        <w:top w:val="none" w:sz="0" w:space="0" w:color="auto"/>
        <w:left w:val="none" w:sz="0" w:space="0" w:color="auto"/>
        <w:bottom w:val="none" w:sz="0" w:space="0" w:color="auto"/>
        <w:right w:val="none" w:sz="0" w:space="0" w:color="auto"/>
      </w:divBdr>
    </w:div>
    <w:div w:id="231043993">
      <w:bodyDiv w:val="1"/>
      <w:marLeft w:val="0"/>
      <w:marRight w:val="0"/>
      <w:marTop w:val="0"/>
      <w:marBottom w:val="0"/>
      <w:divBdr>
        <w:top w:val="none" w:sz="0" w:space="0" w:color="auto"/>
        <w:left w:val="none" w:sz="0" w:space="0" w:color="auto"/>
        <w:bottom w:val="none" w:sz="0" w:space="0" w:color="auto"/>
        <w:right w:val="none" w:sz="0" w:space="0" w:color="auto"/>
      </w:divBdr>
    </w:div>
    <w:div w:id="232743568">
      <w:bodyDiv w:val="1"/>
      <w:marLeft w:val="0"/>
      <w:marRight w:val="0"/>
      <w:marTop w:val="0"/>
      <w:marBottom w:val="0"/>
      <w:divBdr>
        <w:top w:val="none" w:sz="0" w:space="0" w:color="auto"/>
        <w:left w:val="none" w:sz="0" w:space="0" w:color="auto"/>
        <w:bottom w:val="none" w:sz="0" w:space="0" w:color="auto"/>
        <w:right w:val="none" w:sz="0" w:space="0" w:color="auto"/>
      </w:divBdr>
    </w:div>
    <w:div w:id="245069721">
      <w:bodyDiv w:val="1"/>
      <w:marLeft w:val="0"/>
      <w:marRight w:val="0"/>
      <w:marTop w:val="0"/>
      <w:marBottom w:val="0"/>
      <w:divBdr>
        <w:top w:val="none" w:sz="0" w:space="0" w:color="auto"/>
        <w:left w:val="none" w:sz="0" w:space="0" w:color="auto"/>
        <w:bottom w:val="none" w:sz="0" w:space="0" w:color="auto"/>
        <w:right w:val="none" w:sz="0" w:space="0" w:color="auto"/>
      </w:divBdr>
    </w:div>
    <w:div w:id="274799657">
      <w:bodyDiv w:val="1"/>
      <w:marLeft w:val="0"/>
      <w:marRight w:val="0"/>
      <w:marTop w:val="0"/>
      <w:marBottom w:val="0"/>
      <w:divBdr>
        <w:top w:val="none" w:sz="0" w:space="0" w:color="auto"/>
        <w:left w:val="none" w:sz="0" w:space="0" w:color="auto"/>
        <w:bottom w:val="none" w:sz="0" w:space="0" w:color="auto"/>
        <w:right w:val="none" w:sz="0" w:space="0" w:color="auto"/>
      </w:divBdr>
    </w:div>
    <w:div w:id="305012631">
      <w:bodyDiv w:val="1"/>
      <w:marLeft w:val="0"/>
      <w:marRight w:val="0"/>
      <w:marTop w:val="0"/>
      <w:marBottom w:val="0"/>
      <w:divBdr>
        <w:top w:val="none" w:sz="0" w:space="0" w:color="auto"/>
        <w:left w:val="none" w:sz="0" w:space="0" w:color="auto"/>
        <w:bottom w:val="none" w:sz="0" w:space="0" w:color="auto"/>
        <w:right w:val="none" w:sz="0" w:space="0" w:color="auto"/>
      </w:divBdr>
    </w:div>
    <w:div w:id="320741076">
      <w:bodyDiv w:val="1"/>
      <w:marLeft w:val="0"/>
      <w:marRight w:val="0"/>
      <w:marTop w:val="0"/>
      <w:marBottom w:val="0"/>
      <w:divBdr>
        <w:top w:val="none" w:sz="0" w:space="0" w:color="auto"/>
        <w:left w:val="none" w:sz="0" w:space="0" w:color="auto"/>
        <w:bottom w:val="none" w:sz="0" w:space="0" w:color="auto"/>
        <w:right w:val="none" w:sz="0" w:space="0" w:color="auto"/>
      </w:divBdr>
    </w:div>
    <w:div w:id="341516390">
      <w:bodyDiv w:val="1"/>
      <w:marLeft w:val="0"/>
      <w:marRight w:val="0"/>
      <w:marTop w:val="0"/>
      <w:marBottom w:val="0"/>
      <w:divBdr>
        <w:top w:val="none" w:sz="0" w:space="0" w:color="auto"/>
        <w:left w:val="none" w:sz="0" w:space="0" w:color="auto"/>
        <w:bottom w:val="none" w:sz="0" w:space="0" w:color="auto"/>
        <w:right w:val="none" w:sz="0" w:space="0" w:color="auto"/>
      </w:divBdr>
    </w:div>
    <w:div w:id="350029750">
      <w:bodyDiv w:val="1"/>
      <w:marLeft w:val="0"/>
      <w:marRight w:val="0"/>
      <w:marTop w:val="0"/>
      <w:marBottom w:val="0"/>
      <w:divBdr>
        <w:top w:val="none" w:sz="0" w:space="0" w:color="auto"/>
        <w:left w:val="none" w:sz="0" w:space="0" w:color="auto"/>
        <w:bottom w:val="none" w:sz="0" w:space="0" w:color="auto"/>
        <w:right w:val="none" w:sz="0" w:space="0" w:color="auto"/>
      </w:divBdr>
    </w:div>
    <w:div w:id="361174255">
      <w:bodyDiv w:val="1"/>
      <w:marLeft w:val="0"/>
      <w:marRight w:val="0"/>
      <w:marTop w:val="0"/>
      <w:marBottom w:val="0"/>
      <w:divBdr>
        <w:top w:val="none" w:sz="0" w:space="0" w:color="auto"/>
        <w:left w:val="none" w:sz="0" w:space="0" w:color="auto"/>
        <w:bottom w:val="none" w:sz="0" w:space="0" w:color="auto"/>
        <w:right w:val="none" w:sz="0" w:space="0" w:color="auto"/>
      </w:divBdr>
    </w:div>
    <w:div w:id="374426655">
      <w:bodyDiv w:val="1"/>
      <w:marLeft w:val="0"/>
      <w:marRight w:val="0"/>
      <w:marTop w:val="0"/>
      <w:marBottom w:val="0"/>
      <w:divBdr>
        <w:top w:val="none" w:sz="0" w:space="0" w:color="auto"/>
        <w:left w:val="none" w:sz="0" w:space="0" w:color="auto"/>
        <w:bottom w:val="none" w:sz="0" w:space="0" w:color="auto"/>
        <w:right w:val="none" w:sz="0" w:space="0" w:color="auto"/>
      </w:divBdr>
    </w:div>
    <w:div w:id="384837210">
      <w:bodyDiv w:val="1"/>
      <w:marLeft w:val="0"/>
      <w:marRight w:val="0"/>
      <w:marTop w:val="0"/>
      <w:marBottom w:val="0"/>
      <w:divBdr>
        <w:top w:val="none" w:sz="0" w:space="0" w:color="auto"/>
        <w:left w:val="none" w:sz="0" w:space="0" w:color="auto"/>
        <w:bottom w:val="none" w:sz="0" w:space="0" w:color="auto"/>
        <w:right w:val="none" w:sz="0" w:space="0" w:color="auto"/>
      </w:divBdr>
    </w:div>
    <w:div w:id="436217577">
      <w:bodyDiv w:val="1"/>
      <w:marLeft w:val="0"/>
      <w:marRight w:val="0"/>
      <w:marTop w:val="0"/>
      <w:marBottom w:val="0"/>
      <w:divBdr>
        <w:top w:val="none" w:sz="0" w:space="0" w:color="auto"/>
        <w:left w:val="none" w:sz="0" w:space="0" w:color="auto"/>
        <w:bottom w:val="none" w:sz="0" w:space="0" w:color="auto"/>
        <w:right w:val="none" w:sz="0" w:space="0" w:color="auto"/>
      </w:divBdr>
    </w:div>
    <w:div w:id="440416107">
      <w:bodyDiv w:val="1"/>
      <w:marLeft w:val="0"/>
      <w:marRight w:val="0"/>
      <w:marTop w:val="0"/>
      <w:marBottom w:val="0"/>
      <w:divBdr>
        <w:top w:val="none" w:sz="0" w:space="0" w:color="auto"/>
        <w:left w:val="none" w:sz="0" w:space="0" w:color="auto"/>
        <w:bottom w:val="none" w:sz="0" w:space="0" w:color="auto"/>
        <w:right w:val="none" w:sz="0" w:space="0" w:color="auto"/>
      </w:divBdr>
    </w:div>
    <w:div w:id="443572356">
      <w:bodyDiv w:val="1"/>
      <w:marLeft w:val="0"/>
      <w:marRight w:val="0"/>
      <w:marTop w:val="0"/>
      <w:marBottom w:val="0"/>
      <w:divBdr>
        <w:top w:val="none" w:sz="0" w:space="0" w:color="auto"/>
        <w:left w:val="none" w:sz="0" w:space="0" w:color="auto"/>
        <w:bottom w:val="none" w:sz="0" w:space="0" w:color="auto"/>
        <w:right w:val="none" w:sz="0" w:space="0" w:color="auto"/>
      </w:divBdr>
    </w:div>
    <w:div w:id="445347773">
      <w:bodyDiv w:val="1"/>
      <w:marLeft w:val="0"/>
      <w:marRight w:val="0"/>
      <w:marTop w:val="0"/>
      <w:marBottom w:val="0"/>
      <w:divBdr>
        <w:top w:val="none" w:sz="0" w:space="0" w:color="auto"/>
        <w:left w:val="none" w:sz="0" w:space="0" w:color="auto"/>
        <w:bottom w:val="none" w:sz="0" w:space="0" w:color="auto"/>
        <w:right w:val="none" w:sz="0" w:space="0" w:color="auto"/>
      </w:divBdr>
    </w:div>
    <w:div w:id="460266656">
      <w:bodyDiv w:val="1"/>
      <w:marLeft w:val="0"/>
      <w:marRight w:val="0"/>
      <w:marTop w:val="0"/>
      <w:marBottom w:val="0"/>
      <w:divBdr>
        <w:top w:val="none" w:sz="0" w:space="0" w:color="auto"/>
        <w:left w:val="none" w:sz="0" w:space="0" w:color="auto"/>
        <w:bottom w:val="none" w:sz="0" w:space="0" w:color="auto"/>
        <w:right w:val="none" w:sz="0" w:space="0" w:color="auto"/>
      </w:divBdr>
    </w:div>
    <w:div w:id="466123588">
      <w:bodyDiv w:val="1"/>
      <w:marLeft w:val="0"/>
      <w:marRight w:val="0"/>
      <w:marTop w:val="0"/>
      <w:marBottom w:val="0"/>
      <w:divBdr>
        <w:top w:val="none" w:sz="0" w:space="0" w:color="auto"/>
        <w:left w:val="none" w:sz="0" w:space="0" w:color="auto"/>
        <w:bottom w:val="none" w:sz="0" w:space="0" w:color="auto"/>
        <w:right w:val="none" w:sz="0" w:space="0" w:color="auto"/>
      </w:divBdr>
    </w:div>
    <w:div w:id="469907361">
      <w:bodyDiv w:val="1"/>
      <w:marLeft w:val="0"/>
      <w:marRight w:val="0"/>
      <w:marTop w:val="0"/>
      <w:marBottom w:val="0"/>
      <w:divBdr>
        <w:top w:val="none" w:sz="0" w:space="0" w:color="auto"/>
        <w:left w:val="none" w:sz="0" w:space="0" w:color="auto"/>
        <w:bottom w:val="none" w:sz="0" w:space="0" w:color="auto"/>
        <w:right w:val="none" w:sz="0" w:space="0" w:color="auto"/>
      </w:divBdr>
    </w:div>
    <w:div w:id="516892679">
      <w:bodyDiv w:val="1"/>
      <w:marLeft w:val="0"/>
      <w:marRight w:val="0"/>
      <w:marTop w:val="0"/>
      <w:marBottom w:val="0"/>
      <w:divBdr>
        <w:top w:val="none" w:sz="0" w:space="0" w:color="auto"/>
        <w:left w:val="none" w:sz="0" w:space="0" w:color="auto"/>
        <w:bottom w:val="none" w:sz="0" w:space="0" w:color="auto"/>
        <w:right w:val="none" w:sz="0" w:space="0" w:color="auto"/>
      </w:divBdr>
    </w:div>
    <w:div w:id="528492431">
      <w:bodyDiv w:val="1"/>
      <w:marLeft w:val="0"/>
      <w:marRight w:val="0"/>
      <w:marTop w:val="0"/>
      <w:marBottom w:val="0"/>
      <w:divBdr>
        <w:top w:val="none" w:sz="0" w:space="0" w:color="auto"/>
        <w:left w:val="none" w:sz="0" w:space="0" w:color="auto"/>
        <w:bottom w:val="none" w:sz="0" w:space="0" w:color="auto"/>
        <w:right w:val="none" w:sz="0" w:space="0" w:color="auto"/>
      </w:divBdr>
    </w:div>
    <w:div w:id="531573026">
      <w:bodyDiv w:val="1"/>
      <w:marLeft w:val="0"/>
      <w:marRight w:val="0"/>
      <w:marTop w:val="0"/>
      <w:marBottom w:val="0"/>
      <w:divBdr>
        <w:top w:val="none" w:sz="0" w:space="0" w:color="auto"/>
        <w:left w:val="none" w:sz="0" w:space="0" w:color="auto"/>
        <w:bottom w:val="none" w:sz="0" w:space="0" w:color="auto"/>
        <w:right w:val="none" w:sz="0" w:space="0" w:color="auto"/>
      </w:divBdr>
    </w:div>
    <w:div w:id="532501774">
      <w:bodyDiv w:val="1"/>
      <w:marLeft w:val="0"/>
      <w:marRight w:val="0"/>
      <w:marTop w:val="0"/>
      <w:marBottom w:val="0"/>
      <w:divBdr>
        <w:top w:val="none" w:sz="0" w:space="0" w:color="auto"/>
        <w:left w:val="none" w:sz="0" w:space="0" w:color="auto"/>
        <w:bottom w:val="none" w:sz="0" w:space="0" w:color="auto"/>
        <w:right w:val="none" w:sz="0" w:space="0" w:color="auto"/>
      </w:divBdr>
    </w:div>
    <w:div w:id="552428363">
      <w:bodyDiv w:val="1"/>
      <w:marLeft w:val="0"/>
      <w:marRight w:val="0"/>
      <w:marTop w:val="0"/>
      <w:marBottom w:val="0"/>
      <w:divBdr>
        <w:top w:val="none" w:sz="0" w:space="0" w:color="auto"/>
        <w:left w:val="none" w:sz="0" w:space="0" w:color="auto"/>
        <w:bottom w:val="none" w:sz="0" w:space="0" w:color="auto"/>
        <w:right w:val="none" w:sz="0" w:space="0" w:color="auto"/>
      </w:divBdr>
    </w:div>
    <w:div w:id="557668185">
      <w:bodyDiv w:val="1"/>
      <w:marLeft w:val="0"/>
      <w:marRight w:val="0"/>
      <w:marTop w:val="0"/>
      <w:marBottom w:val="0"/>
      <w:divBdr>
        <w:top w:val="none" w:sz="0" w:space="0" w:color="auto"/>
        <w:left w:val="none" w:sz="0" w:space="0" w:color="auto"/>
        <w:bottom w:val="none" w:sz="0" w:space="0" w:color="auto"/>
        <w:right w:val="none" w:sz="0" w:space="0" w:color="auto"/>
      </w:divBdr>
    </w:div>
    <w:div w:id="573662284">
      <w:bodyDiv w:val="1"/>
      <w:marLeft w:val="0"/>
      <w:marRight w:val="0"/>
      <w:marTop w:val="0"/>
      <w:marBottom w:val="0"/>
      <w:divBdr>
        <w:top w:val="none" w:sz="0" w:space="0" w:color="auto"/>
        <w:left w:val="none" w:sz="0" w:space="0" w:color="auto"/>
        <w:bottom w:val="none" w:sz="0" w:space="0" w:color="auto"/>
        <w:right w:val="none" w:sz="0" w:space="0" w:color="auto"/>
      </w:divBdr>
    </w:div>
    <w:div w:id="584269425">
      <w:bodyDiv w:val="1"/>
      <w:marLeft w:val="0"/>
      <w:marRight w:val="0"/>
      <w:marTop w:val="0"/>
      <w:marBottom w:val="0"/>
      <w:divBdr>
        <w:top w:val="none" w:sz="0" w:space="0" w:color="auto"/>
        <w:left w:val="none" w:sz="0" w:space="0" w:color="auto"/>
        <w:bottom w:val="none" w:sz="0" w:space="0" w:color="auto"/>
        <w:right w:val="none" w:sz="0" w:space="0" w:color="auto"/>
      </w:divBdr>
    </w:div>
    <w:div w:id="617024853">
      <w:bodyDiv w:val="1"/>
      <w:marLeft w:val="0"/>
      <w:marRight w:val="0"/>
      <w:marTop w:val="0"/>
      <w:marBottom w:val="0"/>
      <w:divBdr>
        <w:top w:val="none" w:sz="0" w:space="0" w:color="auto"/>
        <w:left w:val="none" w:sz="0" w:space="0" w:color="auto"/>
        <w:bottom w:val="none" w:sz="0" w:space="0" w:color="auto"/>
        <w:right w:val="none" w:sz="0" w:space="0" w:color="auto"/>
      </w:divBdr>
    </w:div>
    <w:div w:id="664476209">
      <w:bodyDiv w:val="1"/>
      <w:marLeft w:val="0"/>
      <w:marRight w:val="0"/>
      <w:marTop w:val="0"/>
      <w:marBottom w:val="0"/>
      <w:divBdr>
        <w:top w:val="none" w:sz="0" w:space="0" w:color="auto"/>
        <w:left w:val="none" w:sz="0" w:space="0" w:color="auto"/>
        <w:bottom w:val="none" w:sz="0" w:space="0" w:color="auto"/>
        <w:right w:val="none" w:sz="0" w:space="0" w:color="auto"/>
      </w:divBdr>
    </w:div>
    <w:div w:id="690692164">
      <w:bodyDiv w:val="1"/>
      <w:marLeft w:val="0"/>
      <w:marRight w:val="0"/>
      <w:marTop w:val="0"/>
      <w:marBottom w:val="0"/>
      <w:divBdr>
        <w:top w:val="none" w:sz="0" w:space="0" w:color="auto"/>
        <w:left w:val="none" w:sz="0" w:space="0" w:color="auto"/>
        <w:bottom w:val="none" w:sz="0" w:space="0" w:color="auto"/>
        <w:right w:val="none" w:sz="0" w:space="0" w:color="auto"/>
      </w:divBdr>
    </w:div>
    <w:div w:id="691149314">
      <w:bodyDiv w:val="1"/>
      <w:marLeft w:val="0"/>
      <w:marRight w:val="0"/>
      <w:marTop w:val="0"/>
      <w:marBottom w:val="0"/>
      <w:divBdr>
        <w:top w:val="none" w:sz="0" w:space="0" w:color="auto"/>
        <w:left w:val="none" w:sz="0" w:space="0" w:color="auto"/>
        <w:bottom w:val="none" w:sz="0" w:space="0" w:color="auto"/>
        <w:right w:val="none" w:sz="0" w:space="0" w:color="auto"/>
      </w:divBdr>
      <w:divsChild>
        <w:div w:id="438961183">
          <w:marLeft w:val="0"/>
          <w:marRight w:val="0"/>
          <w:marTop w:val="0"/>
          <w:marBottom w:val="0"/>
          <w:divBdr>
            <w:top w:val="none" w:sz="0" w:space="0" w:color="auto"/>
            <w:left w:val="none" w:sz="0" w:space="0" w:color="auto"/>
            <w:bottom w:val="none" w:sz="0" w:space="0" w:color="auto"/>
            <w:right w:val="none" w:sz="0" w:space="0" w:color="auto"/>
          </w:divBdr>
        </w:div>
        <w:div w:id="1544440054">
          <w:marLeft w:val="0"/>
          <w:marRight w:val="0"/>
          <w:marTop w:val="0"/>
          <w:marBottom w:val="0"/>
          <w:divBdr>
            <w:top w:val="none" w:sz="0" w:space="0" w:color="auto"/>
            <w:left w:val="none" w:sz="0" w:space="0" w:color="auto"/>
            <w:bottom w:val="none" w:sz="0" w:space="0" w:color="auto"/>
            <w:right w:val="none" w:sz="0" w:space="0" w:color="auto"/>
          </w:divBdr>
        </w:div>
      </w:divsChild>
    </w:div>
    <w:div w:id="747118091">
      <w:bodyDiv w:val="1"/>
      <w:marLeft w:val="0"/>
      <w:marRight w:val="0"/>
      <w:marTop w:val="0"/>
      <w:marBottom w:val="0"/>
      <w:divBdr>
        <w:top w:val="none" w:sz="0" w:space="0" w:color="auto"/>
        <w:left w:val="none" w:sz="0" w:space="0" w:color="auto"/>
        <w:bottom w:val="none" w:sz="0" w:space="0" w:color="auto"/>
        <w:right w:val="none" w:sz="0" w:space="0" w:color="auto"/>
      </w:divBdr>
    </w:div>
    <w:div w:id="760376399">
      <w:bodyDiv w:val="1"/>
      <w:marLeft w:val="0"/>
      <w:marRight w:val="0"/>
      <w:marTop w:val="0"/>
      <w:marBottom w:val="0"/>
      <w:divBdr>
        <w:top w:val="none" w:sz="0" w:space="0" w:color="auto"/>
        <w:left w:val="none" w:sz="0" w:space="0" w:color="auto"/>
        <w:bottom w:val="none" w:sz="0" w:space="0" w:color="auto"/>
        <w:right w:val="none" w:sz="0" w:space="0" w:color="auto"/>
      </w:divBdr>
    </w:div>
    <w:div w:id="766265546">
      <w:bodyDiv w:val="1"/>
      <w:marLeft w:val="0"/>
      <w:marRight w:val="0"/>
      <w:marTop w:val="0"/>
      <w:marBottom w:val="0"/>
      <w:divBdr>
        <w:top w:val="none" w:sz="0" w:space="0" w:color="auto"/>
        <w:left w:val="none" w:sz="0" w:space="0" w:color="auto"/>
        <w:bottom w:val="none" w:sz="0" w:space="0" w:color="auto"/>
        <w:right w:val="none" w:sz="0" w:space="0" w:color="auto"/>
      </w:divBdr>
      <w:divsChild>
        <w:div w:id="2587613">
          <w:marLeft w:val="0"/>
          <w:marRight w:val="0"/>
          <w:marTop w:val="0"/>
          <w:marBottom w:val="0"/>
          <w:divBdr>
            <w:top w:val="none" w:sz="0" w:space="0" w:color="auto"/>
            <w:left w:val="none" w:sz="0" w:space="0" w:color="auto"/>
            <w:bottom w:val="none" w:sz="0" w:space="0" w:color="auto"/>
            <w:right w:val="none" w:sz="0" w:space="0" w:color="auto"/>
          </w:divBdr>
        </w:div>
        <w:div w:id="1825774935">
          <w:marLeft w:val="0"/>
          <w:marRight w:val="0"/>
          <w:marTop w:val="0"/>
          <w:marBottom w:val="0"/>
          <w:divBdr>
            <w:top w:val="none" w:sz="0" w:space="0" w:color="auto"/>
            <w:left w:val="none" w:sz="0" w:space="0" w:color="auto"/>
            <w:bottom w:val="none" w:sz="0" w:space="0" w:color="auto"/>
            <w:right w:val="none" w:sz="0" w:space="0" w:color="auto"/>
          </w:divBdr>
        </w:div>
        <w:div w:id="503516362">
          <w:marLeft w:val="0"/>
          <w:marRight w:val="0"/>
          <w:marTop w:val="0"/>
          <w:marBottom w:val="0"/>
          <w:divBdr>
            <w:top w:val="none" w:sz="0" w:space="0" w:color="auto"/>
            <w:left w:val="none" w:sz="0" w:space="0" w:color="auto"/>
            <w:bottom w:val="none" w:sz="0" w:space="0" w:color="auto"/>
            <w:right w:val="none" w:sz="0" w:space="0" w:color="auto"/>
          </w:divBdr>
        </w:div>
      </w:divsChild>
    </w:div>
    <w:div w:id="767579912">
      <w:bodyDiv w:val="1"/>
      <w:marLeft w:val="0"/>
      <w:marRight w:val="0"/>
      <w:marTop w:val="0"/>
      <w:marBottom w:val="0"/>
      <w:divBdr>
        <w:top w:val="none" w:sz="0" w:space="0" w:color="auto"/>
        <w:left w:val="none" w:sz="0" w:space="0" w:color="auto"/>
        <w:bottom w:val="none" w:sz="0" w:space="0" w:color="auto"/>
        <w:right w:val="none" w:sz="0" w:space="0" w:color="auto"/>
      </w:divBdr>
    </w:div>
    <w:div w:id="770012269">
      <w:bodyDiv w:val="1"/>
      <w:marLeft w:val="0"/>
      <w:marRight w:val="0"/>
      <w:marTop w:val="0"/>
      <w:marBottom w:val="0"/>
      <w:divBdr>
        <w:top w:val="none" w:sz="0" w:space="0" w:color="auto"/>
        <w:left w:val="none" w:sz="0" w:space="0" w:color="auto"/>
        <w:bottom w:val="none" w:sz="0" w:space="0" w:color="auto"/>
        <w:right w:val="none" w:sz="0" w:space="0" w:color="auto"/>
      </w:divBdr>
    </w:div>
    <w:div w:id="776632873">
      <w:bodyDiv w:val="1"/>
      <w:marLeft w:val="0"/>
      <w:marRight w:val="0"/>
      <w:marTop w:val="0"/>
      <w:marBottom w:val="0"/>
      <w:divBdr>
        <w:top w:val="none" w:sz="0" w:space="0" w:color="auto"/>
        <w:left w:val="none" w:sz="0" w:space="0" w:color="auto"/>
        <w:bottom w:val="none" w:sz="0" w:space="0" w:color="auto"/>
        <w:right w:val="none" w:sz="0" w:space="0" w:color="auto"/>
      </w:divBdr>
    </w:div>
    <w:div w:id="807629187">
      <w:bodyDiv w:val="1"/>
      <w:marLeft w:val="0"/>
      <w:marRight w:val="0"/>
      <w:marTop w:val="0"/>
      <w:marBottom w:val="0"/>
      <w:divBdr>
        <w:top w:val="none" w:sz="0" w:space="0" w:color="auto"/>
        <w:left w:val="none" w:sz="0" w:space="0" w:color="auto"/>
        <w:bottom w:val="none" w:sz="0" w:space="0" w:color="auto"/>
        <w:right w:val="none" w:sz="0" w:space="0" w:color="auto"/>
      </w:divBdr>
    </w:div>
    <w:div w:id="825977613">
      <w:bodyDiv w:val="1"/>
      <w:marLeft w:val="0"/>
      <w:marRight w:val="0"/>
      <w:marTop w:val="0"/>
      <w:marBottom w:val="0"/>
      <w:divBdr>
        <w:top w:val="none" w:sz="0" w:space="0" w:color="auto"/>
        <w:left w:val="none" w:sz="0" w:space="0" w:color="auto"/>
        <w:bottom w:val="none" w:sz="0" w:space="0" w:color="auto"/>
        <w:right w:val="none" w:sz="0" w:space="0" w:color="auto"/>
      </w:divBdr>
    </w:div>
    <w:div w:id="848494783">
      <w:bodyDiv w:val="1"/>
      <w:marLeft w:val="0"/>
      <w:marRight w:val="0"/>
      <w:marTop w:val="0"/>
      <w:marBottom w:val="0"/>
      <w:divBdr>
        <w:top w:val="none" w:sz="0" w:space="0" w:color="auto"/>
        <w:left w:val="none" w:sz="0" w:space="0" w:color="auto"/>
        <w:bottom w:val="none" w:sz="0" w:space="0" w:color="auto"/>
        <w:right w:val="none" w:sz="0" w:space="0" w:color="auto"/>
      </w:divBdr>
      <w:divsChild>
        <w:div w:id="727388262">
          <w:marLeft w:val="0"/>
          <w:marRight w:val="0"/>
          <w:marTop w:val="0"/>
          <w:marBottom w:val="0"/>
          <w:divBdr>
            <w:top w:val="none" w:sz="0" w:space="0" w:color="auto"/>
            <w:left w:val="none" w:sz="0" w:space="0" w:color="auto"/>
            <w:bottom w:val="none" w:sz="0" w:space="0" w:color="auto"/>
            <w:right w:val="none" w:sz="0" w:space="0" w:color="auto"/>
          </w:divBdr>
        </w:div>
        <w:div w:id="824933105">
          <w:marLeft w:val="0"/>
          <w:marRight w:val="0"/>
          <w:marTop w:val="0"/>
          <w:marBottom w:val="0"/>
          <w:divBdr>
            <w:top w:val="none" w:sz="0" w:space="0" w:color="auto"/>
            <w:left w:val="none" w:sz="0" w:space="0" w:color="auto"/>
            <w:bottom w:val="none" w:sz="0" w:space="0" w:color="auto"/>
            <w:right w:val="none" w:sz="0" w:space="0" w:color="auto"/>
          </w:divBdr>
        </w:div>
      </w:divsChild>
    </w:div>
    <w:div w:id="912469540">
      <w:bodyDiv w:val="1"/>
      <w:marLeft w:val="0"/>
      <w:marRight w:val="0"/>
      <w:marTop w:val="0"/>
      <w:marBottom w:val="0"/>
      <w:divBdr>
        <w:top w:val="none" w:sz="0" w:space="0" w:color="auto"/>
        <w:left w:val="none" w:sz="0" w:space="0" w:color="auto"/>
        <w:bottom w:val="none" w:sz="0" w:space="0" w:color="auto"/>
        <w:right w:val="none" w:sz="0" w:space="0" w:color="auto"/>
      </w:divBdr>
    </w:div>
    <w:div w:id="913470836">
      <w:bodyDiv w:val="1"/>
      <w:marLeft w:val="0"/>
      <w:marRight w:val="0"/>
      <w:marTop w:val="0"/>
      <w:marBottom w:val="0"/>
      <w:divBdr>
        <w:top w:val="none" w:sz="0" w:space="0" w:color="auto"/>
        <w:left w:val="none" w:sz="0" w:space="0" w:color="auto"/>
        <w:bottom w:val="none" w:sz="0" w:space="0" w:color="auto"/>
        <w:right w:val="none" w:sz="0" w:space="0" w:color="auto"/>
      </w:divBdr>
    </w:div>
    <w:div w:id="986593482">
      <w:bodyDiv w:val="1"/>
      <w:marLeft w:val="0"/>
      <w:marRight w:val="0"/>
      <w:marTop w:val="0"/>
      <w:marBottom w:val="0"/>
      <w:divBdr>
        <w:top w:val="none" w:sz="0" w:space="0" w:color="auto"/>
        <w:left w:val="none" w:sz="0" w:space="0" w:color="auto"/>
        <w:bottom w:val="none" w:sz="0" w:space="0" w:color="auto"/>
        <w:right w:val="none" w:sz="0" w:space="0" w:color="auto"/>
      </w:divBdr>
      <w:divsChild>
        <w:div w:id="1663003737">
          <w:marLeft w:val="0"/>
          <w:marRight w:val="0"/>
          <w:marTop w:val="0"/>
          <w:marBottom w:val="0"/>
          <w:divBdr>
            <w:top w:val="none" w:sz="0" w:space="0" w:color="auto"/>
            <w:left w:val="none" w:sz="0" w:space="0" w:color="auto"/>
            <w:bottom w:val="none" w:sz="0" w:space="0" w:color="auto"/>
            <w:right w:val="none" w:sz="0" w:space="0" w:color="auto"/>
          </w:divBdr>
        </w:div>
      </w:divsChild>
    </w:div>
    <w:div w:id="986974958">
      <w:bodyDiv w:val="1"/>
      <w:marLeft w:val="0"/>
      <w:marRight w:val="0"/>
      <w:marTop w:val="0"/>
      <w:marBottom w:val="0"/>
      <w:divBdr>
        <w:top w:val="none" w:sz="0" w:space="0" w:color="auto"/>
        <w:left w:val="none" w:sz="0" w:space="0" w:color="auto"/>
        <w:bottom w:val="none" w:sz="0" w:space="0" w:color="auto"/>
        <w:right w:val="none" w:sz="0" w:space="0" w:color="auto"/>
      </w:divBdr>
    </w:div>
    <w:div w:id="1011227056">
      <w:bodyDiv w:val="1"/>
      <w:marLeft w:val="0"/>
      <w:marRight w:val="0"/>
      <w:marTop w:val="0"/>
      <w:marBottom w:val="0"/>
      <w:divBdr>
        <w:top w:val="none" w:sz="0" w:space="0" w:color="auto"/>
        <w:left w:val="none" w:sz="0" w:space="0" w:color="auto"/>
        <w:bottom w:val="none" w:sz="0" w:space="0" w:color="auto"/>
        <w:right w:val="none" w:sz="0" w:space="0" w:color="auto"/>
      </w:divBdr>
    </w:div>
    <w:div w:id="1056778274">
      <w:bodyDiv w:val="1"/>
      <w:marLeft w:val="0"/>
      <w:marRight w:val="0"/>
      <w:marTop w:val="0"/>
      <w:marBottom w:val="0"/>
      <w:divBdr>
        <w:top w:val="none" w:sz="0" w:space="0" w:color="auto"/>
        <w:left w:val="none" w:sz="0" w:space="0" w:color="auto"/>
        <w:bottom w:val="none" w:sz="0" w:space="0" w:color="auto"/>
        <w:right w:val="none" w:sz="0" w:space="0" w:color="auto"/>
      </w:divBdr>
    </w:div>
    <w:div w:id="1064185320">
      <w:bodyDiv w:val="1"/>
      <w:marLeft w:val="0"/>
      <w:marRight w:val="0"/>
      <w:marTop w:val="0"/>
      <w:marBottom w:val="0"/>
      <w:divBdr>
        <w:top w:val="none" w:sz="0" w:space="0" w:color="auto"/>
        <w:left w:val="none" w:sz="0" w:space="0" w:color="auto"/>
        <w:bottom w:val="none" w:sz="0" w:space="0" w:color="auto"/>
        <w:right w:val="none" w:sz="0" w:space="0" w:color="auto"/>
      </w:divBdr>
    </w:div>
    <w:div w:id="1072241992">
      <w:bodyDiv w:val="1"/>
      <w:marLeft w:val="0"/>
      <w:marRight w:val="0"/>
      <w:marTop w:val="0"/>
      <w:marBottom w:val="0"/>
      <w:divBdr>
        <w:top w:val="none" w:sz="0" w:space="0" w:color="auto"/>
        <w:left w:val="none" w:sz="0" w:space="0" w:color="auto"/>
        <w:bottom w:val="none" w:sz="0" w:space="0" w:color="auto"/>
        <w:right w:val="none" w:sz="0" w:space="0" w:color="auto"/>
      </w:divBdr>
    </w:div>
    <w:div w:id="1078869770">
      <w:bodyDiv w:val="1"/>
      <w:marLeft w:val="0"/>
      <w:marRight w:val="0"/>
      <w:marTop w:val="0"/>
      <w:marBottom w:val="0"/>
      <w:divBdr>
        <w:top w:val="none" w:sz="0" w:space="0" w:color="auto"/>
        <w:left w:val="none" w:sz="0" w:space="0" w:color="auto"/>
        <w:bottom w:val="none" w:sz="0" w:space="0" w:color="auto"/>
        <w:right w:val="none" w:sz="0" w:space="0" w:color="auto"/>
      </w:divBdr>
    </w:div>
    <w:div w:id="1088120155">
      <w:bodyDiv w:val="1"/>
      <w:marLeft w:val="0"/>
      <w:marRight w:val="0"/>
      <w:marTop w:val="0"/>
      <w:marBottom w:val="0"/>
      <w:divBdr>
        <w:top w:val="none" w:sz="0" w:space="0" w:color="auto"/>
        <w:left w:val="none" w:sz="0" w:space="0" w:color="auto"/>
        <w:bottom w:val="none" w:sz="0" w:space="0" w:color="auto"/>
        <w:right w:val="none" w:sz="0" w:space="0" w:color="auto"/>
      </w:divBdr>
    </w:div>
    <w:div w:id="1092049385">
      <w:bodyDiv w:val="1"/>
      <w:marLeft w:val="0"/>
      <w:marRight w:val="0"/>
      <w:marTop w:val="0"/>
      <w:marBottom w:val="0"/>
      <w:divBdr>
        <w:top w:val="none" w:sz="0" w:space="0" w:color="auto"/>
        <w:left w:val="none" w:sz="0" w:space="0" w:color="auto"/>
        <w:bottom w:val="none" w:sz="0" w:space="0" w:color="auto"/>
        <w:right w:val="none" w:sz="0" w:space="0" w:color="auto"/>
      </w:divBdr>
    </w:div>
    <w:div w:id="1097214066">
      <w:bodyDiv w:val="1"/>
      <w:marLeft w:val="0"/>
      <w:marRight w:val="0"/>
      <w:marTop w:val="0"/>
      <w:marBottom w:val="0"/>
      <w:divBdr>
        <w:top w:val="none" w:sz="0" w:space="0" w:color="auto"/>
        <w:left w:val="none" w:sz="0" w:space="0" w:color="auto"/>
        <w:bottom w:val="none" w:sz="0" w:space="0" w:color="auto"/>
        <w:right w:val="none" w:sz="0" w:space="0" w:color="auto"/>
      </w:divBdr>
    </w:div>
    <w:div w:id="1103114462">
      <w:bodyDiv w:val="1"/>
      <w:marLeft w:val="0"/>
      <w:marRight w:val="0"/>
      <w:marTop w:val="0"/>
      <w:marBottom w:val="0"/>
      <w:divBdr>
        <w:top w:val="none" w:sz="0" w:space="0" w:color="auto"/>
        <w:left w:val="none" w:sz="0" w:space="0" w:color="auto"/>
        <w:bottom w:val="none" w:sz="0" w:space="0" w:color="auto"/>
        <w:right w:val="none" w:sz="0" w:space="0" w:color="auto"/>
      </w:divBdr>
    </w:div>
    <w:div w:id="1159078336">
      <w:bodyDiv w:val="1"/>
      <w:marLeft w:val="0"/>
      <w:marRight w:val="0"/>
      <w:marTop w:val="0"/>
      <w:marBottom w:val="0"/>
      <w:divBdr>
        <w:top w:val="none" w:sz="0" w:space="0" w:color="auto"/>
        <w:left w:val="none" w:sz="0" w:space="0" w:color="auto"/>
        <w:bottom w:val="none" w:sz="0" w:space="0" w:color="auto"/>
        <w:right w:val="none" w:sz="0" w:space="0" w:color="auto"/>
      </w:divBdr>
    </w:div>
    <w:div w:id="1205099236">
      <w:bodyDiv w:val="1"/>
      <w:marLeft w:val="0"/>
      <w:marRight w:val="0"/>
      <w:marTop w:val="0"/>
      <w:marBottom w:val="0"/>
      <w:divBdr>
        <w:top w:val="none" w:sz="0" w:space="0" w:color="auto"/>
        <w:left w:val="none" w:sz="0" w:space="0" w:color="auto"/>
        <w:bottom w:val="none" w:sz="0" w:space="0" w:color="auto"/>
        <w:right w:val="none" w:sz="0" w:space="0" w:color="auto"/>
      </w:divBdr>
    </w:div>
    <w:div w:id="1206719346">
      <w:bodyDiv w:val="1"/>
      <w:marLeft w:val="0"/>
      <w:marRight w:val="0"/>
      <w:marTop w:val="0"/>
      <w:marBottom w:val="0"/>
      <w:divBdr>
        <w:top w:val="none" w:sz="0" w:space="0" w:color="auto"/>
        <w:left w:val="none" w:sz="0" w:space="0" w:color="auto"/>
        <w:bottom w:val="none" w:sz="0" w:space="0" w:color="auto"/>
        <w:right w:val="none" w:sz="0" w:space="0" w:color="auto"/>
      </w:divBdr>
    </w:div>
    <w:div w:id="1319725716">
      <w:bodyDiv w:val="1"/>
      <w:marLeft w:val="0"/>
      <w:marRight w:val="0"/>
      <w:marTop w:val="0"/>
      <w:marBottom w:val="0"/>
      <w:divBdr>
        <w:top w:val="none" w:sz="0" w:space="0" w:color="auto"/>
        <w:left w:val="none" w:sz="0" w:space="0" w:color="auto"/>
        <w:bottom w:val="none" w:sz="0" w:space="0" w:color="auto"/>
        <w:right w:val="none" w:sz="0" w:space="0" w:color="auto"/>
      </w:divBdr>
    </w:div>
    <w:div w:id="1324315996">
      <w:bodyDiv w:val="1"/>
      <w:marLeft w:val="0"/>
      <w:marRight w:val="0"/>
      <w:marTop w:val="0"/>
      <w:marBottom w:val="0"/>
      <w:divBdr>
        <w:top w:val="none" w:sz="0" w:space="0" w:color="auto"/>
        <w:left w:val="none" w:sz="0" w:space="0" w:color="auto"/>
        <w:bottom w:val="none" w:sz="0" w:space="0" w:color="auto"/>
        <w:right w:val="none" w:sz="0" w:space="0" w:color="auto"/>
      </w:divBdr>
    </w:div>
    <w:div w:id="1367172126">
      <w:bodyDiv w:val="1"/>
      <w:marLeft w:val="0"/>
      <w:marRight w:val="0"/>
      <w:marTop w:val="0"/>
      <w:marBottom w:val="0"/>
      <w:divBdr>
        <w:top w:val="none" w:sz="0" w:space="0" w:color="auto"/>
        <w:left w:val="none" w:sz="0" w:space="0" w:color="auto"/>
        <w:bottom w:val="none" w:sz="0" w:space="0" w:color="auto"/>
        <w:right w:val="none" w:sz="0" w:space="0" w:color="auto"/>
      </w:divBdr>
    </w:div>
    <w:div w:id="1368290867">
      <w:bodyDiv w:val="1"/>
      <w:marLeft w:val="0"/>
      <w:marRight w:val="0"/>
      <w:marTop w:val="0"/>
      <w:marBottom w:val="0"/>
      <w:divBdr>
        <w:top w:val="none" w:sz="0" w:space="0" w:color="auto"/>
        <w:left w:val="none" w:sz="0" w:space="0" w:color="auto"/>
        <w:bottom w:val="none" w:sz="0" w:space="0" w:color="auto"/>
        <w:right w:val="none" w:sz="0" w:space="0" w:color="auto"/>
      </w:divBdr>
    </w:div>
    <w:div w:id="1392997129">
      <w:bodyDiv w:val="1"/>
      <w:marLeft w:val="0"/>
      <w:marRight w:val="0"/>
      <w:marTop w:val="0"/>
      <w:marBottom w:val="0"/>
      <w:divBdr>
        <w:top w:val="none" w:sz="0" w:space="0" w:color="auto"/>
        <w:left w:val="none" w:sz="0" w:space="0" w:color="auto"/>
        <w:bottom w:val="none" w:sz="0" w:space="0" w:color="auto"/>
        <w:right w:val="none" w:sz="0" w:space="0" w:color="auto"/>
      </w:divBdr>
    </w:div>
    <w:div w:id="1405880552">
      <w:bodyDiv w:val="1"/>
      <w:marLeft w:val="0"/>
      <w:marRight w:val="0"/>
      <w:marTop w:val="0"/>
      <w:marBottom w:val="0"/>
      <w:divBdr>
        <w:top w:val="none" w:sz="0" w:space="0" w:color="auto"/>
        <w:left w:val="none" w:sz="0" w:space="0" w:color="auto"/>
        <w:bottom w:val="none" w:sz="0" w:space="0" w:color="auto"/>
        <w:right w:val="none" w:sz="0" w:space="0" w:color="auto"/>
      </w:divBdr>
    </w:div>
    <w:div w:id="1452170456">
      <w:bodyDiv w:val="1"/>
      <w:marLeft w:val="0"/>
      <w:marRight w:val="0"/>
      <w:marTop w:val="0"/>
      <w:marBottom w:val="0"/>
      <w:divBdr>
        <w:top w:val="none" w:sz="0" w:space="0" w:color="auto"/>
        <w:left w:val="none" w:sz="0" w:space="0" w:color="auto"/>
        <w:bottom w:val="none" w:sz="0" w:space="0" w:color="auto"/>
        <w:right w:val="none" w:sz="0" w:space="0" w:color="auto"/>
      </w:divBdr>
    </w:div>
    <w:div w:id="1466848181">
      <w:bodyDiv w:val="1"/>
      <w:marLeft w:val="0"/>
      <w:marRight w:val="0"/>
      <w:marTop w:val="0"/>
      <w:marBottom w:val="0"/>
      <w:divBdr>
        <w:top w:val="none" w:sz="0" w:space="0" w:color="auto"/>
        <w:left w:val="none" w:sz="0" w:space="0" w:color="auto"/>
        <w:bottom w:val="none" w:sz="0" w:space="0" w:color="auto"/>
        <w:right w:val="none" w:sz="0" w:space="0" w:color="auto"/>
      </w:divBdr>
    </w:div>
    <w:div w:id="1508443110">
      <w:bodyDiv w:val="1"/>
      <w:marLeft w:val="0"/>
      <w:marRight w:val="0"/>
      <w:marTop w:val="0"/>
      <w:marBottom w:val="0"/>
      <w:divBdr>
        <w:top w:val="none" w:sz="0" w:space="0" w:color="auto"/>
        <w:left w:val="none" w:sz="0" w:space="0" w:color="auto"/>
        <w:bottom w:val="none" w:sz="0" w:space="0" w:color="auto"/>
        <w:right w:val="none" w:sz="0" w:space="0" w:color="auto"/>
      </w:divBdr>
    </w:div>
    <w:div w:id="1531453627">
      <w:bodyDiv w:val="1"/>
      <w:marLeft w:val="0"/>
      <w:marRight w:val="0"/>
      <w:marTop w:val="0"/>
      <w:marBottom w:val="0"/>
      <w:divBdr>
        <w:top w:val="none" w:sz="0" w:space="0" w:color="auto"/>
        <w:left w:val="none" w:sz="0" w:space="0" w:color="auto"/>
        <w:bottom w:val="none" w:sz="0" w:space="0" w:color="auto"/>
        <w:right w:val="none" w:sz="0" w:space="0" w:color="auto"/>
      </w:divBdr>
    </w:div>
    <w:div w:id="1542938515">
      <w:bodyDiv w:val="1"/>
      <w:marLeft w:val="0"/>
      <w:marRight w:val="0"/>
      <w:marTop w:val="0"/>
      <w:marBottom w:val="0"/>
      <w:divBdr>
        <w:top w:val="none" w:sz="0" w:space="0" w:color="auto"/>
        <w:left w:val="none" w:sz="0" w:space="0" w:color="auto"/>
        <w:bottom w:val="none" w:sz="0" w:space="0" w:color="auto"/>
        <w:right w:val="none" w:sz="0" w:space="0" w:color="auto"/>
      </w:divBdr>
    </w:div>
    <w:div w:id="1547833872">
      <w:bodyDiv w:val="1"/>
      <w:marLeft w:val="0"/>
      <w:marRight w:val="0"/>
      <w:marTop w:val="0"/>
      <w:marBottom w:val="0"/>
      <w:divBdr>
        <w:top w:val="none" w:sz="0" w:space="0" w:color="auto"/>
        <w:left w:val="none" w:sz="0" w:space="0" w:color="auto"/>
        <w:bottom w:val="none" w:sz="0" w:space="0" w:color="auto"/>
        <w:right w:val="none" w:sz="0" w:space="0" w:color="auto"/>
      </w:divBdr>
    </w:div>
    <w:div w:id="1556893146">
      <w:bodyDiv w:val="1"/>
      <w:marLeft w:val="0"/>
      <w:marRight w:val="0"/>
      <w:marTop w:val="0"/>
      <w:marBottom w:val="0"/>
      <w:divBdr>
        <w:top w:val="none" w:sz="0" w:space="0" w:color="auto"/>
        <w:left w:val="none" w:sz="0" w:space="0" w:color="auto"/>
        <w:bottom w:val="none" w:sz="0" w:space="0" w:color="auto"/>
        <w:right w:val="none" w:sz="0" w:space="0" w:color="auto"/>
      </w:divBdr>
    </w:div>
    <w:div w:id="1582761236">
      <w:bodyDiv w:val="1"/>
      <w:marLeft w:val="0"/>
      <w:marRight w:val="0"/>
      <w:marTop w:val="0"/>
      <w:marBottom w:val="0"/>
      <w:divBdr>
        <w:top w:val="none" w:sz="0" w:space="0" w:color="auto"/>
        <w:left w:val="none" w:sz="0" w:space="0" w:color="auto"/>
        <w:bottom w:val="none" w:sz="0" w:space="0" w:color="auto"/>
        <w:right w:val="none" w:sz="0" w:space="0" w:color="auto"/>
      </w:divBdr>
    </w:div>
    <w:div w:id="1600135262">
      <w:bodyDiv w:val="1"/>
      <w:marLeft w:val="0"/>
      <w:marRight w:val="0"/>
      <w:marTop w:val="0"/>
      <w:marBottom w:val="0"/>
      <w:divBdr>
        <w:top w:val="none" w:sz="0" w:space="0" w:color="auto"/>
        <w:left w:val="none" w:sz="0" w:space="0" w:color="auto"/>
        <w:bottom w:val="none" w:sz="0" w:space="0" w:color="auto"/>
        <w:right w:val="none" w:sz="0" w:space="0" w:color="auto"/>
      </w:divBdr>
    </w:div>
    <w:div w:id="1605768916">
      <w:bodyDiv w:val="1"/>
      <w:marLeft w:val="0"/>
      <w:marRight w:val="0"/>
      <w:marTop w:val="0"/>
      <w:marBottom w:val="0"/>
      <w:divBdr>
        <w:top w:val="none" w:sz="0" w:space="0" w:color="auto"/>
        <w:left w:val="none" w:sz="0" w:space="0" w:color="auto"/>
        <w:bottom w:val="none" w:sz="0" w:space="0" w:color="auto"/>
        <w:right w:val="none" w:sz="0" w:space="0" w:color="auto"/>
      </w:divBdr>
    </w:div>
    <w:div w:id="1613365898">
      <w:bodyDiv w:val="1"/>
      <w:marLeft w:val="0"/>
      <w:marRight w:val="0"/>
      <w:marTop w:val="0"/>
      <w:marBottom w:val="0"/>
      <w:divBdr>
        <w:top w:val="none" w:sz="0" w:space="0" w:color="auto"/>
        <w:left w:val="none" w:sz="0" w:space="0" w:color="auto"/>
        <w:bottom w:val="none" w:sz="0" w:space="0" w:color="auto"/>
        <w:right w:val="none" w:sz="0" w:space="0" w:color="auto"/>
      </w:divBdr>
    </w:div>
    <w:div w:id="1641573700">
      <w:bodyDiv w:val="1"/>
      <w:marLeft w:val="0"/>
      <w:marRight w:val="0"/>
      <w:marTop w:val="0"/>
      <w:marBottom w:val="0"/>
      <w:divBdr>
        <w:top w:val="none" w:sz="0" w:space="0" w:color="auto"/>
        <w:left w:val="none" w:sz="0" w:space="0" w:color="auto"/>
        <w:bottom w:val="none" w:sz="0" w:space="0" w:color="auto"/>
        <w:right w:val="none" w:sz="0" w:space="0" w:color="auto"/>
      </w:divBdr>
      <w:divsChild>
        <w:div w:id="376324163">
          <w:marLeft w:val="0"/>
          <w:marRight w:val="0"/>
          <w:marTop w:val="0"/>
          <w:marBottom w:val="0"/>
          <w:divBdr>
            <w:top w:val="none" w:sz="0" w:space="0" w:color="auto"/>
            <w:left w:val="none" w:sz="0" w:space="0" w:color="auto"/>
            <w:bottom w:val="none" w:sz="0" w:space="0" w:color="auto"/>
            <w:right w:val="none" w:sz="0" w:space="0" w:color="auto"/>
          </w:divBdr>
          <w:divsChild>
            <w:div w:id="311451765">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733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4431">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673532260">
      <w:bodyDiv w:val="1"/>
      <w:marLeft w:val="0"/>
      <w:marRight w:val="0"/>
      <w:marTop w:val="0"/>
      <w:marBottom w:val="0"/>
      <w:divBdr>
        <w:top w:val="none" w:sz="0" w:space="0" w:color="auto"/>
        <w:left w:val="none" w:sz="0" w:space="0" w:color="auto"/>
        <w:bottom w:val="none" w:sz="0" w:space="0" w:color="auto"/>
        <w:right w:val="none" w:sz="0" w:space="0" w:color="auto"/>
      </w:divBdr>
    </w:div>
    <w:div w:id="1691686343">
      <w:bodyDiv w:val="1"/>
      <w:marLeft w:val="0"/>
      <w:marRight w:val="0"/>
      <w:marTop w:val="0"/>
      <w:marBottom w:val="0"/>
      <w:divBdr>
        <w:top w:val="none" w:sz="0" w:space="0" w:color="auto"/>
        <w:left w:val="none" w:sz="0" w:space="0" w:color="auto"/>
        <w:bottom w:val="none" w:sz="0" w:space="0" w:color="auto"/>
        <w:right w:val="none" w:sz="0" w:space="0" w:color="auto"/>
      </w:divBdr>
    </w:div>
    <w:div w:id="1698965452">
      <w:bodyDiv w:val="1"/>
      <w:marLeft w:val="0"/>
      <w:marRight w:val="0"/>
      <w:marTop w:val="0"/>
      <w:marBottom w:val="0"/>
      <w:divBdr>
        <w:top w:val="none" w:sz="0" w:space="0" w:color="auto"/>
        <w:left w:val="none" w:sz="0" w:space="0" w:color="auto"/>
        <w:bottom w:val="none" w:sz="0" w:space="0" w:color="auto"/>
        <w:right w:val="none" w:sz="0" w:space="0" w:color="auto"/>
      </w:divBdr>
    </w:div>
    <w:div w:id="1750034085">
      <w:bodyDiv w:val="1"/>
      <w:marLeft w:val="0"/>
      <w:marRight w:val="0"/>
      <w:marTop w:val="0"/>
      <w:marBottom w:val="0"/>
      <w:divBdr>
        <w:top w:val="none" w:sz="0" w:space="0" w:color="auto"/>
        <w:left w:val="none" w:sz="0" w:space="0" w:color="auto"/>
        <w:bottom w:val="none" w:sz="0" w:space="0" w:color="auto"/>
        <w:right w:val="none" w:sz="0" w:space="0" w:color="auto"/>
      </w:divBdr>
      <w:divsChild>
        <w:div w:id="428233203">
          <w:marLeft w:val="0"/>
          <w:marRight w:val="0"/>
          <w:marTop w:val="0"/>
          <w:marBottom w:val="0"/>
          <w:divBdr>
            <w:top w:val="none" w:sz="0" w:space="0" w:color="auto"/>
            <w:left w:val="none" w:sz="0" w:space="0" w:color="auto"/>
            <w:bottom w:val="none" w:sz="0" w:space="0" w:color="auto"/>
            <w:right w:val="none" w:sz="0" w:space="0" w:color="auto"/>
          </w:divBdr>
          <w:divsChild>
            <w:div w:id="1571427814">
              <w:marLeft w:val="0"/>
              <w:marRight w:val="0"/>
              <w:marTop w:val="0"/>
              <w:marBottom w:val="0"/>
              <w:divBdr>
                <w:top w:val="none" w:sz="0" w:space="0" w:color="auto"/>
                <w:left w:val="none" w:sz="0" w:space="0" w:color="auto"/>
                <w:bottom w:val="none" w:sz="0" w:space="0" w:color="auto"/>
                <w:right w:val="none" w:sz="0" w:space="0" w:color="auto"/>
              </w:divBdr>
              <w:divsChild>
                <w:div w:id="1881554434">
                  <w:marLeft w:val="-268"/>
                  <w:marRight w:val="-268"/>
                  <w:marTop w:val="0"/>
                  <w:marBottom w:val="0"/>
                  <w:divBdr>
                    <w:top w:val="none" w:sz="0" w:space="0" w:color="auto"/>
                    <w:left w:val="none" w:sz="0" w:space="0" w:color="auto"/>
                    <w:bottom w:val="none" w:sz="0" w:space="0" w:color="auto"/>
                    <w:right w:val="none" w:sz="0" w:space="0" w:color="auto"/>
                  </w:divBdr>
                  <w:divsChild>
                    <w:div w:id="438183021">
                      <w:marLeft w:val="0"/>
                      <w:marRight w:val="0"/>
                      <w:marTop w:val="0"/>
                      <w:marBottom w:val="0"/>
                      <w:divBdr>
                        <w:top w:val="none" w:sz="0" w:space="0" w:color="auto"/>
                        <w:left w:val="none" w:sz="0" w:space="0" w:color="auto"/>
                        <w:bottom w:val="none" w:sz="0" w:space="0" w:color="auto"/>
                        <w:right w:val="none" w:sz="0" w:space="0" w:color="auto"/>
                      </w:divBdr>
                      <w:divsChild>
                        <w:div w:id="572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8306">
      <w:bodyDiv w:val="1"/>
      <w:marLeft w:val="0"/>
      <w:marRight w:val="0"/>
      <w:marTop w:val="0"/>
      <w:marBottom w:val="0"/>
      <w:divBdr>
        <w:top w:val="none" w:sz="0" w:space="0" w:color="auto"/>
        <w:left w:val="none" w:sz="0" w:space="0" w:color="auto"/>
        <w:bottom w:val="none" w:sz="0" w:space="0" w:color="auto"/>
        <w:right w:val="none" w:sz="0" w:space="0" w:color="auto"/>
      </w:divBdr>
    </w:div>
    <w:div w:id="1762679726">
      <w:bodyDiv w:val="1"/>
      <w:marLeft w:val="0"/>
      <w:marRight w:val="0"/>
      <w:marTop w:val="0"/>
      <w:marBottom w:val="0"/>
      <w:divBdr>
        <w:top w:val="none" w:sz="0" w:space="0" w:color="auto"/>
        <w:left w:val="none" w:sz="0" w:space="0" w:color="auto"/>
        <w:bottom w:val="none" w:sz="0" w:space="0" w:color="auto"/>
        <w:right w:val="none" w:sz="0" w:space="0" w:color="auto"/>
      </w:divBdr>
    </w:div>
    <w:div w:id="1767651808">
      <w:bodyDiv w:val="1"/>
      <w:marLeft w:val="0"/>
      <w:marRight w:val="0"/>
      <w:marTop w:val="0"/>
      <w:marBottom w:val="0"/>
      <w:divBdr>
        <w:top w:val="none" w:sz="0" w:space="0" w:color="auto"/>
        <w:left w:val="none" w:sz="0" w:space="0" w:color="auto"/>
        <w:bottom w:val="none" w:sz="0" w:space="0" w:color="auto"/>
        <w:right w:val="none" w:sz="0" w:space="0" w:color="auto"/>
      </w:divBdr>
    </w:div>
    <w:div w:id="1825387350">
      <w:bodyDiv w:val="1"/>
      <w:marLeft w:val="0"/>
      <w:marRight w:val="0"/>
      <w:marTop w:val="0"/>
      <w:marBottom w:val="0"/>
      <w:divBdr>
        <w:top w:val="none" w:sz="0" w:space="0" w:color="auto"/>
        <w:left w:val="none" w:sz="0" w:space="0" w:color="auto"/>
        <w:bottom w:val="none" w:sz="0" w:space="0" w:color="auto"/>
        <w:right w:val="none" w:sz="0" w:space="0" w:color="auto"/>
      </w:divBdr>
    </w:div>
    <w:div w:id="1834685668">
      <w:bodyDiv w:val="1"/>
      <w:marLeft w:val="0"/>
      <w:marRight w:val="0"/>
      <w:marTop w:val="0"/>
      <w:marBottom w:val="0"/>
      <w:divBdr>
        <w:top w:val="none" w:sz="0" w:space="0" w:color="auto"/>
        <w:left w:val="none" w:sz="0" w:space="0" w:color="auto"/>
        <w:bottom w:val="none" w:sz="0" w:space="0" w:color="auto"/>
        <w:right w:val="none" w:sz="0" w:space="0" w:color="auto"/>
      </w:divBdr>
    </w:div>
    <w:div w:id="1868979581">
      <w:bodyDiv w:val="1"/>
      <w:marLeft w:val="0"/>
      <w:marRight w:val="0"/>
      <w:marTop w:val="0"/>
      <w:marBottom w:val="0"/>
      <w:divBdr>
        <w:top w:val="none" w:sz="0" w:space="0" w:color="auto"/>
        <w:left w:val="none" w:sz="0" w:space="0" w:color="auto"/>
        <w:bottom w:val="none" w:sz="0" w:space="0" w:color="auto"/>
        <w:right w:val="none" w:sz="0" w:space="0" w:color="auto"/>
      </w:divBdr>
    </w:div>
    <w:div w:id="1919754570">
      <w:bodyDiv w:val="1"/>
      <w:marLeft w:val="0"/>
      <w:marRight w:val="0"/>
      <w:marTop w:val="0"/>
      <w:marBottom w:val="0"/>
      <w:divBdr>
        <w:top w:val="none" w:sz="0" w:space="0" w:color="auto"/>
        <w:left w:val="none" w:sz="0" w:space="0" w:color="auto"/>
        <w:bottom w:val="none" w:sz="0" w:space="0" w:color="auto"/>
        <w:right w:val="none" w:sz="0" w:space="0" w:color="auto"/>
      </w:divBdr>
    </w:div>
    <w:div w:id="1923878243">
      <w:bodyDiv w:val="1"/>
      <w:marLeft w:val="0"/>
      <w:marRight w:val="0"/>
      <w:marTop w:val="0"/>
      <w:marBottom w:val="0"/>
      <w:divBdr>
        <w:top w:val="none" w:sz="0" w:space="0" w:color="auto"/>
        <w:left w:val="none" w:sz="0" w:space="0" w:color="auto"/>
        <w:bottom w:val="none" w:sz="0" w:space="0" w:color="auto"/>
        <w:right w:val="none" w:sz="0" w:space="0" w:color="auto"/>
      </w:divBdr>
    </w:div>
    <w:div w:id="1928883045">
      <w:bodyDiv w:val="1"/>
      <w:marLeft w:val="0"/>
      <w:marRight w:val="0"/>
      <w:marTop w:val="0"/>
      <w:marBottom w:val="0"/>
      <w:divBdr>
        <w:top w:val="none" w:sz="0" w:space="0" w:color="auto"/>
        <w:left w:val="none" w:sz="0" w:space="0" w:color="auto"/>
        <w:bottom w:val="none" w:sz="0" w:space="0" w:color="auto"/>
        <w:right w:val="none" w:sz="0" w:space="0" w:color="auto"/>
      </w:divBdr>
    </w:div>
    <w:div w:id="1929347069">
      <w:bodyDiv w:val="1"/>
      <w:marLeft w:val="0"/>
      <w:marRight w:val="0"/>
      <w:marTop w:val="0"/>
      <w:marBottom w:val="0"/>
      <w:divBdr>
        <w:top w:val="none" w:sz="0" w:space="0" w:color="auto"/>
        <w:left w:val="none" w:sz="0" w:space="0" w:color="auto"/>
        <w:bottom w:val="none" w:sz="0" w:space="0" w:color="auto"/>
        <w:right w:val="none" w:sz="0" w:space="0" w:color="auto"/>
      </w:divBdr>
    </w:div>
    <w:div w:id="1951669879">
      <w:bodyDiv w:val="1"/>
      <w:marLeft w:val="0"/>
      <w:marRight w:val="0"/>
      <w:marTop w:val="0"/>
      <w:marBottom w:val="0"/>
      <w:divBdr>
        <w:top w:val="none" w:sz="0" w:space="0" w:color="auto"/>
        <w:left w:val="none" w:sz="0" w:space="0" w:color="auto"/>
        <w:bottom w:val="none" w:sz="0" w:space="0" w:color="auto"/>
        <w:right w:val="none" w:sz="0" w:space="0" w:color="auto"/>
      </w:divBdr>
    </w:div>
    <w:div w:id="1963655848">
      <w:bodyDiv w:val="1"/>
      <w:marLeft w:val="0"/>
      <w:marRight w:val="0"/>
      <w:marTop w:val="0"/>
      <w:marBottom w:val="0"/>
      <w:divBdr>
        <w:top w:val="none" w:sz="0" w:space="0" w:color="auto"/>
        <w:left w:val="none" w:sz="0" w:space="0" w:color="auto"/>
        <w:bottom w:val="none" w:sz="0" w:space="0" w:color="auto"/>
        <w:right w:val="none" w:sz="0" w:space="0" w:color="auto"/>
      </w:divBdr>
    </w:div>
    <w:div w:id="1989552414">
      <w:bodyDiv w:val="1"/>
      <w:marLeft w:val="0"/>
      <w:marRight w:val="0"/>
      <w:marTop w:val="0"/>
      <w:marBottom w:val="0"/>
      <w:divBdr>
        <w:top w:val="none" w:sz="0" w:space="0" w:color="auto"/>
        <w:left w:val="none" w:sz="0" w:space="0" w:color="auto"/>
        <w:bottom w:val="none" w:sz="0" w:space="0" w:color="auto"/>
        <w:right w:val="none" w:sz="0" w:space="0" w:color="auto"/>
      </w:divBdr>
    </w:div>
    <w:div w:id="1991136479">
      <w:bodyDiv w:val="1"/>
      <w:marLeft w:val="0"/>
      <w:marRight w:val="0"/>
      <w:marTop w:val="0"/>
      <w:marBottom w:val="0"/>
      <w:divBdr>
        <w:top w:val="none" w:sz="0" w:space="0" w:color="auto"/>
        <w:left w:val="none" w:sz="0" w:space="0" w:color="auto"/>
        <w:bottom w:val="none" w:sz="0" w:space="0" w:color="auto"/>
        <w:right w:val="none" w:sz="0" w:space="0" w:color="auto"/>
      </w:divBdr>
    </w:div>
    <w:div w:id="2004430510">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51833568">
      <w:bodyDiv w:val="1"/>
      <w:marLeft w:val="0"/>
      <w:marRight w:val="0"/>
      <w:marTop w:val="0"/>
      <w:marBottom w:val="0"/>
      <w:divBdr>
        <w:top w:val="none" w:sz="0" w:space="0" w:color="auto"/>
        <w:left w:val="none" w:sz="0" w:space="0" w:color="auto"/>
        <w:bottom w:val="none" w:sz="0" w:space="0" w:color="auto"/>
        <w:right w:val="none" w:sz="0" w:space="0" w:color="auto"/>
      </w:divBdr>
    </w:div>
    <w:div w:id="2056930972">
      <w:bodyDiv w:val="1"/>
      <w:marLeft w:val="0"/>
      <w:marRight w:val="0"/>
      <w:marTop w:val="0"/>
      <w:marBottom w:val="0"/>
      <w:divBdr>
        <w:top w:val="none" w:sz="0" w:space="0" w:color="auto"/>
        <w:left w:val="none" w:sz="0" w:space="0" w:color="auto"/>
        <w:bottom w:val="none" w:sz="0" w:space="0" w:color="auto"/>
        <w:right w:val="none" w:sz="0" w:space="0" w:color="auto"/>
      </w:divBdr>
    </w:div>
    <w:div w:id="2070035183">
      <w:bodyDiv w:val="1"/>
      <w:marLeft w:val="0"/>
      <w:marRight w:val="0"/>
      <w:marTop w:val="0"/>
      <w:marBottom w:val="0"/>
      <w:divBdr>
        <w:top w:val="none" w:sz="0" w:space="0" w:color="auto"/>
        <w:left w:val="none" w:sz="0" w:space="0" w:color="auto"/>
        <w:bottom w:val="none" w:sz="0" w:space="0" w:color="auto"/>
        <w:right w:val="none" w:sz="0" w:space="0" w:color="auto"/>
      </w:divBdr>
    </w:div>
    <w:div w:id="2074770254">
      <w:bodyDiv w:val="1"/>
      <w:marLeft w:val="0"/>
      <w:marRight w:val="0"/>
      <w:marTop w:val="0"/>
      <w:marBottom w:val="0"/>
      <w:divBdr>
        <w:top w:val="none" w:sz="0" w:space="0" w:color="auto"/>
        <w:left w:val="none" w:sz="0" w:space="0" w:color="auto"/>
        <w:bottom w:val="none" w:sz="0" w:space="0" w:color="auto"/>
        <w:right w:val="none" w:sz="0" w:space="0" w:color="auto"/>
      </w:divBdr>
    </w:div>
    <w:div w:id="2082942289">
      <w:bodyDiv w:val="1"/>
      <w:marLeft w:val="0"/>
      <w:marRight w:val="0"/>
      <w:marTop w:val="0"/>
      <w:marBottom w:val="0"/>
      <w:divBdr>
        <w:top w:val="none" w:sz="0" w:space="0" w:color="auto"/>
        <w:left w:val="none" w:sz="0" w:space="0" w:color="auto"/>
        <w:bottom w:val="none" w:sz="0" w:space="0" w:color="auto"/>
        <w:right w:val="none" w:sz="0" w:space="0" w:color="auto"/>
      </w:divBdr>
    </w:div>
    <w:div w:id="2119252342">
      <w:bodyDiv w:val="1"/>
      <w:marLeft w:val="0"/>
      <w:marRight w:val="0"/>
      <w:marTop w:val="0"/>
      <w:marBottom w:val="0"/>
      <w:divBdr>
        <w:top w:val="none" w:sz="0" w:space="0" w:color="auto"/>
        <w:left w:val="none" w:sz="0" w:space="0" w:color="auto"/>
        <w:bottom w:val="none" w:sz="0" w:space="0" w:color="auto"/>
        <w:right w:val="none" w:sz="0" w:space="0" w:color="auto"/>
      </w:divBdr>
    </w:div>
    <w:div w:id="2127964257">
      <w:bodyDiv w:val="1"/>
      <w:marLeft w:val="0"/>
      <w:marRight w:val="0"/>
      <w:marTop w:val="0"/>
      <w:marBottom w:val="0"/>
      <w:divBdr>
        <w:top w:val="none" w:sz="0" w:space="0" w:color="auto"/>
        <w:left w:val="none" w:sz="0" w:space="0" w:color="auto"/>
        <w:bottom w:val="none" w:sz="0" w:space="0" w:color="auto"/>
        <w:right w:val="none" w:sz="0" w:space="0" w:color="auto"/>
      </w:divBdr>
    </w:div>
    <w:div w:id="21358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7C79-D28D-4D60-90C6-845DF8B7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7223</Words>
  <Characters>41173</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gulistanbahat</dc:creator>
  <cp:lastModifiedBy>win10</cp:lastModifiedBy>
  <cp:revision>13</cp:revision>
  <dcterms:created xsi:type="dcterms:W3CDTF">2021-10-25T06:12:00Z</dcterms:created>
  <dcterms:modified xsi:type="dcterms:W3CDTF">2021-11-22T09:48:00Z</dcterms:modified>
</cp:coreProperties>
</file>