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DCF9" w14:textId="77777777" w:rsidR="00580636" w:rsidRPr="00AE15DA" w:rsidRDefault="00580636" w:rsidP="0043334F">
      <w:pPr>
        <w:contextualSpacing/>
        <w:rPr>
          <w:rFonts w:cstheme="minorHAnsi"/>
          <w:color w:val="000000"/>
        </w:rPr>
      </w:pPr>
    </w:p>
    <w:p w14:paraId="55C6EC09" w14:textId="77777777" w:rsidR="007D5087" w:rsidRPr="00AE15DA" w:rsidRDefault="007D5087" w:rsidP="0043334F">
      <w:pPr>
        <w:pStyle w:val="Balk3"/>
        <w:pBdr>
          <w:bottom w:val="single" w:sz="6" w:space="1" w:color="auto"/>
        </w:pBdr>
        <w:spacing w:line="240" w:lineRule="auto"/>
        <w:contextualSpacing/>
        <w:jc w:val="both"/>
        <w:rPr>
          <w:color w:val="FF0000"/>
          <w:sz w:val="24"/>
          <w:szCs w:val="24"/>
          <w:u w:val="single"/>
          <w:rFonts w:asciiTheme="minorHAnsi" w:hAnsiTheme="minorHAnsi" w:cstheme="minorHAnsi"/>
        </w:rPr>
      </w:pPr>
      <w:r>
        <w:rPr>
          <w:color w:val="FF0000"/>
          <w:sz w:val="24"/>
          <w:szCs w:val="24"/>
          <w:u w:val="single"/>
          <w:rFonts w:asciiTheme="minorHAnsi" w:hAnsiTheme="minorHAnsi"/>
        </w:rPr>
        <w:t xml:space="preserve">TIME to STOP- FARMACI NON RACCOMANDATI PER L'USO NEGLI ANZIANI</w:t>
      </w:r>
    </w:p>
    <w:p w14:paraId="4B59FC38" w14:textId="77777777" w:rsidR="00580636" w:rsidRPr="00AE15DA" w:rsidRDefault="007D5087" w:rsidP="0043334F">
      <w:pPr>
        <w:contextualSpacing/>
        <w:rPr>
          <w:b/>
          <w:color w:val="FF0000"/>
          <w:rFonts w:asciiTheme="minorHAnsi" w:hAnsiTheme="minorHAnsi" w:cstheme="minorHAnsi"/>
        </w:rPr>
      </w:pPr>
      <w:r>
        <w:rPr>
          <w:b/>
          <w:color w:val="FF0000"/>
          <w:rFonts w:asciiTheme="minorHAnsi" w:hAnsiTheme="minorHAnsi"/>
        </w:rPr>
        <w:t xml:space="preserve">L'uso di questo gruppo di farmaci in condizioni entro i criteri ha un potenziale effetto collaterale "alto" dovuto alla malattia da farmaco, alla sindrome farmaco-geriatrica e/o all'interazione tra farmaci negli anziani e sono descritti come "uso di farmaci potenzialmente inappropriato".</w:t>
      </w:r>
      <w:r>
        <w:rPr>
          <w:b/>
          <w:color w:val="FF0000"/>
          <w:rFonts w:asciiTheme="minorHAnsi" w:hAnsiTheme="minorHAnsi"/>
        </w:rPr>
        <w:t xml:space="preserve"> </w:t>
      </w:r>
      <w:r>
        <w:rPr>
          <w:b/>
          <w:color w:val="FF0000"/>
          <w:rFonts w:asciiTheme="minorHAnsi" w:hAnsiTheme="minorHAnsi"/>
        </w:rPr>
        <w:t xml:space="preserve">I medici dovrebbero prendere decisioni considerando tutte le caratteristiche del paziente, il potenziale beneficio e danno del farmaco nel paziente (beneficio e danno) e gli obiettivi di trattamento determinati in linea con le preferenze del paziente.</w:t>
      </w:r>
      <w:r>
        <w:rPr>
          <w:b/>
          <w:color w:val="FF0000"/>
          <w:rFonts w:asciiTheme="minorHAnsi" w:hAnsiTheme="minorHAnsi"/>
        </w:rPr>
        <w:t xml:space="preserve"> </w:t>
      </w:r>
      <w:r>
        <w:rPr>
          <w:b/>
          <w:color w:val="FF0000"/>
          <w:rFonts w:asciiTheme="minorHAnsi" w:hAnsiTheme="minorHAnsi"/>
        </w:rPr>
        <w:t xml:space="preserve">I medici possono ancora ritenere opportuno utilizzare questo gruppo di farmaci in alcuni casi.</w:t>
      </w:r>
      <w:r>
        <w:rPr>
          <w:b/>
          <w:color w:val="FF0000"/>
          <w:rFonts w:asciiTheme="minorHAnsi" w:hAnsiTheme="minorHAnsi"/>
        </w:rPr>
        <w:t xml:space="preserve"> </w:t>
      </w:r>
      <w:r>
        <w:rPr>
          <w:b/>
          <w:color w:val="FF0000"/>
          <w:rFonts w:asciiTheme="minorHAnsi" w:hAnsiTheme="minorHAnsi"/>
        </w:rPr>
        <w:t xml:space="preserve">Questi sono farmaci che dovrebbero essere usati con cautela quando si preferisce e dovrebbero essere seguiti da vicino clinicamente per la presenza di effetti collaterali.</w:t>
      </w:r>
    </w:p>
    <w:p w14:paraId="562DE036" w14:textId="77777777" w:rsidR="007D5087" w:rsidRPr="00AE15DA" w:rsidRDefault="007D5087" w:rsidP="0043334F">
      <w:pPr>
        <w:contextualSpacing/>
        <w:rPr>
          <w:rFonts w:cstheme="minorHAnsi"/>
          <w:b/>
          <w:bCs/>
          <w:lang w:eastAsia="en-GB"/>
        </w:rPr>
      </w:pPr>
    </w:p>
    <w:p w14:paraId="160AFB41" w14:textId="77777777" w:rsidR="00FE62C6" w:rsidRPr="00FE62C6" w:rsidRDefault="00FE62C6" w:rsidP="00FE62C6">
      <w:pPr>
        <w:pStyle w:val="Balk3"/>
        <w:pBdr>
          <w:bottom w:val="single" w:sz="6" w:space="1" w:color="000000"/>
        </w:pBdr>
        <w:spacing w:line="360" w:lineRule="auto"/>
        <w:jc w:val="both"/>
        <w:rPr>
          <w:i/>
          <w:color w:val="000000"/>
        </w:rPr>
      </w:pPr>
      <w:r>
        <w:rPr>
          <w:i/>
          <w:color w:val="000000"/>
        </w:rPr>
        <w:t xml:space="preserve">Per facilitare l'uso clinico, le spiegazioni aggiunte ad alcuni criteri sono fornite in corsivo e prefisso * subito dopo i criteri.</w:t>
      </w:r>
    </w:p>
    <w:p w14:paraId="3E55B837" w14:textId="77777777" w:rsidR="00FE62C6" w:rsidRDefault="00FE62C6" w:rsidP="00FE62C6">
      <w:pPr>
        <w:pStyle w:val="Balk3"/>
        <w:pBdr>
          <w:bottom w:val="single" w:sz="6" w:space="1" w:color="000000"/>
        </w:pBdr>
        <w:spacing w:line="360" w:lineRule="auto"/>
        <w:jc w:val="both"/>
        <w:rPr>
          <w:i/>
          <w:color w:val="000000"/>
        </w:rPr>
      </w:pPr>
      <w:r>
        <w:rPr>
          <w:i/>
          <w:color w:val="000000"/>
        </w:rPr>
        <w:t xml:space="preserve">Riferimenti; se pertinente e disponibile contiene riferimenti a spiegazioni.</w:t>
      </w:r>
      <w:r>
        <w:rPr>
          <w:i/>
          <w:color w:val="000000"/>
        </w:rPr>
        <w:t xml:space="preserve"> </w:t>
      </w:r>
    </w:p>
    <w:p w14:paraId="38FF58BA" w14:textId="77777777" w:rsidR="00580636" w:rsidRPr="00AE15DA" w:rsidRDefault="00580636" w:rsidP="0043334F">
      <w:pPr>
        <w:contextualSpacing/>
        <w:rPr>
          <w:rFonts w:cstheme="minorHAnsi"/>
          <w:bCs/>
          <w:lang w:eastAsia="en-GB"/>
        </w:rPr>
      </w:pPr>
    </w:p>
    <w:p w14:paraId="36FB9AA2" w14:textId="77777777" w:rsidR="007D5087" w:rsidRPr="00AE15DA" w:rsidRDefault="007D5087" w:rsidP="0043334F">
      <w:pPr>
        <w:contextualSpacing/>
        <w:rPr>
          <w:rFonts w:asciiTheme="minorHAnsi" w:hAnsiTheme="minorHAnsi" w:cstheme="minorHAnsi"/>
          <w:b/>
          <w:bCs/>
          <w:sz w:val="28"/>
          <w:szCs w:val="28"/>
          <w:u w:val="single"/>
          <w:lang w:eastAsia="en-GB"/>
        </w:rPr>
      </w:pPr>
    </w:p>
    <w:p w14:paraId="6D680221" w14:textId="77777777" w:rsidR="00580636" w:rsidRPr="00AE15DA" w:rsidRDefault="00580636" w:rsidP="0043334F">
      <w:pPr>
        <w:contextualSpacing/>
        <w:rPr>
          <w:b/>
          <w:bCs/>
          <w:sz w:val="28"/>
          <w:szCs w:val="28"/>
          <w:u w:val="single"/>
          <w:rFonts w:asciiTheme="minorHAnsi" w:hAnsiTheme="minorHAnsi" w:cstheme="minorHAnsi"/>
        </w:rPr>
      </w:pPr>
      <w:r>
        <w:rPr>
          <w:b/>
          <w:bCs/>
          <w:sz w:val="28"/>
          <w:szCs w:val="28"/>
          <w:u w:val="single"/>
          <w:rFonts w:asciiTheme="minorHAnsi" w:hAnsiTheme="minorHAnsi"/>
        </w:rPr>
        <w:t xml:space="preserve">Criteri di TIME-to-STOP (con riferimento e spiegazione)</w:t>
      </w:r>
    </w:p>
    <w:p w14:paraId="22D4841E" w14:textId="77777777" w:rsidR="0043334F" w:rsidRPr="00AE15DA" w:rsidRDefault="0043334F" w:rsidP="0043334F">
      <w:pPr>
        <w:contextualSpacing/>
        <w:rPr>
          <w:rFonts w:asciiTheme="minorHAnsi" w:hAnsiTheme="minorHAnsi" w:cstheme="minorHAnsi"/>
          <w:b/>
          <w:bCs/>
          <w:sz w:val="28"/>
          <w:szCs w:val="28"/>
          <w:lang w:eastAsia="en-GB"/>
        </w:rPr>
      </w:pPr>
    </w:p>
    <w:p w14:paraId="4DDD458B" w14:textId="77777777" w:rsidR="00E74F94" w:rsidRPr="00AE15DA" w:rsidRDefault="00D173A5" w:rsidP="0043334F">
      <w:pPr>
        <w:pStyle w:val="paragraph"/>
        <w:spacing w:before="0" w:beforeAutospacing="0" w:after="0" w:afterAutospacing="0"/>
        <w:contextualSpacing/>
        <w:jc w:val="both"/>
        <w:textAlignment w:val="baseline"/>
        <w:rPr>
          <w:rStyle w:val="normaltextrun"/>
          <w:b/>
          <w:bCs/>
          <w:sz w:val="28"/>
          <w:szCs w:val="28"/>
          <w:rFonts w:asciiTheme="minorHAnsi" w:eastAsiaTheme="majorEastAsia" w:hAnsiTheme="minorHAnsi"/>
        </w:rPr>
      </w:pPr>
      <w:r>
        <w:rPr>
          <w:rStyle w:val="normaltextrun"/>
          <w:b/>
          <w:bCs/>
          <w:sz w:val="28"/>
          <w:szCs w:val="28"/>
          <w:rFonts w:asciiTheme="minorHAnsi" w:hAnsiTheme="minorHAnsi"/>
        </w:rPr>
        <w:t xml:space="preserve">A:</w:t>
      </w:r>
      <w:r>
        <w:rPr>
          <w:rStyle w:val="normaltextrun"/>
          <w:b/>
          <w:bCs/>
          <w:sz w:val="28"/>
          <w:szCs w:val="28"/>
          <w:rFonts w:asciiTheme="minorHAnsi" w:hAnsiTheme="minorHAnsi"/>
        </w:rPr>
        <w:t xml:space="preserve"> </w:t>
      </w:r>
      <w:r>
        <w:rPr>
          <w:rStyle w:val="normaltextrun"/>
          <w:b/>
          <w:bCs/>
          <w:sz w:val="28"/>
          <w:szCs w:val="28"/>
          <w:rFonts w:asciiTheme="minorHAnsi" w:hAnsiTheme="minorHAnsi"/>
        </w:rPr>
        <w:t xml:space="preserve">Criteri del sistema cardiovascolare.</w:t>
      </w:r>
    </w:p>
    <w:p w14:paraId="1E9C4FD4" w14:textId="77777777" w:rsidR="00580636" w:rsidRPr="00AE15DA" w:rsidRDefault="00580636" w:rsidP="0043334F">
      <w:pPr>
        <w:pStyle w:val="paragraph"/>
        <w:spacing w:before="0" w:beforeAutospacing="0" w:after="0" w:afterAutospacing="0"/>
        <w:contextualSpacing/>
        <w:jc w:val="both"/>
        <w:textAlignment w:val="baseline"/>
        <w:rPr>
          <w:rStyle w:val="normaltextrun"/>
          <w:rFonts w:asciiTheme="minorHAnsi" w:eastAsiaTheme="majorEastAsia" w:hAnsiTheme="minorHAnsi"/>
          <w:b/>
          <w:bCs/>
          <w:sz w:val="22"/>
          <w:szCs w:val="22"/>
        </w:rPr>
      </w:pPr>
    </w:p>
    <w:p w14:paraId="6DAF3C93" w14:textId="77777777" w:rsidR="00040C22" w:rsidRPr="00AE15DA" w:rsidRDefault="006C24B0" w:rsidP="0043334F">
      <w:pPr>
        <w:pStyle w:val="paragraph"/>
        <w:spacing w:before="0" w:beforeAutospacing="0" w:after="0" w:afterAutospacing="0"/>
        <w:contextualSpacing/>
        <w:jc w:val="both"/>
        <w:textAlignment w:val="baseline"/>
        <w:rPr>
          <w:b/>
          <w:bCs/>
          <w:sz w:val="22"/>
          <w:szCs w:val="22"/>
          <w:rFonts w:asciiTheme="minorHAnsi" w:eastAsiaTheme="majorEastAsia" w:hAnsiTheme="minorHAnsi"/>
        </w:rPr>
      </w:pPr>
      <w:r>
        <w:rPr>
          <w:b/>
          <w:bCs/>
          <w:sz w:val="22"/>
          <w:szCs w:val="22"/>
          <w:rStyle w:val="normaltextrun"/>
          <w:rFonts w:asciiTheme="minorHAnsi" w:hAnsiTheme="minorHAnsi"/>
        </w:rPr>
        <w:t xml:space="preserve">A1.</w:t>
      </w:r>
      <w:r>
        <w:rPr>
          <w:b/>
          <w:bCs/>
          <w:sz w:val="22"/>
          <w:szCs w:val="22"/>
          <w:rStyle w:val="normaltextrun"/>
          <w:rFonts w:asciiTheme="minorHAnsi" w:hAnsiTheme="minorHAnsi"/>
        </w:rPr>
        <w:t xml:space="preserve"> </w:t>
      </w:r>
      <w:r>
        <w:rPr>
          <w:b/>
          <w:bCs/>
          <w:sz w:val="22"/>
          <w:szCs w:val="22"/>
          <w:rFonts w:asciiTheme="minorHAnsi" w:hAnsiTheme="minorHAnsi"/>
        </w:rPr>
        <w:t xml:space="preserve">L'uso della digossina nella prima fase del trattamento della AF non è appropriato.</w:t>
      </w:r>
    </w:p>
    <w:p w14:paraId="76B3B4F5" w14:textId="77777777" w:rsidR="00CA5845" w:rsidRPr="00AE15DA" w:rsidRDefault="006C24B0" w:rsidP="0043334F">
      <w:pPr>
        <w:spacing w:after="100" w:afterAutospacing="1"/>
        <w:contextualSpacing/>
        <w:jc w:val="both"/>
        <w:rPr>
          <w:rStyle w:val="eop"/>
          <w:i/>
          <w:sz w:val="22"/>
          <w:szCs w:val="22"/>
          <w:rFonts w:asciiTheme="minorHAnsi" w:eastAsiaTheme="majorEastAsia" w:hAnsiTheme="minorHAnsi"/>
        </w:rPr>
      </w:pPr>
      <w:r>
        <w:rPr>
          <w:sz w:val="22"/>
          <w:szCs w:val="22"/>
          <w:rFonts w:asciiTheme="minorHAnsi" w:hAnsiTheme="minorHAnsi"/>
        </w:rPr>
        <w:t xml:space="preserve">*L'uso della digossina può essere utilizzato nei casi di AF, nei casi in cui beta-bloccanti e calcio-antagonisti non possono essere tollerati (es. ipotensione) o in terapia di associazione nei casi in cui questi trattamenti non siano sufficienti.</w:t>
      </w:r>
      <w:r>
        <w:rPr>
          <w:sz w:val="22"/>
          <w:szCs w:val="22"/>
          <w:i/>
          <w:rStyle w:val="eop"/>
          <w:rFonts w:asciiTheme="minorHAnsi" w:hAnsiTheme="minorHAnsi"/>
        </w:rPr>
        <w:t xml:space="preserve"> </w:t>
      </w:r>
    </w:p>
    <w:p w14:paraId="67320806" w14:textId="77777777" w:rsidR="00CA5845" w:rsidRPr="00AE15DA" w:rsidRDefault="00CA5845" w:rsidP="0043334F">
      <w:pPr>
        <w:spacing w:after="100" w:afterAutospacing="1"/>
        <w:contextualSpacing/>
        <w:jc w:val="both"/>
        <w:rPr>
          <w:rStyle w:val="eop"/>
          <w:rFonts w:asciiTheme="minorHAnsi" w:eastAsiaTheme="majorEastAsia" w:hAnsiTheme="minorHAnsi"/>
          <w:i/>
          <w:sz w:val="22"/>
          <w:szCs w:val="22"/>
        </w:rPr>
      </w:pPr>
    </w:p>
    <w:p w14:paraId="64C3C9B5" w14:textId="77777777" w:rsidR="00CA5845" w:rsidRPr="00AE15DA" w:rsidRDefault="00CA5845" w:rsidP="0043334F">
      <w:pPr>
        <w:spacing w:after="100" w:afterAutospacing="1"/>
        <w:contextualSpacing/>
        <w:jc w:val="both"/>
        <w:rPr>
          <w:rFonts w:asciiTheme="minorHAnsi" w:eastAsiaTheme="majorEastAsia" w:hAnsiTheme="minorHAnsi"/>
          <w:i/>
          <w:sz w:val="22"/>
          <w:szCs w:val="22"/>
        </w:rPr>
      </w:pPr>
    </w:p>
    <w:p w14:paraId="461E0064" w14:textId="77777777" w:rsidR="00CA5845" w:rsidRPr="00AE15DA" w:rsidRDefault="006C24B0" w:rsidP="0043334F">
      <w:pPr>
        <w:spacing w:after="100" w:afterAutospacing="1"/>
        <w:contextualSpacing/>
        <w:jc w:val="both"/>
        <w:rPr>
          <w:i/>
          <w:sz w:val="22"/>
          <w:szCs w:val="22"/>
          <w:rFonts w:asciiTheme="minorHAnsi" w:eastAsiaTheme="majorEastAsia" w:hAnsiTheme="minorHAnsi"/>
        </w:rPr>
      </w:pPr>
      <w:r>
        <w:rPr>
          <w:b/>
          <w:color w:val="000000"/>
          <w:sz w:val="22"/>
          <w:szCs w:val="22"/>
          <w:rFonts w:asciiTheme="minorHAnsi" w:hAnsiTheme="minorHAnsi"/>
        </w:rPr>
        <w:t xml:space="preserve">A2.</w:t>
      </w:r>
      <w:r>
        <w:rPr>
          <w:b/>
          <w:color w:val="000000"/>
          <w:sz w:val="22"/>
          <w:szCs w:val="22"/>
          <w:rFonts w:asciiTheme="minorHAnsi" w:hAnsiTheme="minorHAnsi"/>
        </w:rPr>
        <w:t xml:space="preserve"> </w:t>
      </w:r>
      <w:r>
        <w:rPr>
          <w:b/>
          <w:color w:val="000000"/>
          <w:sz w:val="22"/>
          <w:szCs w:val="22"/>
          <w:rFonts w:asciiTheme="minorHAnsi" w:hAnsiTheme="minorHAnsi"/>
        </w:rPr>
        <w:t xml:space="preserve">L'uso di digossina a dosi superiori a 0,125 mg/die non è appropriato (rischio di tossicità)</w:t>
      </w:r>
      <w:r>
        <w:rPr>
          <w:b/>
          <w:color w:val="000000"/>
          <w:sz w:val="22"/>
          <w:szCs w:val="22"/>
          <w:rFonts w:asciiTheme="minorHAnsi" w:hAnsiTheme="minorHAnsi"/>
        </w:rPr>
        <w:t xml:space="preserve"> </w:t>
      </w:r>
    </w:p>
    <w:p w14:paraId="0801DBCA" w14:textId="77777777" w:rsidR="00CA5845" w:rsidRPr="00AE15DA" w:rsidRDefault="00CA5845" w:rsidP="0043334F">
      <w:pPr>
        <w:spacing w:before="100" w:beforeAutospacing="1" w:after="100" w:afterAutospacing="1"/>
        <w:contextualSpacing/>
        <w:jc w:val="both"/>
        <w:rPr>
          <w:rFonts w:asciiTheme="minorHAnsi" w:hAnsiTheme="minorHAnsi"/>
          <w:b/>
          <w:color w:val="000000"/>
          <w:sz w:val="22"/>
          <w:szCs w:val="22"/>
        </w:rPr>
      </w:pPr>
    </w:p>
    <w:p w14:paraId="528668F2" w14:textId="77777777" w:rsidR="0043334F" w:rsidRPr="00AE15DA" w:rsidRDefault="0043334F" w:rsidP="0043334F">
      <w:pPr>
        <w:spacing w:before="100" w:beforeAutospacing="1" w:after="100" w:afterAutospacing="1"/>
        <w:contextualSpacing/>
        <w:jc w:val="both"/>
        <w:rPr>
          <w:rFonts w:asciiTheme="minorHAnsi" w:hAnsiTheme="minorHAnsi" w:cstheme="minorHAnsi"/>
          <w:sz w:val="22"/>
          <w:szCs w:val="22"/>
          <w:lang w:eastAsia="en-GB"/>
        </w:rPr>
      </w:pPr>
    </w:p>
    <w:p w14:paraId="0974EDC6" w14:textId="77777777" w:rsidR="0043334F" w:rsidRPr="00AE15DA" w:rsidRDefault="006C24B0" w:rsidP="0043334F">
      <w:pPr>
        <w:spacing w:before="100" w:beforeAutospacing="1" w:after="100" w:afterAutospacing="1"/>
        <w:contextualSpacing/>
        <w:jc w:val="both"/>
        <w:rPr>
          <w:rStyle w:val="normaltextrun"/>
          <w:b/>
          <w:bCs/>
          <w:sz w:val="22"/>
          <w:szCs w:val="22"/>
          <w:rFonts w:asciiTheme="minorHAnsi" w:eastAsiaTheme="majorEastAsia" w:hAnsiTheme="minorHAnsi"/>
        </w:rPr>
      </w:pPr>
      <w:r>
        <w:rPr>
          <w:b/>
          <w:bCs/>
          <w:sz w:val="22"/>
          <w:szCs w:val="22"/>
          <w:rStyle w:val="normaltextrun"/>
          <w:rFonts w:asciiTheme="minorHAnsi" w:hAnsiTheme="minorHAnsi"/>
        </w:rPr>
        <w:t xml:space="preserve">A3.</w:t>
      </w:r>
      <w:r>
        <w:rPr>
          <w:b/>
          <w:bCs/>
          <w:sz w:val="22"/>
          <w:szCs w:val="22"/>
          <w:rStyle w:val="normaltextrun"/>
          <w:rFonts w:asciiTheme="minorHAnsi" w:hAnsiTheme="minorHAnsi"/>
        </w:rPr>
        <w:t xml:space="preserve"> </w:t>
      </w:r>
      <w:r>
        <w:rPr>
          <w:b/>
          <w:bCs/>
          <w:sz w:val="22"/>
          <w:szCs w:val="22"/>
          <w:rFonts w:asciiTheme="minorHAnsi" w:hAnsiTheme="minorHAnsi"/>
        </w:rPr>
        <w:t xml:space="preserve">L'uso della digossina non è appropriato con l'indicazione di insufficienza cardiaca con EF conservata (normale)</w:t>
      </w:r>
    </w:p>
    <w:p w14:paraId="65D280F2" w14:textId="77777777" w:rsidR="006C24B0" w:rsidRPr="00AE15DA" w:rsidRDefault="006C24B0" w:rsidP="0043334F">
      <w:pPr>
        <w:spacing w:before="100" w:beforeAutospacing="1" w:after="100" w:afterAutospacing="1"/>
        <w:contextualSpacing/>
        <w:jc w:val="both"/>
        <w:rPr>
          <w:rStyle w:val="normaltextrun"/>
          <w:b/>
          <w:color w:val="000000"/>
          <w:sz w:val="22"/>
          <w:szCs w:val="22"/>
          <w:rFonts w:asciiTheme="minorHAnsi" w:hAnsiTheme="minorHAnsi"/>
        </w:rPr>
      </w:pPr>
      <w:r>
        <w:rPr>
          <w:i/>
          <w:sz w:val="22"/>
          <w:szCs w:val="22"/>
          <w:rFonts w:asciiTheme="minorHAnsi" w:hAnsiTheme="minorHAnsi"/>
        </w:rPr>
        <w:t xml:space="preserve">*La digossina può essere indicata per AF concomitante (vedere A1).</w:t>
      </w:r>
    </w:p>
    <w:p w14:paraId="5C7ADC02" w14:textId="77777777" w:rsidR="00CA5845" w:rsidRPr="00AE15DA" w:rsidRDefault="00CA5845" w:rsidP="0043334F">
      <w:pPr>
        <w:pStyle w:val="HTMLncedenBiimlendirilmi"/>
        <w:contextualSpacing/>
        <w:jc w:val="both"/>
        <w:rPr>
          <w:rFonts w:asciiTheme="minorHAnsi" w:hAnsiTheme="minorHAnsi" w:cstheme="minorHAnsi"/>
          <w:color w:val="000000"/>
          <w:sz w:val="22"/>
          <w:szCs w:val="22"/>
        </w:rPr>
      </w:pPr>
    </w:p>
    <w:p w14:paraId="7057272B" w14:textId="77777777" w:rsidR="006C24B0" w:rsidRPr="00AE15DA" w:rsidRDefault="006C24B0" w:rsidP="0043334F">
      <w:pPr>
        <w:pStyle w:val="HTMLncedenBiimlendirilmi"/>
        <w:contextualSpacing/>
        <w:jc w:val="both"/>
        <w:rPr>
          <w:color w:val="000000"/>
          <w:sz w:val="22"/>
          <w:szCs w:val="22"/>
          <w:rFonts w:asciiTheme="minorHAnsi" w:hAnsiTheme="minorHAnsi" w:cstheme="minorHAnsi"/>
        </w:rPr>
      </w:pPr>
      <w:r>
        <w:rPr>
          <w:b/>
          <w:sz w:val="22"/>
          <w:szCs w:val="22"/>
          <w:rFonts w:asciiTheme="minorHAnsi" w:hAnsiTheme="minorHAnsi"/>
        </w:rPr>
        <w:t xml:space="preserve">A4.</w:t>
      </w:r>
      <w:r>
        <w:rPr>
          <w:b/>
          <w:sz w:val="22"/>
          <w:szCs w:val="22"/>
          <w:rFonts w:asciiTheme="minorHAnsi" w:hAnsiTheme="minorHAnsi"/>
        </w:rPr>
        <w:t xml:space="preserve"> </w:t>
      </w:r>
      <w:r>
        <w:rPr>
          <w:b/>
          <w:sz w:val="22"/>
          <w:szCs w:val="22"/>
          <w:rFonts w:asciiTheme="minorHAnsi" w:hAnsiTheme="minorHAnsi"/>
        </w:rPr>
        <w:t xml:space="preserve">L'uso di diltiazem o verapamil non è appropriato nell'insufficienza cardiaca con bassa EF.</w:t>
      </w:r>
    </w:p>
    <w:p w14:paraId="5A8692C8" w14:textId="77777777" w:rsidR="00CA5845" w:rsidRPr="00AE15DA" w:rsidRDefault="00CA5845" w:rsidP="0043334F">
      <w:pPr>
        <w:pStyle w:val="HTMLncedenBiimlendirilmi"/>
        <w:contextualSpacing/>
        <w:jc w:val="both"/>
        <w:rPr>
          <w:rFonts w:asciiTheme="minorHAnsi" w:hAnsiTheme="minorHAnsi" w:cstheme="minorHAnsi"/>
          <w:sz w:val="22"/>
          <w:szCs w:val="22"/>
        </w:rPr>
      </w:pPr>
    </w:p>
    <w:p w14:paraId="52A9EA40" w14:textId="77777777" w:rsidR="005E5EA5" w:rsidRPr="00AE15DA" w:rsidRDefault="005E5EA5" w:rsidP="0043334F">
      <w:pPr>
        <w:spacing w:after="100" w:afterAutospacing="1"/>
        <w:contextualSpacing/>
        <w:jc w:val="both"/>
        <w:rPr>
          <w:rFonts w:asciiTheme="minorHAnsi" w:hAnsiTheme="minorHAnsi"/>
          <w:b/>
          <w:sz w:val="22"/>
          <w:szCs w:val="22"/>
        </w:rPr>
      </w:pPr>
    </w:p>
    <w:p w14:paraId="5B8C770F" w14:textId="77777777" w:rsidR="00CA5845" w:rsidRPr="00AE15DA" w:rsidRDefault="006C24B0" w:rsidP="0043334F">
      <w:pPr>
        <w:spacing w:after="100" w:afterAutospacing="1"/>
        <w:contextualSpacing/>
        <w:jc w:val="both"/>
        <w:rPr>
          <w:b/>
          <w:sz w:val="22"/>
          <w:szCs w:val="22"/>
          <w:rFonts w:asciiTheme="minorHAnsi" w:hAnsiTheme="minorHAnsi"/>
        </w:rPr>
      </w:pPr>
      <w:r>
        <w:rPr>
          <w:b/>
          <w:sz w:val="22"/>
          <w:szCs w:val="22"/>
          <w:rFonts w:asciiTheme="minorHAnsi" w:hAnsiTheme="minorHAnsi"/>
        </w:rPr>
        <w:t xml:space="preserve">A5.</w:t>
      </w:r>
      <w:r>
        <w:rPr>
          <w:b/>
          <w:sz w:val="22"/>
          <w:szCs w:val="22"/>
          <w:rFonts w:asciiTheme="minorHAnsi" w:hAnsiTheme="minorHAnsi"/>
        </w:rPr>
        <w:t xml:space="preserve"> </w:t>
      </w:r>
      <w:r>
        <w:rPr>
          <w:b/>
          <w:sz w:val="22"/>
          <w:szCs w:val="22"/>
          <w:rFonts w:asciiTheme="minorHAnsi" w:hAnsiTheme="minorHAnsi"/>
        </w:rPr>
        <w:t xml:space="preserve">Non è appropriato iniziare una terapia limitante la velocità (beta-bloccante, verapamil, diltiazem, digossina) in pazienti con bradicardia (&lt;50/min), blocco cardiaco di tipo 2 o blocco cardiaco completo</w:t>
      </w:r>
      <w:r>
        <w:rPr>
          <w:b/>
          <w:sz w:val="22"/>
          <w:szCs w:val="22"/>
          <w:rFonts w:asciiTheme="minorHAnsi" w:hAnsiTheme="minorHAnsi"/>
        </w:rPr>
        <w:t xml:space="preserve"> </w:t>
      </w:r>
    </w:p>
    <w:p w14:paraId="36C0642D" w14:textId="77777777" w:rsidR="006C24B0" w:rsidRPr="00AE15DA" w:rsidRDefault="006C24B0" w:rsidP="0043334F">
      <w:pPr>
        <w:spacing w:after="100" w:afterAutospacing="1"/>
        <w:contextualSpacing/>
        <w:jc w:val="both"/>
        <w:rPr>
          <w:b/>
          <w:sz w:val="22"/>
          <w:szCs w:val="22"/>
          <w:rFonts w:asciiTheme="minorHAnsi" w:hAnsiTheme="minorHAnsi"/>
        </w:rPr>
      </w:pPr>
      <w:r>
        <w:rPr>
          <w:sz w:val="22"/>
          <w:szCs w:val="22"/>
          <w:rFonts w:asciiTheme="minorHAnsi" w:hAnsiTheme="minorHAnsi"/>
        </w:rPr>
        <w:t xml:space="preserve">*I beta-bloccanti sono relativamente controindicati nei casi con un intervallo PR &gt;240 ms.</w:t>
      </w:r>
      <w:r>
        <w:rPr>
          <w:sz w:val="22"/>
          <w:szCs w:val="22"/>
          <w:i/>
          <w:rFonts w:asciiTheme="minorHAnsi" w:hAnsiTheme="minorHAnsi"/>
        </w:rPr>
        <w:t xml:space="preserve"> </w:t>
      </w:r>
      <w:r>
        <w:rPr>
          <w:sz w:val="22"/>
          <w:szCs w:val="22"/>
          <w:i/>
          <w:rFonts w:asciiTheme="minorHAnsi" w:hAnsiTheme="minorHAnsi"/>
        </w:rPr>
        <w:t xml:space="preserve">Nei pazienti che attualmente utilizzano beta-bloccanti, diltiazem, verapamil, digossina, la riduzione della dose deve essere effettuata in presenza di bradicardia (&lt;50/min).</w:t>
      </w:r>
    </w:p>
    <w:p w14:paraId="0DCFD124" w14:textId="77777777" w:rsidR="009B4E92" w:rsidRPr="00AE15DA" w:rsidRDefault="009B4E92" w:rsidP="0043334F">
      <w:pPr>
        <w:spacing w:before="100" w:beforeAutospacing="1" w:after="100" w:afterAutospacing="1"/>
        <w:contextualSpacing/>
        <w:jc w:val="both"/>
        <w:rPr>
          <w:rFonts w:asciiTheme="minorHAnsi" w:hAnsiTheme="minorHAnsi" w:cstheme="minorHAnsi"/>
          <w:sz w:val="22"/>
          <w:szCs w:val="22"/>
        </w:rPr>
      </w:pPr>
    </w:p>
    <w:p w14:paraId="50B53F57" w14:textId="77777777" w:rsidR="00EB686B" w:rsidRPr="00AE15DA" w:rsidRDefault="00EB686B" w:rsidP="0043334F">
      <w:pPr>
        <w:spacing w:before="100" w:beforeAutospacing="1" w:after="100" w:afterAutospacing="1"/>
        <w:contextualSpacing/>
        <w:jc w:val="both"/>
        <w:rPr>
          <w:rFonts w:asciiTheme="minorHAnsi" w:hAnsiTheme="minorHAnsi"/>
          <w:b/>
          <w:sz w:val="22"/>
          <w:szCs w:val="22"/>
        </w:rPr>
      </w:pPr>
    </w:p>
    <w:p w14:paraId="544BBDAD" w14:textId="77777777" w:rsidR="009B4E92" w:rsidRPr="00AE15DA" w:rsidRDefault="009B4E92" w:rsidP="0043334F">
      <w:pPr>
        <w:spacing w:before="100" w:beforeAutospacing="1" w:after="100" w:afterAutospacing="1"/>
        <w:contextualSpacing/>
        <w:jc w:val="both"/>
        <w:rPr>
          <w:rFonts w:asciiTheme="minorHAnsi" w:hAnsiTheme="minorHAnsi"/>
          <w:b/>
          <w:sz w:val="22"/>
          <w:szCs w:val="22"/>
        </w:rPr>
      </w:pPr>
    </w:p>
    <w:p w14:paraId="78B88437" w14:textId="77777777" w:rsidR="00325178" w:rsidRPr="00AE15DA" w:rsidRDefault="006C24B0"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A6.</w:t>
      </w:r>
      <w:r>
        <w:rPr>
          <w:b/>
          <w:sz w:val="22"/>
          <w:szCs w:val="22"/>
          <w:rFonts w:asciiTheme="minorHAnsi" w:hAnsiTheme="minorHAnsi"/>
        </w:rPr>
        <w:t xml:space="preserve"> </w:t>
      </w:r>
      <w:r>
        <w:rPr>
          <w:b/>
          <w:sz w:val="22"/>
          <w:szCs w:val="22"/>
          <w:rFonts w:asciiTheme="minorHAnsi" w:hAnsiTheme="minorHAnsi"/>
        </w:rPr>
        <w:t xml:space="preserve">I diuretici dell'ansa non sono adatti per l'edema della caviglia (l'elevazione della gamba e/o le calze a compressione sono generalmente più appropriate) senza avere i segni clinici, biochimici o radiologici di insufficienza cardiaca, insufficienza epatica, sindrome nefrosica o insufficienza renale.</w:t>
      </w:r>
    </w:p>
    <w:p w14:paraId="59B5212C" w14:textId="77777777" w:rsidR="009B4E92" w:rsidRPr="00AE15DA" w:rsidRDefault="009B4E92"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14:paraId="0A4FBBC7" w14:textId="77777777" w:rsidR="00EB686B" w:rsidRPr="00AE15DA" w:rsidRDefault="00EB686B" w:rsidP="0043334F">
      <w:pPr>
        <w:autoSpaceDE w:val="0"/>
        <w:autoSpaceDN w:val="0"/>
        <w:adjustRightInd w:val="0"/>
        <w:contextualSpacing/>
        <w:jc w:val="both"/>
        <w:rPr>
          <w:rFonts w:asciiTheme="minorHAnsi" w:hAnsiTheme="minorHAnsi"/>
          <w:b/>
          <w:color w:val="000000"/>
          <w:sz w:val="22"/>
          <w:szCs w:val="22"/>
        </w:rPr>
      </w:pPr>
    </w:p>
    <w:p w14:paraId="2FE376B8" w14:textId="77777777" w:rsidR="00A964BC" w:rsidRPr="00AE15DA" w:rsidRDefault="006C24B0" w:rsidP="0043334F">
      <w:pPr>
        <w:autoSpaceDE w:val="0"/>
        <w:autoSpaceDN w:val="0"/>
        <w:adjustRightInd w:val="0"/>
        <w:contextualSpacing/>
        <w:jc w:val="both"/>
        <w:rPr>
          <w:b/>
          <w:color w:val="000000" w:themeColor="text1"/>
          <w:sz w:val="22"/>
          <w:szCs w:val="22"/>
          <w:rFonts w:asciiTheme="minorHAnsi" w:hAnsiTheme="minorHAnsi"/>
        </w:rPr>
      </w:pPr>
      <w:r>
        <w:rPr>
          <w:b/>
          <w:sz w:val="22"/>
          <w:szCs w:val="22"/>
          <w:color w:val="000000"/>
          <w:rFonts w:asciiTheme="minorHAnsi" w:hAnsiTheme="minorHAnsi"/>
        </w:rPr>
        <w:t xml:space="preserve">A7.</w:t>
      </w:r>
      <w:r>
        <w:rPr>
          <w:b/>
          <w:sz w:val="22"/>
          <w:szCs w:val="22"/>
          <w:color w:val="000000"/>
          <w:rFonts w:asciiTheme="minorHAnsi" w:hAnsiTheme="minorHAnsi"/>
        </w:rPr>
        <w:t xml:space="preserve"> </w:t>
      </w:r>
      <w:r>
        <w:rPr>
          <w:b/>
          <w:sz w:val="22"/>
          <w:szCs w:val="22"/>
          <w:rFonts w:asciiTheme="minorHAnsi" w:hAnsiTheme="minorHAnsi"/>
        </w:rPr>
        <w:t xml:space="preserve">Sebbene non vi sia alcuna indicazione specifica, i beta-bloccanti non sono adatti per il trattamento dell'HT essenziale in prima linea (a causa dell'aumento del rischio di blocco cardiaco, affaticamento-affaticamento, disfunzione sessuale e minore efficacia nella prevenzione dell'ictus; inoltre, la funzione del recettore -adrenergico diminuisce con l'invecchiamento).</w:t>
      </w:r>
    </w:p>
    <w:p w14:paraId="07B91CA5" w14:textId="77777777" w:rsidR="002A1E62" w:rsidRPr="00AE15DA" w:rsidRDefault="002A1E62" w:rsidP="0043334F">
      <w:pPr>
        <w:contextualSpacing/>
        <w:jc w:val="both"/>
        <w:rPr>
          <w:rFonts w:asciiTheme="minorHAnsi" w:hAnsiTheme="minorHAnsi"/>
          <w:b/>
          <w:sz w:val="22"/>
          <w:szCs w:val="22"/>
        </w:rPr>
      </w:pPr>
    </w:p>
    <w:p w14:paraId="638CA2EE" w14:textId="77777777" w:rsidR="002A1E62" w:rsidRPr="00AE15DA" w:rsidRDefault="002A1E62" w:rsidP="0043334F">
      <w:pPr>
        <w:contextualSpacing/>
        <w:jc w:val="both"/>
        <w:rPr>
          <w:rFonts w:asciiTheme="minorHAnsi" w:hAnsiTheme="minorHAnsi"/>
          <w:b/>
          <w:sz w:val="22"/>
          <w:szCs w:val="22"/>
        </w:rPr>
      </w:pPr>
    </w:p>
    <w:p w14:paraId="25537F1F" w14:textId="77777777" w:rsidR="004E6DCE" w:rsidRPr="00AE15DA" w:rsidRDefault="006C24B0" w:rsidP="0043334F">
      <w:pPr>
        <w:contextualSpacing/>
        <w:jc w:val="both"/>
        <w:rPr>
          <w:b/>
          <w:sz w:val="22"/>
          <w:szCs w:val="22"/>
          <w:rFonts w:asciiTheme="minorHAnsi" w:hAnsiTheme="minorHAnsi"/>
        </w:rPr>
      </w:pPr>
      <w:r>
        <w:rPr>
          <w:b/>
          <w:sz w:val="22"/>
          <w:szCs w:val="22"/>
          <w:rFonts w:asciiTheme="minorHAnsi" w:hAnsiTheme="minorHAnsi"/>
        </w:rPr>
        <w:t xml:space="preserve">A8.</w:t>
      </w:r>
      <w:r>
        <w:rPr>
          <w:b/>
          <w:sz w:val="22"/>
          <w:szCs w:val="22"/>
          <w:rFonts w:asciiTheme="minorHAnsi" w:hAnsiTheme="minorHAnsi"/>
        </w:rPr>
        <w:t xml:space="preserve"> </w:t>
      </w:r>
      <w:r>
        <w:rPr>
          <w:b/>
          <w:sz w:val="22"/>
          <w:szCs w:val="22"/>
          <w:rFonts w:asciiTheme="minorHAnsi" w:hAnsiTheme="minorHAnsi"/>
        </w:rPr>
        <w:t xml:space="preserve">Nei pazienti con incontinenza urinaria, l'uso di diuretici nella prima fase non è appropriato per il trattamento dell'HT essenziale (può compromettere la qualità della vita aumentando l'incontinenza e la sensazione di urgenza e può aumentare le cadute).</w:t>
      </w:r>
    </w:p>
    <w:p w14:paraId="0F408901" w14:textId="77777777" w:rsidR="006C24B0" w:rsidRPr="00AE15DA" w:rsidRDefault="006C24B0" w:rsidP="0043334F">
      <w:pPr>
        <w:spacing w:after="100" w:afterAutospacing="1"/>
        <w:contextualSpacing/>
        <w:jc w:val="both"/>
        <w:rPr>
          <w:i/>
          <w:color w:val="000000" w:themeColor="text1"/>
          <w:sz w:val="22"/>
          <w:szCs w:val="22"/>
          <w:rFonts w:asciiTheme="minorHAnsi" w:hAnsiTheme="minorHAnsi"/>
        </w:rPr>
      </w:pPr>
      <w:r>
        <w:rPr>
          <w:i/>
          <w:color w:val="000000" w:themeColor="text1"/>
          <w:sz w:val="22"/>
          <w:szCs w:val="22"/>
          <w:rFonts w:asciiTheme="minorHAnsi" w:hAnsiTheme="minorHAnsi"/>
        </w:rPr>
        <w:t xml:space="preserve">*In generale, i diuretici negli anziani possono compromettere la qualità della vita riducendo il volume/aumentando la frequenza e il volume della minzione e provocando una sensazione di spremitura e possono essere un fattore di rischio per le cadute.</w:t>
      </w:r>
      <w:r>
        <w:rPr>
          <w:i/>
          <w:color w:val="000000" w:themeColor="text1"/>
          <w:sz w:val="22"/>
          <w:szCs w:val="22"/>
          <w:rFonts w:asciiTheme="minorHAnsi" w:hAnsiTheme="minorHAnsi"/>
        </w:rPr>
        <w:t xml:space="preserve"> </w:t>
      </w:r>
      <w:r>
        <w:rPr>
          <w:i/>
          <w:color w:val="000000" w:themeColor="text1"/>
          <w:sz w:val="22"/>
          <w:szCs w:val="22"/>
          <w:rFonts w:asciiTheme="minorHAnsi" w:hAnsiTheme="minorHAnsi"/>
        </w:rPr>
        <w:t xml:space="preserve">I casi che utilizzano diuretici dovrebbero essere seguiti attentamente sotto questi aspetti.</w:t>
      </w:r>
      <w:r>
        <w:rPr>
          <w:i/>
          <w:color w:val="000000" w:themeColor="text1"/>
          <w:sz w:val="22"/>
          <w:szCs w:val="22"/>
          <w:rFonts w:asciiTheme="minorHAnsi" w:hAnsiTheme="minorHAnsi"/>
        </w:rPr>
        <w:t xml:space="preserve">  </w:t>
      </w:r>
    </w:p>
    <w:p w14:paraId="2DF5B03F" w14:textId="274E5CEF" w:rsidR="00CA5845" w:rsidRDefault="00CA584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14:paraId="04500522" w14:textId="77777777" w:rsidR="00E85274" w:rsidRPr="00AE15DA" w:rsidRDefault="00E8527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45772BE4" w14:textId="77777777" w:rsidR="006C24B0" w:rsidRPr="00AE15DA"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2"/>
          <w:szCs w:val="22"/>
          <w:rFonts w:asciiTheme="minorHAnsi" w:hAnsiTheme="minorHAnsi" w:cstheme="minorHAnsi"/>
        </w:rPr>
      </w:pPr>
      <w:r>
        <w:rPr>
          <w:sz w:val="22"/>
          <w:szCs w:val="22"/>
          <w:b/>
          <w:color w:val="000000"/>
          <w:rFonts w:asciiTheme="minorHAnsi" w:hAnsiTheme="minorHAnsi"/>
        </w:rPr>
        <w:t xml:space="preserve">A9.</w:t>
      </w:r>
      <w:r>
        <w:rPr>
          <w:sz w:val="22"/>
          <w:szCs w:val="22"/>
          <w:b/>
          <w:color w:val="000000"/>
          <w:rFonts w:asciiTheme="minorHAnsi" w:hAnsiTheme="minorHAnsi"/>
        </w:rPr>
        <w:t xml:space="preserve"> </w:t>
      </w:r>
      <w:r>
        <w:rPr>
          <w:sz w:val="22"/>
          <w:szCs w:val="22"/>
          <w:rFonts w:asciiTheme="minorHAnsi" w:hAnsiTheme="minorHAnsi"/>
        </w:rPr>
        <w:t xml:space="preserve">L'uso di alfa-1 bloccanti o antipertensivi ad azione centrale (ad es. metildopa, rilmenidina, reserpina) non è appropriato nel trattamento dell'HT, tranne quando altre classi di antipertensivi non sono tollerate o sono inefficaci (Aumento dell'insufficienza cardiaca e degli eventi cardiovascolari con antipertensivi alfa-1-bloccanti, ipotensione ortostatica, caduta, sincope, peggioramento dell'incontinenza urinaria nelle donne; effetti collaterali sul MSS degli antipertensivi ad azione centrale, sedazione-depressione-parkinsonismo e ipotensione ortostatica, effetti collaterali della bradicardia)</w:t>
      </w:r>
      <w:r>
        <w:rPr>
          <w:sz w:val="22"/>
          <w:szCs w:val="22"/>
          <w:rFonts w:asciiTheme="minorHAnsi" w:hAnsiTheme="minorHAnsi"/>
        </w:rPr>
        <w:t xml:space="preserve"> </w:t>
      </w:r>
    </w:p>
    <w:p w14:paraId="07DB9CDA" w14:textId="77777777" w:rsidR="009B4E92" w:rsidRPr="00AE15DA" w:rsidRDefault="009B4E92" w:rsidP="0043334F">
      <w:pPr>
        <w:pStyle w:val="HTMLncedenBiimlendirilmi"/>
        <w:contextualSpacing/>
        <w:jc w:val="both"/>
        <w:rPr>
          <w:rFonts w:asciiTheme="minorHAnsi" w:hAnsiTheme="minorHAnsi" w:cstheme="minorHAnsi"/>
          <w:color w:val="000000" w:themeColor="text1"/>
          <w:sz w:val="22"/>
          <w:szCs w:val="22"/>
        </w:rPr>
      </w:pPr>
    </w:p>
    <w:p w14:paraId="70B7A5E3" w14:textId="77777777" w:rsidR="00C75B3A" w:rsidRPr="00AE15DA" w:rsidRDefault="00C75B3A" w:rsidP="0043334F">
      <w:pPr>
        <w:pStyle w:val="HTMLncedenBiimlendirilmi"/>
        <w:contextualSpacing/>
        <w:jc w:val="both"/>
        <w:rPr>
          <w:rFonts w:asciiTheme="minorHAnsi" w:hAnsiTheme="minorHAnsi" w:cstheme="minorHAnsi"/>
          <w:color w:val="000000"/>
          <w:sz w:val="22"/>
          <w:szCs w:val="22"/>
        </w:rPr>
      </w:pPr>
    </w:p>
    <w:p w14:paraId="5063E76E" w14:textId="77777777" w:rsidR="006C24B0" w:rsidRPr="00AE15DA" w:rsidRDefault="006C24B0" w:rsidP="0043334F">
      <w:pPr>
        <w:pStyle w:val="HTMLncedenBiimlendirilmi"/>
        <w:contextualSpacing/>
        <w:jc w:val="both"/>
        <w:rPr>
          <w:color w:val="000000"/>
          <w:sz w:val="22"/>
          <w:szCs w:val="22"/>
          <w:rFonts w:asciiTheme="minorHAnsi" w:hAnsiTheme="minorHAnsi" w:cstheme="minorHAnsi"/>
        </w:rPr>
      </w:pPr>
      <w:r>
        <w:rPr>
          <w:b/>
          <w:sz w:val="22"/>
          <w:szCs w:val="22"/>
          <w:rFonts w:asciiTheme="minorHAnsi" w:hAnsiTheme="minorHAnsi"/>
        </w:rPr>
        <w:t xml:space="preserve">A10.</w:t>
      </w:r>
      <w:r>
        <w:rPr>
          <w:b/>
          <w:sz w:val="22"/>
          <w:szCs w:val="22"/>
          <w:rFonts w:asciiTheme="minorHAnsi" w:hAnsiTheme="minorHAnsi"/>
        </w:rPr>
        <w:t xml:space="preserve"> </w:t>
      </w:r>
      <w:r>
        <w:rPr>
          <w:b/>
          <w:sz w:val="22"/>
          <w:szCs w:val="22"/>
          <w:rFonts w:asciiTheme="minorHAnsi" w:hAnsiTheme="minorHAnsi"/>
        </w:rPr>
        <w:t xml:space="preserve">Gli antipertensivi vasodilatatori (alfa-1 bloccanti)/nitrati non sono adatti per l'uso in pazienti con ipotensione ortostatica (diminuzione della pressione arteriosa sistolica &gt;=20 mmHg o diminuzione della pressione arteriosa diastolica &gt;=10 mmHg) (rischio di aumento dell'ipotensione ortostatica)</w:t>
      </w:r>
      <w:r>
        <w:rPr>
          <w:b/>
          <w:sz w:val="22"/>
          <w:szCs w:val="22"/>
          <w:rFonts w:asciiTheme="minorHAnsi" w:hAnsiTheme="minorHAnsi"/>
        </w:rPr>
        <w:t xml:space="preserve"> </w:t>
      </w:r>
    </w:p>
    <w:p w14:paraId="23B24B71" w14:textId="77777777" w:rsidR="008073BC" w:rsidRPr="00AE15DA" w:rsidRDefault="006C24B0" w:rsidP="0043334F">
      <w:pPr>
        <w:contextualSpacing/>
        <w:jc w:val="both"/>
        <w:rPr>
          <w:i/>
          <w:sz w:val="22"/>
          <w:szCs w:val="22"/>
          <w:rFonts w:asciiTheme="minorHAnsi" w:hAnsiTheme="minorHAnsi"/>
        </w:rPr>
      </w:pPr>
      <w:r>
        <w:rPr>
          <w:i/>
          <w:sz w:val="22"/>
          <w:szCs w:val="22"/>
          <w:rFonts w:asciiTheme="minorHAnsi" w:hAnsiTheme="minorHAnsi"/>
        </w:rPr>
        <w:t xml:space="preserve">*L'uso di antipertensivi vasodilatatori in presenza di ipotensione ortostatica può essere appropriato solo quando l'HT supina grave non può essere controllata con altri antipertensivi.</w:t>
      </w:r>
      <w:r>
        <w:rPr>
          <w:i/>
          <w:sz w:val="22"/>
          <w:szCs w:val="22"/>
          <w:rFonts w:asciiTheme="minorHAnsi" w:hAnsiTheme="minorHAnsi"/>
        </w:rPr>
        <w:t xml:space="preserve"> </w:t>
      </w:r>
      <w:r>
        <w:rPr>
          <w:i/>
          <w:sz w:val="22"/>
          <w:szCs w:val="22"/>
          <w:rFonts w:asciiTheme="minorHAnsi" w:hAnsiTheme="minorHAnsi"/>
        </w:rPr>
        <w:t xml:space="preserve">Se vengono utilizzati, devono essere applicate in concomitanza misure protettive contro l'ipotensione ortostatica.</w:t>
      </w:r>
      <w:r>
        <w:rPr>
          <w:i/>
          <w:sz w:val="22"/>
          <w:szCs w:val="22"/>
          <w:rFonts w:asciiTheme="minorHAnsi" w:hAnsiTheme="minorHAnsi"/>
        </w:rPr>
        <w:t xml:space="preserve"> </w:t>
      </w:r>
      <w:r>
        <w:rPr>
          <w:i/>
          <w:sz w:val="22"/>
          <w:szCs w:val="22"/>
          <w:rFonts w:asciiTheme="minorHAnsi" w:hAnsiTheme="minorHAnsi"/>
        </w:rPr>
        <w:t xml:space="preserve">Tutti gli antipertensivi devono essere valutati per la riduzione della dose in presenza di ipotensione ortostatica.</w:t>
      </w:r>
    </w:p>
    <w:p w14:paraId="0A04F7C9" w14:textId="77777777" w:rsidR="009B4E92" w:rsidRPr="00AE15DA" w:rsidRDefault="009B4E92"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2E594CB6" w14:textId="77777777" w:rsidR="00E86B5B" w:rsidRPr="00AE15DA" w:rsidRDefault="00E86B5B"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rPr>
      </w:pPr>
    </w:p>
    <w:p w14:paraId="32E0A361" w14:textId="77777777" w:rsidR="009B4E92" w:rsidRPr="00AE15DA"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2"/>
          <w:szCs w:val="22"/>
          <w:vertAlign w:val="superscript"/>
          <w:rFonts w:asciiTheme="minorHAnsi" w:hAnsiTheme="minorHAnsi"/>
        </w:rPr>
      </w:pPr>
      <w:r>
        <w:rPr>
          <w:b/>
          <w:sz w:val="22"/>
          <w:szCs w:val="22"/>
          <w:rFonts w:asciiTheme="minorHAnsi" w:hAnsiTheme="minorHAnsi"/>
        </w:rPr>
        <w:t xml:space="preserve">A11.</w:t>
      </w:r>
      <w:r>
        <w:rPr>
          <w:b/>
          <w:sz w:val="22"/>
          <w:szCs w:val="22"/>
          <w:rFonts w:asciiTheme="minorHAnsi" w:hAnsiTheme="minorHAnsi"/>
        </w:rPr>
        <w:t xml:space="preserve"> </w:t>
      </w:r>
      <w:r>
        <w:rPr>
          <w:b/>
          <w:sz w:val="22"/>
          <w:szCs w:val="22"/>
          <w:rFonts w:asciiTheme="minorHAnsi" w:hAnsiTheme="minorHAnsi"/>
        </w:rPr>
        <w:t xml:space="preserve">Il controllo stretto della pressione sanguigna (&lt;140/90 mmHg) non è appropriato nei pazienti con ipotensione ortostatica/deficit cognitivo (es. demenza)/limitazione funzionale/bassa aspettativa di vita (&lt;2 anni)/alto rischio di caduta.</w:t>
      </w:r>
      <w:r>
        <w:rPr>
          <w:b/>
          <w:sz w:val="22"/>
          <w:szCs w:val="22"/>
          <w:rFonts w:asciiTheme="minorHAnsi" w:hAnsiTheme="minorHAnsi"/>
        </w:rPr>
        <w:t xml:space="preserve"> </w:t>
      </w:r>
    </w:p>
    <w:p w14:paraId="5DC1FA9A" w14:textId="77777777" w:rsidR="00C75B3A" w:rsidRPr="00AE15DA" w:rsidRDefault="00C75B3A" w:rsidP="0043334F">
      <w:pPr>
        <w:autoSpaceDE w:val="0"/>
        <w:autoSpaceDN w:val="0"/>
        <w:adjustRightInd w:val="0"/>
        <w:contextualSpacing/>
        <w:jc w:val="both"/>
        <w:rPr>
          <w:rFonts w:asciiTheme="minorHAnsi" w:eastAsiaTheme="minorHAnsi" w:hAnsiTheme="minorHAnsi" w:cstheme="minorHAnsi"/>
          <w:sz w:val="22"/>
          <w:szCs w:val="22"/>
        </w:rPr>
      </w:pPr>
    </w:p>
    <w:p w14:paraId="75B7CC4B" w14:textId="77777777" w:rsidR="00C75B3A" w:rsidRPr="00AE15DA" w:rsidRDefault="00C75B3A" w:rsidP="0043334F">
      <w:pPr>
        <w:autoSpaceDE w:val="0"/>
        <w:autoSpaceDN w:val="0"/>
        <w:adjustRightInd w:val="0"/>
        <w:contextualSpacing/>
        <w:jc w:val="both"/>
        <w:rPr>
          <w:rFonts w:asciiTheme="minorHAnsi" w:eastAsiaTheme="minorHAnsi" w:hAnsiTheme="minorHAnsi" w:cstheme="minorHAnsi"/>
          <w:sz w:val="22"/>
          <w:szCs w:val="22"/>
        </w:rPr>
      </w:pPr>
    </w:p>
    <w:p w14:paraId="27255E19" w14:textId="77777777" w:rsidR="006C24B0" w:rsidRPr="00AE15DA" w:rsidRDefault="006C24B0" w:rsidP="0043334F">
      <w:pPr>
        <w:autoSpaceDE w:val="0"/>
        <w:autoSpaceDN w:val="0"/>
        <w:adjustRightInd w:val="0"/>
        <w:contextualSpacing/>
        <w:jc w:val="both"/>
        <w:rPr>
          <w:sz w:val="22"/>
          <w:szCs w:val="22"/>
          <w:rFonts w:asciiTheme="minorHAnsi" w:eastAsiaTheme="minorHAnsi" w:hAnsiTheme="minorHAnsi" w:cstheme="minorHAnsi"/>
        </w:rPr>
      </w:pPr>
      <w:r>
        <w:rPr>
          <w:b/>
          <w:sz w:val="22"/>
          <w:szCs w:val="22"/>
          <w:rFonts w:asciiTheme="minorHAnsi" w:hAnsiTheme="minorHAnsi"/>
        </w:rPr>
        <w:t xml:space="preserve">A12.</w:t>
      </w:r>
      <w:r>
        <w:rPr>
          <w:b/>
          <w:sz w:val="22"/>
          <w:szCs w:val="22"/>
          <w:rFonts w:asciiTheme="minorHAnsi" w:hAnsiTheme="minorHAnsi"/>
        </w:rPr>
        <w:t xml:space="preserve"> </w:t>
      </w:r>
      <w:r>
        <w:rPr>
          <w:b/>
          <w:sz w:val="22"/>
          <w:szCs w:val="22"/>
          <w:color w:val="000000"/>
          <w:rFonts w:asciiTheme="minorHAnsi" w:hAnsiTheme="minorHAnsi"/>
        </w:rPr>
        <w:t xml:space="preserve">Il fludrocortisone non è adatto per il trattamento dell'ipotensione ortostatica senza escludere fattori secondari e applicare approcci non farmacologici.</w:t>
      </w:r>
    </w:p>
    <w:p w14:paraId="5F979A81" w14:textId="77777777" w:rsidR="009B4E92" w:rsidRPr="00AE15DA" w:rsidRDefault="006C24B0" w:rsidP="0043334F">
      <w:pPr>
        <w:spacing w:after="100" w:afterAutospacing="1"/>
        <w:contextualSpacing/>
        <w:jc w:val="both"/>
        <w:rPr>
          <w:i/>
          <w:sz w:val="22"/>
          <w:szCs w:val="22"/>
          <w:rFonts w:asciiTheme="minorHAnsi" w:hAnsiTheme="minorHAnsi"/>
        </w:rPr>
      </w:pPr>
      <w:r>
        <w:rPr>
          <w:i/>
          <w:sz w:val="22"/>
          <w:szCs w:val="22"/>
          <w:color w:val="000000" w:themeColor="text1"/>
          <w:rFonts w:asciiTheme="minorHAnsi" w:hAnsiTheme="minorHAnsi"/>
        </w:rPr>
        <w:t xml:space="preserve">*Gli approcci non farmacologici alla gestione dell'ipotensione ortostatica includono:</w:t>
      </w:r>
      <w:r>
        <w:rPr>
          <w:i/>
          <w:sz w:val="22"/>
          <w:szCs w:val="22"/>
          <w:color w:val="000000" w:themeColor="text1"/>
          <w:rFonts w:asciiTheme="minorHAnsi" w:hAnsiTheme="minorHAnsi"/>
        </w:rPr>
        <w:t xml:space="preserve"> </w:t>
      </w:r>
      <w:r>
        <w:rPr>
          <w:i/>
          <w:sz w:val="22"/>
          <w:szCs w:val="22"/>
          <w:rFonts w:asciiTheme="minorHAnsi" w:hAnsiTheme="minorHAnsi"/>
        </w:rPr>
        <w:t xml:space="preserve">Alzarsi in piedi lentamente, esercizi di resistenza degli arti inferiori, indossare calze compressive, assunzione adeguata di liquidi [2–3 l/giorno], evitare l'alcol, consumare pasti piccoli e frequenti, assunzione adeguata di sale [6-10 g/giorno], evitare cibi ricchi di carboidrati cibi fermi, evitando l'esercizio intenso nella stagione calda, mantenendo la testa sollevata a 30-45 gradi mentre si è sdraiati</w:t>
      </w:r>
      <w:r>
        <w:rPr>
          <w:i/>
          <w:sz w:val="22"/>
          <w:szCs w:val="22"/>
          <w:rFonts w:asciiTheme="minorHAnsi" w:hAnsiTheme="minorHAnsi"/>
        </w:rPr>
        <w:t xml:space="preserve"> </w:t>
      </w:r>
    </w:p>
    <w:p w14:paraId="560F3442" w14:textId="77777777" w:rsidR="00C75B3A" w:rsidRPr="00AE15DA" w:rsidRDefault="00C75B3A" w:rsidP="0043334F">
      <w:pPr>
        <w:spacing w:after="100" w:afterAutospacing="1"/>
        <w:contextualSpacing/>
        <w:jc w:val="both"/>
        <w:rPr>
          <w:rFonts w:asciiTheme="minorHAnsi" w:hAnsiTheme="minorHAnsi"/>
          <w:i/>
          <w:sz w:val="22"/>
          <w:szCs w:val="22"/>
        </w:rPr>
      </w:pPr>
    </w:p>
    <w:p w14:paraId="63FE8218" w14:textId="77777777" w:rsidR="0077695B" w:rsidRPr="00AE15DA" w:rsidRDefault="0077695B" w:rsidP="0043334F">
      <w:pPr>
        <w:spacing w:before="100" w:beforeAutospacing="1"/>
        <w:contextualSpacing/>
        <w:jc w:val="both"/>
        <w:rPr>
          <w:rFonts w:asciiTheme="minorHAnsi" w:hAnsiTheme="minorHAnsi"/>
          <w:b/>
          <w:sz w:val="22"/>
          <w:szCs w:val="22"/>
        </w:rPr>
      </w:pPr>
    </w:p>
    <w:p w14:paraId="35D1CC07" w14:textId="77777777" w:rsidR="006C24B0" w:rsidRPr="00AE15DA" w:rsidRDefault="006C24B0" w:rsidP="0043334F">
      <w:pPr>
        <w:spacing w:before="100" w:beforeAutospacing="1"/>
        <w:contextualSpacing/>
        <w:jc w:val="both"/>
        <w:rPr>
          <w:b/>
          <w:sz w:val="22"/>
          <w:szCs w:val="22"/>
          <w:rFonts w:asciiTheme="minorHAnsi" w:hAnsiTheme="minorHAnsi"/>
        </w:rPr>
      </w:pPr>
      <w:r>
        <w:rPr>
          <w:b/>
          <w:sz w:val="22"/>
          <w:szCs w:val="22"/>
          <w:rFonts w:asciiTheme="minorHAnsi" w:hAnsiTheme="minorHAnsi"/>
        </w:rPr>
        <w:t xml:space="preserve">A13.</w:t>
      </w:r>
      <w:r>
        <w:rPr>
          <w:b/>
          <w:sz w:val="22"/>
          <w:szCs w:val="22"/>
          <w:rFonts w:asciiTheme="minorHAnsi" w:hAnsiTheme="minorHAnsi"/>
        </w:rPr>
        <w:t xml:space="preserve"> </w:t>
      </w:r>
      <w:r>
        <w:rPr>
          <w:b/>
          <w:sz w:val="22"/>
          <w:szCs w:val="22"/>
          <w:rFonts w:asciiTheme="minorHAnsi" w:hAnsiTheme="minorHAnsi"/>
        </w:rPr>
        <w:t xml:space="preserve">L'uso della combinazione beta-bloccante e verapamil/diltiazem non è appropriato nei pazienti con HT (rischio di blocco cardiaco)</w:t>
      </w:r>
    </w:p>
    <w:p w14:paraId="4C8D054E" w14:textId="77777777" w:rsidR="00EC68B4" w:rsidRPr="00AE15DA" w:rsidRDefault="00EC68B4" w:rsidP="0043334F">
      <w:pPr>
        <w:contextualSpacing/>
        <w:jc w:val="both"/>
        <w:rPr>
          <w:i/>
          <w:color w:val="000000" w:themeColor="text1"/>
          <w:sz w:val="22"/>
          <w:szCs w:val="22"/>
          <w:rFonts w:asciiTheme="minorHAnsi" w:hAnsiTheme="minorHAnsi"/>
        </w:rPr>
      </w:pPr>
      <w:r>
        <w:rPr>
          <w:i/>
          <w:color w:val="000000" w:themeColor="text1"/>
          <w:sz w:val="22"/>
          <w:szCs w:val="22"/>
          <w:rFonts w:asciiTheme="minorHAnsi" w:hAnsiTheme="minorHAnsi"/>
        </w:rPr>
        <w:t xml:space="preserve">*Il gruppo diidropiridinico a lunga durata d'azione dei calcioantagonisti dovrebbe essere generalmente preferito nel trattamento dell'HT negli anziani (l'uso di verapamil/diltiazem può aumentare il rischio di blocco cardiaco).</w:t>
      </w:r>
    </w:p>
    <w:p w14:paraId="5911563A" w14:textId="77777777" w:rsidR="006C24B0" w:rsidRPr="00AE15DA" w:rsidRDefault="006C24B0" w:rsidP="0043334F">
      <w:pPr>
        <w:contextualSpacing/>
        <w:jc w:val="both"/>
        <w:rPr>
          <w:i/>
          <w:sz w:val="22"/>
          <w:szCs w:val="22"/>
          <w:rFonts w:asciiTheme="minorHAnsi" w:hAnsiTheme="minorHAnsi"/>
        </w:rPr>
      </w:pPr>
      <w:r>
        <w:rPr>
          <w:sz w:val="22"/>
          <w:szCs w:val="22"/>
          <w:i/>
          <w:rFonts w:asciiTheme="minorHAnsi" w:hAnsiTheme="minorHAnsi"/>
        </w:rPr>
        <w:t xml:space="preserve"> </w:t>
      </w:r>
      <w:r>
        <w:rPr>
          <w:sz w:val="22"/>
          <w:szCs w:val="22"/>
          <w:rFonts w:asciiTheme="minorHAnsi" w:hAnsiTheme="minorHAnsi"/>
        </w:rPr>
        <w:t xml:space="preserve">*La combinazione di beta-bloccanti con verapamil/diltiazem può essere appropriata in alcuni casi di tachicardia sopraventricolare.</w:t>
      </w:r>
      <w:r>
        <w:rPr>
          <w:sz w:val="22"/>
          <w:szCs w:val="22"/>
          <w:i/>
          <w:color w:val="000000"/>
          <w:rFonts w:asciiTheme="minorHAnsi" w:hAnsiTheme="minorHAnsi"/>
        </w:rPr>
        <w:t xml:space="preserve"> </w:t>
      </w:r>
      <w:r>
        <w:rPr>
          <w:sz w:val="22"/>
          <w:szCs w:val="22"/>
          <w:i/>
          <w:color w:val="000000"/>
          <w:rFonts w:asciiTheme="minorHAnsi" w:hAnsiTheme="minorHAnsi"/>
        </w:rPr>
        <w:t xml:space="preserve">In questo caso, dovrebbe essere usato con cautela.</w:t>
      </w:r>
      <w:r>
        <w:rPr>
          <w:sz w:val="22"/>
          <w:szCs w:val="22"/>
          <w:i/>
          <w:color w:val="000000"/>
          <w:rFonts w:asciiTheme="minorHAnsi" w:hAnsiTheme="minorHAnsi"/>
        </w:rPr>
        <w:t xml:space="preserve"> </w:t>
      </w:r>
    </w:p>
    <w:p w14:paraId="77A0F571" w14:textId="0CE1A7B2" w:rsidR="0077695B" w:rsidRDefault="0077695B" w:rsidP="0043334F">
      <w:pPr>
        <w:contextualSpacing/>
        <w:jc w:val="both"/>
        <w:rPr>
          <w:rFonts w:asciiTheme="minorHAnsi" w:hAnsiTheme="minorHAnsi"/>
          <w:i/>
          <w:color w:val="44546A" w:themeColor="text2"/>
          <w:sz w:val="22"/>
          <w:szCs w:val="22"/>
        </w:rPr>
      </w:pPr>
    </w:p>
    <w:p w14:paraId="47EB0FEF" w14:textId="77777777" w:rsidR="00E85274" w:rsidRPr="00AE15DA" w:rsidRDefault="00E85274" w:rsidP="0043334F">
      <w:pPr>
        <w:contextualSpacing/>
        <w:jc w:val="both"/>
        <w:rPr>
          <w:rFonts w:asciiTheme="minorHAnsi" w:hAnsiTheme="minorHAnsi"/>
          <w:b/>
          <w:sz w:val="22"/>
          <w:szCs w:val="22"/>
        </w:rPr>
      </w:pPr>
    </w:p>
    <w:p w14:paraId="74F4F62B" w14:textId="77777777" w:rsidR="0018466D" w:rsidRPr="00AE15DA" w:rsidRDefault="0018466D" w:rsidP="0043334F">
      <w:pPr>
        <w:contextualSpacing/>
        <w:jc w:val="both"/>
        <w:rPr>
          <w:b/>
          <w:sz w:val="22"/>
          <w:szCs w:val="22"/>
          <w:rFonts w:asciiTheme="minorHAnsi" w:hAnsiTheme="minorHAnsi"/>
        </w:rPr>
      </w:pPr>
      <w:r>
        <w:rPr>
          <w:b/>
          <w:sz w:val="22"/>
          <w:szCs w:val="22"/>
          <w:rFonts w:asciiTheme="minorHAnsi" w:hAnsiTheme="minorHAnsi"/>
        </w:rPr>
        <w:t xml:space="preserve">A14.</w:t>
      </w:r>
      <w:r>
        <w:rPr>
          <w:b/>
          <w:sz w:val="22"/>
          <w:szCs w:val="22"/>
          <w:rFonts w:asciiTheme="minorHAnsi" w:hAnsiTheme="minorHAnsi"/>
        </w:rPr>
        <w:t xml:space="preserve"> </w:t>
      </w:r>
      <w:r>
        <w:rPr>
          <w:b/>
          <w:sz w:val="22"/>
          <w:szCs w:val="22"/>
          <w:rFonts w:asciiTheme="minorHAnsi" w:hAnsiTheme="minorHAnsi"/>
        </w:rPr>
        <w:t xml:space="preserve">Non è appropriato iniziare un bloccante RAS (ACE inibitore, ARB, inibitore diretto della renina) o un diuretico risparmiatore di potassio (spironolattone, eplerenone, amiloride, triamterene) nei casi con un livello sierico di potassio superiore a 5,5 mEq/L.</w:t>
      </w:r>
      <w:r>
        <w:rPr>
          <w:b/>
          <w:sz w:val="22"/>
          <w:szCs w:val="22"/>
          <w:rFonts w:asciiTheme="minorHAnsi" w:hAnsiTheme="minorHAnsi"/>
        </w:rPr>
        <w:t xml:space="preserve"> </w:t>
      </w:r>
    </w:p>
    <w:p w14:paraId="7494D537" w14:textId="77777777" w:rsidR="006A79E8" w:rsidRPr="00AE15DA" w:rsidRDefault="0018466D" w:rsidP="0043334F">
      <w:pPr>
        <w:contextualSpacing/>
        <w:jc w:val="both"/>
        <w:rPr>
          <w:i/>
          <w:sz w:val="22"/>
          <w:szCs w:val="22"/>
          <w:rFonts w:asciiTheme="minorHAnsi" w:hAnsiTheme="minorHAnsi"/>
        </w:rPr>
      </w:pPr>
      <w:r>
        <w:rPr>
          <w:sz w:val="22"/>
          <w:szCs w:val="22"/>
          <w:rFonts w:asciiTheme="minorHAnsi" w:hAnsiTheme="minorHAnsi"/>
        </w:rPr>
        <w:t xml:space="preserve">*Se questo gruppo di farmaci viene utilizzato in casi con livelli di potassio superiori a 6 mEq/L, devono essere interrotti.</w:t>
      </w:r>
      <w:r>
        <w:rPr>
          <w:sz w:val="22"/>
          <w:szCs w:val="22"/>
          <w:i/>
          <w:rFonts w:asciiTheme="minorHAnsi" w:hAnsiTheme="minorHAnsi"/>
        </w:rPr>
        <w:t xml:space="preserve"> </w:t>
      </w:r>
    </w:p>
    <w:p w14:paraId="0CC49A17" w14:textId="77777777" w:rsidR="0018466D" w:rsidRPr="00AE15DA" w:rsidRDefault="00CC0179" w:rsidP="0043334F">
      <w:pPr>
        <w:contextualSpacing/>
        <w:jc w:val="both"/>
        <w:rPr>
          <w:i/>
          <w:sz w:val="22"/>
          <w:szCs w:val="22"/>
          <w:rFonts w:asciiTheme="minorHAnsi" w:hAnsiTheme="minorHAnsi"/>
        </w:rPr>
      </w:pPr>
      <w:r>
        <w:rPr>
          <w:i/>
          <w:sz w:val="22"/>
          <w:szCs w:val="22"/>
          <w:rFonts w:asciiTheme="minorHAnsi" w:hAnsiTheme="minorHAnsi"/>
        </w:rPr>
        <w:t xml:space="preserve">*L'uso combinato di ACE-inibitori e ARB a scopo antipertensivo non è appropriato.</w:t>
      </w:r>
      <w:r>
        <w:rPr>
          <w:i/>
          <w:sz w:val="22"/>
          <w:szCs w:val="22"/>
          <w:rFonts w:asciiTheme="minorHAnsi" w:hAnsiTheme="minorHAnsi"/>
        </w:rPr>
        <w:t xml:space="preserve"> </w:t>
      </w:r>
    </w:p>
    <w:p w14:paraId="6D58289D" w14:textId="77777777" w:rsidR="006A79E8" w:rsidRPr="00AE15DA" w:rsidRDefault="006A79E8" w:rsidP="0043334F">
      <w:pPr>
        <w:contextualSpacing/>
        <w:jc w:val="both"/>
        <w:rPr>
          <w:rFonts w:asciiTheme="minorHAnsi" w:hAnsiTheme="minorHAnsi"/>
          <w:sz w:val="22"/>
          <w:szCs w:val="22"/>
          <w:vertAlign w:val="superscript"/>
        </w:rPr>
      </w:pPr>
    </w:p>
    <w:p w14:paraId="4788B18B" w14:textId="77777777" w:rsidR="0077695B" w:rsidRPr="00AE15DA" w:rsidRDefault="0077695B" w:rsidP="0043334F">
      <w:pPr>
        <w:contextualSpacing/>
        <w:rPr>
          <w:rFonts w:asciiTheme="minorHAnsi" w:hAnsiTheme="minorHAnsi" w:cstheme="minorHAnsi"/>
          <w:color w:val="000000"/>
          <w:sz w:val="22"/>
          <w:szCs w:val="22"/>
        </w:rPr>
      </w:pPr>
    </w:p>
    <w:p w14:paraId="620FEC46" w14:textId="77777777" w:rsidR="00234A6B" w:rsidRPr="00AE15DA" w:rsidRDefault="0018466D" w:rsidP="0043334F">
      <w:pPr>
        <w:contextualSpacing/>
        <w:rPr>
          <w:color w:val="000000"/>
          <w:sz w:val="22"/>
          <w:szCs w:val="22"/>
          <w:rFonts w:asciiTheme="minorHAnsi" w:hAnsiTheme="minorHAnsi" w:cstheme="minorHAnsi"/>
        </w:rPr>
      </w:pPr>
      <w:r>
        <w:rPr>
          <w:b/>
          <w:sz w:val="22"/>
          <w:szCs w:val="22"/>
          <w:rFonts w:asciiTheme="minorHAnsi" w:hAnsiTheme="minorHAnsi"/>
        </w:rPr>
        <w:t xml:space="preserve">A15.</w:t>
      </w:r>
      <w:r>
        <w:rPr>
          <w:b/>
          <w:sz w:val="22"/>
          <w:szCs w:val="22"/>
          <w:rFonts w:asciiTheme="minorHAnsi" w:hAnsiTheme="minorHAnsi"/>
        </w:rPr>
        <w:t xml:space="preserve"> </w:t>
      </w:r>
      <w:r>
        <w:rPr>
          <w:b/>
          <w:sz w:val="22"/>
          <w:szCs w:val="22"/>
          <w:rFonts w:asciiTheme="minorHAnsi" w:hAnsiTheme="minorHAnsi"/>
        </w:rPr>
        <w:t xml:space="preserve">Non è appropriato combinare bloccanti RAS (ACEI, ARB, inibitori diretti della renina) e diuretici risparmiatori di potassio (spironolattone, eplerenone, amiloride, triamterene) senza monitorare il livello sierico di potassio (rischio di iperkaliemia pericolosa).</w:t>
      </w:r>
      <w:r>
        <w:rPr>
          <w:b/>
          <w:sz w:val="22"/>
          <w:szCs w:val="22"/>
          <w:rFonts w:asciiTheme="minorHAnsi" w:hAnsiTheme="minorHAnsi"/>
        </w:rPr>
        <w:t xml:space="preserve"> </w:t>
      </w:r>
    </w:p>
    <w:p w14:paraId="17E81DE9" w14:textId="77777777" w:rsidR="0018466D" w:rsidRPr="00AE15DA" w:rsidRDefault="0018466D" w:rsidP="0043334F">
      <w:pPr>
        <w:spacing w:after="100" w:afterAutospacing="1"/>
        <w:contextualSpacing/>
        <w:jc w:val="both"/>
        <w:rPr>
          <w:i/>
          <w:sz w:val="22"/>
          <w:szCs w:val="22"/>
          <w:vertAlign w:val="superscript"/>
          <w:rFonts w:asciiTheme="minorHAnsi" w:hAnsiTheme="minorHAnsi"/>
        </w:rPr>
      </w:pPr>
      <w:r>
        <w:rPr>
          <w:i/>
          <w:sz w:val="22"/>
          <w:szCs w:val="22"/>
          <w:rFonts w:asciiTheme="minorHAnsi" w:hAnsiTheme="minorHAnsi"/>
        </w:rPr>
        <w:t xml:space="preserve">*Questo rischio è particolarmente elevato nei pazienti con diabete mellito, nei pazienti con insufficienza renale, negli anziani e in coloro che utilizzano integratori di sali di potassio.</w:t>
      </w:r>
      <w:r>
        <w:rPr>
          <w:i/>
          <w:sz w:val="22"/>
          <w:szCs w:val="22"/>
          <w:rFonts w:asciiTheme="minorHAnsi" w:hAnsiTheme="minorHAnsi"/>
        </w:rPr>
        <w:t xml:space="preserve">  </w:t>
      </w:r>
    </w:p>
    <w:p w14:paraId="58C5921C" w14:textId="77777777" w:rsidR="00E86B5B" w:rsidRPr="00AE15DA" w:rsidRDefault="00E86B5B" w:rsidP="0043334F">
      <w:pPr>
        <w:contextualSpacing/>
        <w:jc w:val="both"/>
        <w:rPr>
          <w:rFonts w:asciiTheme="minorHAnsi" w:hAnsiTheme="minorHAnsi"/>
          <w:b/>
          <w:color w:val="000000" w:themeColor="text1"/>
          <w:sz w:val="22"/>
          <w:szCs w:val="22"/>
        </w:rPr>
      </w:pPr>
    </w:p>
    <w:p w14:paraId="2E8320E0" w14:textId="77777777" w:rsidR="00E86B5B" w:rsidRPr="00AE15DA" w:rsidRDefault="00E86B5B" w:rsidP="0043334F">
      <w:pPr>
        <w:contextualSpacing/>
        <w:jc w:val="both"/>
        <w:rPr>
          <w:rFonts w:asciiTheme="minorHAnsi" w:hAnsiTheme="minorHAnsi"/>
          <w:b/>
          <w:color w:val="000000" w:themeColor="text1"/>
          <w:sz w:val="22"/>
          <w:szCs w:val="22"/>
        </w:rPr>
      </w:pPr>
    </w:p>
    <w:p w14:paraId="77911002" w14:textId="77777777" w:rsidR="003814F4" w:rsidRPr="00AE15DA" w:rsidRDefault="003814F4" w:rsidP="0043334F">
      <w:pPr>
        <w:contextualSpacing/>
        <w:jc w:val="both"/>
        <w:rPr>
          <w:b/>
          <w:color w:val="000000" w:themeColor="text1"/>
          <w:sz w:val="22"/>
          <w:szCs w:val="22"/>
          <w:rFonts w:asciiTheme="minorHAnsi" w:hAnsiTheme="minorHAnsi"/>
        </w:rPr>
      </w:pPr>
      <w:r>
        <w:rPr>
          <w:b/>
          <w:color w:val="000000" w:themeColor="text1"/>
          <w:sz w:val="22"/>
          <w:szCs w:val="22"/>
          <w:rFonts w:asciiTheme="minorHAnsi" w:hAnsiTheme="minorHAnsi"/>
        </w:rPr>
        <w:t xml:space="preserve">A16.</w:t>
      </w:r>
      <w:r>
        <w:rPr>
          <w:b/>
          <w:color w:val="000000" w:themeColor="text1"/>
          <w:sz w:val="22"/>
          <w:szCs w:val="22"/>
          <w:rFonts w:asciiTheme="minorHAnsi" w:hAnsiTheme="minorHAnsi"/>
        </w:rPr>
        <w:t xml:space="preserve"> </w:t>
      </w:r>
      <w:r>
        <w:rPr>
          <w:b/>
          <w:color w:val="000000" w:themeColor="text1"/>
          <w:sz w:val="22"/>
          <w:szCs w:val="22"/>
          <w:rFonts w:asciiTheme="minorHAnsi" w:hAnsiTheme="minorHAnsi"/>
        </w:rPr>
        <w:t xml:space="preserve">I farmaci risparmiatori di potassio (antagonisti dell'aldosterone, triamterene, amiloride, ACEI, ARB) non sono adatti all'uso in pazienti con GFR &lt;30 ml/min/1,73 m2 e il cui livello sierico di potassio non può essere strettamente monitorato (rischio di iperkaliemia).</w:t>
      </w:r>
      <w:r>
        <w:rPr>
          <w:b/>
          <w:color w:val="000000" w:themeColor="text1"/>
          <w:sz w:val="22"/>
          <w:szCs w:val="22"/>
          <w:rFonts w:asciiTheme="minorHAnsi" w:hAnsiTheme="minorHAnsi"/>
        </w:rPr>
        <w:t xml:space="preserve"> </w:t>
      </w:r>
    </w:p>
    <w:p w14:paraId="13200661" w14:textId="77777777" w:rsidR="001D79D5" w:rsidRPr="00AE15DA" w:rsidRDefault="001D79D5" w:rsidP="0043334F">
      <w:pPr>
        <w:contextualSpacing/>
        <w:jc w:val="both"/>
        <w:rPr>
          <w:rFonts w:asciiTheme="minorHAnsi" w:hAnsiTheme="minorHAnsi"/>
          <w:b/>
          <w:color w:val="000000" w:themeColor="text1"/>
          <w:sz w:val="22"/>
          <w:szCs w:val="22"/>
        </w:rPr>
      </w:pPr>
    </w:p>
    <w:p w14:paraId="486442FF" w14:textId="77777777" w:rsidR="009B4E92" w:rsidRPr="00AE15DA" w:rsidRDefault="009B4E92" w:rsidP="0043334F">
      <w:pPr>
        <w:contextualSpacing/>
        <w:jc w:val="both"/>
        <w:rPr>
          <w:rFonts w:asciiTheme="minorHAnsi" w:hAnsiTheme="minorHAnsi"/>
          <w:b/>
          <w:color w:val="000000" w:themeColor="text1"/>
          <w:sz w:val="22"/>
          <w:szCs w:val="22"/>
        </w:rPr>
      </w:pPr>
    </w:p>
    <w:p w14:paraId="496B1557" w14:textId="77777777" w:rsidR="00C75B3A" w:rsidRPr="00AE15DA" w:rsidRDefault="006C24B0"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A17.</w:t>
      </w:r>
      <w:r>
        <w:rPr>
          <w:b/>
          <w:sz w:val="22"/>
          <w:szCs w:val="22"/>
          <w:rFonts w:asciiTheme="minorHAnsi" w:hAnsiTheme="minorHAnsi"/>
        </w:rPr>
        <w:t xml:space="preserve"> </w:t>
      </w:r>
      <w:r>
        <w:rPr>
          <w:b/>
          <w:sz w:val="22"/>
          <w:szCs w:val="22"/>
          <w:rFonts w:asciiTheme="minorHAnsi" w:hAnsiTheme="minorHAnsi"/>
        </w:rPr>
        <w:t xml:space="preserve">I diuretici tiazidici non sono adatti per l'uso in pazienti con anamnesi di ipokaliemia significativa (K sierico &lt;3,0 mg/L), iponatriemia (Na sierico &lt; 130 mEq/L), ipercalcemia (Ca sierico corretto &gt;10,6 mg/dL) o gotta.</w:t>
      </w:r>
    </w:p>
    <w:p w14:paraId="2C1E893E" w14:textId="77777777" w:rsidR="0077695B" w:rsidRPr="00AE15DA" w:rsidRDefault="0077695B" w:rsidP="0043334F">
      <w:pPr>
        <w:spacing w:before="100" w:beforeAutospacing="1" w:after="100" w:afterAutospacing="1"/>
        <w:contextualSpacing/>
        <w:jc w:val="both"/>
        <w:rPr>
          <w:rFonts w:asciiTheme="minorHAnsi" w:hAnsiTheme="minorHAnsi"/>
          <w:b/>
          <w:sz w:val="22"/>
          <w:szCs w:val="22"/>
        </w:rPr>
      </w:pPr>
    </w:p>
    <w:p w14:paraId="2FED048F" w14:textId="77777777" w:rsidR="009B4E92" w:rsidRPr="00AE15DA" w:rsidRDefault="009B4E92" w:rsidP="0043334F">
      <w:pPr>
        <w:spacing w:before="100" w:beforeAutospacing="1" w:after="100" w:afterAutospacing="1"/>
        <w:contextualSpacing/>
        <w:jc w:val="both"/>
        <w:rPr>
          <w:rFonts w:asciiTheme="minorHAnsi" w:hAnsiTheme="minorHAnsi"/>
          <w:b/>
          <w:sz w:val="22"/>
          <w:szCs w:val="22"/>
        </w:rPr>
      </w:pPr>
    </w:p>
    <w:p w14:paraId="32D4A144" w14:textId="77777777" w:rsidR="006C24B0" w:rsidRPr="00AE15DA" w:rsidRDefault="006C24B0" w:rsidP="0043334F">
      <w:pPr>
        <w:spacing w:before="100" w:beforeAutospacing="1"/>
        <w:contextualSpacing/>
        <w:jc w:val="both"/>
        <w:rPr>
          <w:b/>
          <w:sz w:val="22"/>
          <w:szCs w:val="22"/>
          <w:rFonts w:asciiTheme="minorHAnsi" w:hAnsiTheme="minorHAnsi"/>
        </w:rPr>
      </w:pPr>
      <w:r>
        <w:rPr>
          <w:b/>
          <w:sz w:val="22"/>
          <w:szCs w:val="22"/>
          <w:rFonts w:asciiTheme="minorHAnsi" w:hAnsiTheme="minorHAnsi"/>
        </w:rPr>
        <w:t xml:space="preserve">A18.</w:t>
      </w:r>
      <w:r>
        <w:rPr>
          <w:b/>
          <w:sz w:val="22"/>
          <w:szCs w:val="22"/>
          <w:rFonts w:asciiTheme="minorHAnsi" w:hAnsiTheme="minorHAnsi"/>
        </w:rPr>
        <w:t xml:space="preserve"> </w:t>
      </w:r>
      <w:r>
        <w:rPr>
          <w:b/>
          <w:sz w:val="22"/>
          <w:szCs w:val="22"/>
          <w:rFonts w:asciiTheme="minorHAnsi" w:hAnsiTheme="minorHAnsi"/>
        </w:rPr>
        <w:t xml:space="preserve">L'uso di NSAİİ non è appropriato nei pazienti con malattie cardiovascolari (ipertensione grave, insufficienza cardiaca o Mİ, ictus) (aumento dell'evento cardiovascolare:</w:t>
      </w:r>
      <w:r>
        <w:rPr>
          <w:b/>
          <w:sz w:val="22"/>
          <w:szCs w:val="22"/>
          <w:rFonts w:asciiTheme="minorHAnsi" w:hAnsiTheme="minorHAnsi"/>
        </w:rPr>
        <w:t xml:space="preserve"> </w:t>
      </w:r>
      <w:r>
        <w:rPr>
          <w:b/>
          <w:sz w:val="22"/>
          <w:szCs w:val="22"/>
          <w:rFonts w:asciiTheme="minorHAnsi" w:hAnsiTheme="minorHAnsi"/>
        </w:rPr>
        <w:t xml:space="preserve">Mİ, ictus, insufficienza cardiaca e rischio di morte)</w:t>
      </w:r>
      <w:r>
        <w:rPr>
          <w:b/>
          <w:sz w:val="22"/>
          <w:szCs w:val="22"/>
          <w:rFonts w:asciiTheme="minorHAnsi" w:hAnsiTheme="minorHAnsi"/>
        </w:rPr>
        <w:t xml:space="preserve"> </w:t>
      </w:r>
    </w:p>
    <w:p w14:paraId="223B73D7" w14:textId="77777777" w:rsidR="006C24B0" w:rsidRPr="00AE15DA" w:rsidRDefault="006C24B0" w:rsidP="0043334F">
      <w:pPr>
        <w:contextualSpacing/>
        <w:jc w:val="both"/>
        <w:rPr>
          <w:i/>
          <w:sz w:val="22"/>
          <w:szCs w:val="22"/>
          <w:rFonts w:asciiTheme="minorHAnsi" w:hAnsiTheme="minorHAnsi"/>
        </w:rPr>
      </w:pPr>
      <w:r>
        <w:rPr>
          <w:i/>
          <w:sz w:val="22"/>
          <w:szCs w:val="22"/>
          <w:rFonts w:asciiTheme="minorHAnsi" w:hAnsiTheme="minorHAnsi"/>
        </w:rPr>
        <w:t xml:space="preserve">*Nei casi in cui l'uso di NSAİİ è clinicamente indicato, può essere preferito l'uso a breve termine con un attento monitoraggio clinico e alla dose più bassa possibile.</w:t>
      </w:r>
      <w:r>
        <w:rPr>
          <w:i/>
          <w:sz w:val="22"/>
          <w:szCs w:val="22"/>
          <w:rFonts w:asciiTheme="minorHAnsi" w:hAnsiTheme="minorHAnsi"/>
        </w:rPr>
        <w:t xml:space="preserve"> </w:t>
      </w:r>
    </w:p>
    <w:p w14:paraId="5DD7B32E" w14:textId="77777777" w:rsidR="006025E9" w:rsidRPr="00AE15DA" w:rsidRDefault="006C24B0" w:rsidP="0043334F">
      <w:pPr>
        <w:contextualSpacing/>
        <w:jc w:val="both"/>
        <w:rPr>
          <w:i/>
          <w:sz w:val="22"/>
          <w:szCs w:val="22"/>
          <w:rFonts w:asciiTheme="minorHAnsi" w:hAnsiTheme="minorHAnsi"/>
        </w:rPr>
      </w:pPr>
      <w:r>
        <w:rPr>
          <w:i/>
          <w:sz w:val="22"/>
          <w:szCs w:val="22"/>
          <w:rFonts w:asciiTheme="minorHAnsi" w:hAnsiTheme="minorHAnsi"/>
        </w:rPr>
        <w:t xml:space="preserve">* Sebbene tutti i NSAİİ siano rischiosi da un punto di vista cardiovascolare, naprossene e ibuprofene possono essere relativamente sicuri.</w:t>
      </w:r>
      <w:r>
        <w:rPr>
          <w:i/>
          <w:sz w:val="22"/>
          <w:szCs w:val="22"/>
          <w:rFonts w:asciiTheme="minorHAnsi" w:hAnsiTheme="minorHAnsi"/>
        </w:rPr>
        <w:t xml:space="preserve"> </w:t>
      </w:r>
    </w:p>
    <w:p w14:paraId="3701CEC4" w14:textId="77777777" w:rsidR="006025E9" w:rsidRPr="00AE15DA" w:rsidRDefault="004F3ECE" w:rsidP="0043334F">
      <w:pPr>
        <w:contextualSpacing/>
        <w:jc w:val="both"/>
        <w:rPr>
          <w:i/>
          <w:sz w:val="22"/>
          <w:szCs w:val="22"/>
          <w:rFonts w:asciiTheme="minorHAnsi" w:hAnsiTheme="minorHAnsi"/>
        </w:rPr>
      </w:pPr>
      <w:r>
        <w:rPr>
          <w:i/>
          <w:sz w:val="22"/>
          <w:szCs w:val="22"/>
          <w:rFonts w:asciiTheme="minorHAnsi" w:hAnsiTheme="minorHAnsi"/>
        </w:rPr>
        <w:t xml:space="preserve">* Se i NSAİİ  devono essere somministrati a un paziente che usa l'aspirina, può essere più appropriato somministrarli almeno 2 ore dopo l'aspirina.</w:t>
      </w:r>
    </w:p>
    <w:p w14:paraId="145E6DCD" w14:textId="77777777" w:rsidR="00D03264" w:rsidRPr="00AE15DA" w:rsidRDefault="00D0326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05A6FCC9" w14:textId="77777777" w:rsidR="00D03264" w:rsidRPr="00AE15DA" w:rsidRDefault="00D0326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723C698B" w14:textId="77777777" w:rsidR="006C24B0" w:rsidRPr="00AE15DA" w:rsidRDefault="006C24B0"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A19.</w:t>
      </w:r>
      <w:r>
        <w:rPr>
          <w:b/>
          <w:sz w:val="22"/>
          <w:szCs w:val="22"/>
          <w:rFonts w:asciiTheme="minorHAnsi" w:hAnsiTheme="minorHAnsi"/>
        </w:rPr>
        <w:t xml:space="preserve"> </w:t>
      </w:r>
      <w:r>
        <w:rPr>
          <w:b/>
          <w:sz w:val="22"/>
          <w:szCs w:val="22"/>
          <w:rFonts w:asciiTheme="minorHAnsi" w:hAnsiTheme="minorHAnsi"/>
        </w:rPr>
        <w:t xml:space="preserve">I beta-bloccanti non sono adatti per i pazienti con DM con frequenti episodi di ipoglicemia (rischio di soppressione dei sintomi ipoglicemici).</w:t>
      </w:r>
    </w:p>
    <w:p w14:paraId="12A9FCBC" w14:textId="77777777" w:rsidR="009B4E92" w:rsidRPr="00AE15DA" w:rsidRDefault="009B4E92"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14:paraId="1A3F951E" w14:textId="77777777" w:rsidR="00D03264" w:rsidRPr="00AE15DA" w:rsidRDefault="00D0326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14486270" w14:textId="77777777" w:rsidR="007662E6" w:rsidRPr="00AE15DA"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2"/>
          <w:szCs w:val="22"/>
          <w:rFonts w:asciiTheme="minorHAnsi" w:hAnsiTheme="minorHAnsi"/>
        </w:rPr>
      </w:pPr>
      <w:r>
        <w:rPr>
          <w:b/>
          <w:sz w:val="22"/>
          <w:szCs w:val="22"/>
          <w:rFonts w:asciiTheme="minorHAnsi" w:hAnsiTheme="minorHAnsi"/>
        </w:rPr>
        <w:t xml:space="preserve">A20.</w:t>
      </w:r>
      <w:r>
        <w:rPr>
          <w:b/>
          <w:sz w:val="22"/>
          <w:szCs w:val="22"/>
          <w:rFonts w:asciiTheme="minorHAnsi" w:hAnsiTheme="minorHAnsi"/>
        </w:rPr>
        <w:t xml:space="preserve"> </w:t>
      </w:r>
      <w:r>
        <w:rPr>
          <w:b/>
          <w:sz w:val="22"/>
          <w:szCs w:val="22"/>
          <w:rFonts w:asciiTheme="minorHAnsi" w:hAnsiTheme="minorHAnsi"/>
        </w:rPr>
        <w:t xml:space="preserve">L'uso di beta-bloccanti non selettivi (orali o topici per il glaucoma) non è appropriato nei pazienti con anamnesi di asma (rischio di aumento del broncospasmo)</w:t>
      </w:r>
    </w:p>
    <w:p w14:paraId="5ECC0BAA" w14:textId="77777777" w:rsidR="00D03264" w:rsidRPr="00AE15DA" w:rsidRDefault="00D03264" w:rsidP="0043334F">
      <w:pPr>
        <w:pStyle w:val="HTMLncedenBiimlendirilmi"/>
        <w:contextualSpacing/>
        <w:jc w:val="both"/>
        <w:rPr>
          <w:rFonts w:asciiTheme="minorHAnsi" w:hAnsiTheme="minorHAnsi" w:cstheme="minorHAnsi"/>
          <w:color w:val="000000"/>
          <w:sz w:val="22"/>
          <w:szCs w:val="22"/>
        </w:rPr>
      </w:pPr>
    </w:p>
    <w:p w14:paraId="54E869D3" w14:textId="77777777" w:rsidR="009B4E92" w:rsidRPr="00AE15DA" w:rsidRDefault="009B4E92" w:rsidP="0043334F">
      <w:pPr>
        <w:pStyle w:val="HTMLncedenBiimlendirilmi"/>
        <w:contextualSpacing/>
        <w:jc w:val="both"/>
        <w:rPr>
          <w:rFonts w:asciiTheme="minorHAnsi" w:hAnsiTheme="minorHAnsi" w:cstheme="minorHAnsi"/>
          <w:color w:val="000000"/>
          <w:sz w:val="22"/>
          <w:szCs w:val="22"/>
        </w:rPr>
      </w:pPr>
    </w:p>
    <w:p w14:paraId="7330A129" w14:textId="77777777" w:rsidR="006C24B0" w:rsidRPr="00AE15DA" w:rsidRDefault="006C24B0" w:rsidP="0043334F">
      <w:pPr>
        <w:pStyle w:val="HTMLncedenBiimlendirilmi"/>
        <w:contextualSpacing/>
        <w:jc w:val="both"/>
        <w:rPr>
          <w:b/>
          <w:sz w:val="22"/>
          <w:szCs w:val="22"/>
          <w:vertAlign w:val="superscript"/>
          <w:rFonts w:asciiTheme="minorHAnsi" w:hAnsiTheme="minorHAnsi" w:cs="Times New Roman"/>
        </w:rPr>
      </w:pPr>
      <w:r>
        <w:rPr>
          <w:b/>
          <w:sz w:val="22"/>
          <w:szCs w:val="22"/>
          <w:rFonts w:asciiTheme="minorHAnsi" w:hAnsiTheme="minorHAnsi"/>
        </w:rPr>
        <w:t xml:space="preserve">A21.</w:t>
      </w:r>
      <w:r>
        <w:rPr>
          <w:b/>
          <w:sz w:val="22"/>
          <w:szCs w:val="22"/>
          <w:rFonts w:asciiTheme="minorHAnsi" w:hAnsiTheme="minorHAnsi"/>
        </w:rPr>
        <w:t xml:space="preserve"> </w:t>
      </w:r>
      <w:r>
        <w:rPr>
          <w:b/>
          <w:sz w:val="22"/>
          <w:szCs w:val="22"/>
          <w:rFonts w:asciiTheme="minorHAnsi" w:hAnsiTheme="minorHAnsi"/>
        </w:rPr>
        <w:t xml:space="preserve">L'uso cronico di aspirina a dosi superiori a 75-150 mg/die non è appropriato per la protezione cardiovascolare primaria o secondaria (nessun beneficio aggiuntivo dimostrato e aumenta il rischio di sanguinamento)</w:t>
      </w:r>
    </w:p>
    <w:p w14:paraId="2BA3961C" w14:textId="77777777" w:rsidR="006C24B0" w:rsidRPr="00AE15DA" w:rsidRDefault="006C24B0" w:rsidP="0043334F">
      <w:pPr>
        <w:pStyle w:val="HTMLncedenBiimlendirilmi"/>
        <w:contextualSpacing/>
        <w:jc w:val="both"/>
        <w:rPr>
          <w:rFonts w:asciiTheme="minorHAnsi" w:hAnsiTheme="minorHAnsi" w:cs="Times New Roman"/>
          <w:b/>
          <w:color w:val="000000" w:themeColor="text1"/>
          <w:sz w:val="22"/>
          <w:szCs w:val="22"/>
        </w:rPr>
      </w:pPr>
    </w:p>
    <w:p w14:paraId="6369DB6A" w14:textId="77777777" w:rsidR="0092741D" w:rsidRPr="00AE15DA" w:rsidRDefault="0092741D" w:rsidP="0043334F">
      <w:pPr>
        <w:spacing w:before="100" w:beforeAutospacing="1" w:after="100" w:afterAutospacing="1"/>
        <w:contextualSpacing/>
        <w:jc w:val="both"/>
        <w:rPr>
          <w:rFonts w:asciiTheme="minorHAnsi" w:hAnsiTheme="minorHAnsi"/>
          <w:b/>
          <w:sz w:val="22"/>
          <w:szCs w:val="22"/>
        </w:rPr>
      </w:pPr>
    </w:p>
    <w:p w14:paraId="6F136C9D" w14:textId="77777777" w:rsidR="009B4E92" w:rsidRPr="00AE15DA" w:rsidRDefault="009B4E92" w:rsidP="0043334F">
      <w:pPr>
        <w:spacing w:before="100" w:beforeAutospacing="1" w:after="100" w:afterAutospacing="1"/>
        <w:contextualSpacing/>
        <w:jc w:val="both"/>
        <w:rPr>
          <w:rFonts w:asciiTheme="minorHAnsi" w:hAnsiTheme="minorHAnsi"/>
          <w:b/>
          <w:sz w:val="22"/>
          <w:szCs w:val="22"/>
        </w:rPr>
      </w:pPr>
    </w:p>
    <w:p w14:paraId="573AAD95" w14:textId="7DEA8004" w:rsidR="009B4E92" w:rsidRPr="00AE15DA" w:rsidRDefault="00E66E29" w:rsidP="0043334F">
      <w:pPr>
        <w:spacing w:before="100" w:beforeAutospacing="1" w:after="100" w:afterAutospacing="1"/>
        <w:contextualSpacing/>
        <w:jc w:val="both"/>
        <w:rPr>
          <w:b/>
          <w:sz w:val="22"/>
          <w:szCs w:val="22"/>
          <w:rFonts w:asciiTheme="minorHAnsi" w:hAnsiTheme="minorHAnsi"/>
        </w:rPr>
      </w:pPr>
      <w:r>
        <w:rPr>
          <w:b/>
          <w:sz w:val="22"/>
          <w:szCs w:val="22"/>
          <w:rFonts w:ascii="Calibri" w:hAnsi="Calibri"/>
        </w:rPr>
        <w:t xml:space="preserve">#</w:t>
      </w:r>
      <w:r>
        <w:rPr>
          <w:b/>
          <w:sz w:val="22"/>
          <w:szCs w:val="22"/>
          <w:rFonts w:asciiTheme="minorHAnsi" w:hAnsiTheme="minorHAnsi"/>
        </w:rPr>
        <w:t xml:space="preserve">A22.</w:t>
      </w:r>
      <w:r>
        <w:rPr>
          <w:b/>
          <w:sz w:val="22"/>
          <w:szCs w:val="22"/>
          <w:rFonts w:asciiTheme="minorHAnsi" w:hAnsiTheme="minorHAnsi"/>
        </w:rPr>
        <w:t xml:space="preserve"> </w:t>
      </w:r>
      <w:r>
        <w:rPr>
          <w:b/>
          <w:sz w:val="22"/>
          <w:szCs w:val="22"/>
          <w:rFonts w:asciiTheme="minorHAnsi" w:hAnsiTheme="minorHAnsi"/>
        </w:rPr>
        <w:t xml:space="preserve">L'uso di aspirina, clopidogrel, dipiridamolo e OAK (antagonisti della vitamina K, inibitori diretti della trombina o inibitori del fattore Xa) non è appropriato in presenza di un rischio di sanguinamento significativo (ad esempio, quelli con HT grave non controllata, diatesi emorragica, sanguinamento spontaneo significativo) (alto rischio di sanguinamento).</w:t>
      </w:r>
      <w:r>
        <w:rPr>
          <w:b/>
          <w:sz w:val="22"/>
          <w:szCs w:val="22"/>
          <w:rFonts w:asciiTheme="minorHAnsi" w:hAnsiTheme="minorHAnsi"/>
        </w:rPr>
        <w:t xml:space="preserve"> </w:t>
      </w:r>
    </w:p>
    <w:p w14:paraId="0122125C" w14:textId="77777777" w:rsidR="00C75B3A" w:rsidRPr="00AE15DA" w:rsidRDefault="00C75B3A" w:rsidP="0043334F">
      <w:pPr>
        <w:spacing w:before="100" w:beforeAutospacing="1" w:after="100" w:afterAutospacing="1"/>
        <w:contextualSpacing/>
        <w:jc w:val="both"/>
        <w:rPr>
          <w:rFonts w:asciiTheme="minorHAnsi" w:hAnsiTheme="minorHAnsi"/>
          <w:b/>
          <w:sz w:val="22"/>
          <w:szCs w:val="22"/>
        </w:rPr>
      </w:pPr>
    </w:p>
    <w:p w14:paraId="377950A9" w14:textId="77777777" w:rsidR="00C75B3A" w:rsidRPr="00AE15DA" w:rsidRDefault="00C75B3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4418301F" w14:textId="77777777" w:rsidR="00E67728" w:rsidRPr="00AE15DA" w:rsidRDefault="007662E6"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2"/>
          <w:szCs w:val="22"/>
          <w:rFonts w:asciiTheme="minorHAnsi" w:hAnsiTheme="minorHAnsi" w:cstheme="minorHAnsi"/>
        </w:rPr>
      </w:pPr>
      <w:r>
        <w:rPr>
          <w:b/>
          <w:sz w:val="22"/>
          <w:szCs w:val="22"/>
          <w:rFonts w:asciiTheme="minorHAnsi" w:hAnsiTheme="minorHAnsi"/>
        </w:rPr>
        <w:t xml:space="preserve">A23.</w:t>
      </w:r>
      <w:r>
        <w:rPr>
          <w:b/>
          <w:sz w:val="22"/>
          <w:szCs w:val="22"/>
          <w:rFonts w:asciiTheme="minorHAnsi" w:hAnsiTheme="minorHAnsi"/>
        </w:rPr>
        <w:t xml:space="preserve"> </w:t>
      </w:r>
      <w:r>
        <w:rPr>
          <w:b/>
          <w:sz w:val="22"/>
          <w:szCs w:val="22"/>
          <w:color w:val="222222"/>
          <w:rFonts w:asciiTheme="minorHAnsi" w:hAnsiTheme="minorHAnsi"/>
        </w:rPr>
        <w:t xml:space="preserve">L'uso concomitante di aspirina e clopidogrel non è appropriato per la profilassi dell'ictus secondario a meno che non vi sia un'indicazione specifica per l'uso combinato di aspirina e clopidogrel.</w:t>
      </w:r>
    </w:p>
    <w:p w14:paraId="6EFAEF19" w14:textId="77777777" w:rsidR="003400E8" w:rsidRPr="00AE15DA" w:rsidRDefault="003400E8" w:rsidP="0043334F">
      <w:pPr>
        <w:contextualSpacing/>
        <w:jc w:val="both"/>
        <w:rPr>
          <w:i/>
          <w:sz w:val="22"/>
          <w:szCs w:val="22"/>
          <w:rFonts w:asciiTheme="minorHAnsi" w:hAnsiTheme="minorHAnsi"/>
        </w:rPr>
      </w:pPr>
      <w:r>
        <w:rPr>
          <w:i/>
          <w:sz w:val="22"/>
          <w:szCs w:val="22"/>
          <w:rFonts w:asciiTheme="minorHAnsi" w:hAnsiTheme="minorHAnsi"/>
        </w:rPr>
        <w:t xml:space="preserve">*Condizioni in cui è appropriato l'uso combinato di aspirina + clopidogrel</w:t>
      </w:r>
    </w:p>
    <w:p w14:paraId="2BB38A1E" w14:textId="77777777" w:rsidR="00372860" w:rsidRPr="00AE15DA" w:rsidRDefault="00372860"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 xml:space="preserve">1. ha avuto una sindrome coronarica acuta o un intervento coronarico negli ultimi 12 mesi (palloncino e/o stent)</w:t>
      </w:r>
    </w:p>
    <w:p w14:paraId="21C67A71" w14:textId="77777777" w:rsidR="00372860" w:rsidRPr="00AE15DA" w:rsidRDefault="00372860"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 xml:space="preserve">2. Aver subito un intervento nell'ultimo mese per malattia arteriosa periferica</w:t>
      </w:r>
      <w:r>
        <w:rPr>
          <w:i/>
          <w:sz w:val="22"/>
          <w:szCs w:val="22"/>
          <w:rFonts w:asciiTheme="minorHAnsi" w:hAnsiTheme="minorHAnsi"/>
        </w:rPr>
        <w:t xml:space="preserve"> </w:t>
      </w:r>
    </w:p>
    <w:p w14:paraId="5653F6D9" w14:textId="77777777" w:rsidR="00372860" w:rsidRPr="00AE15DA" w:rsidRDefault="004F3ECE"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ab/>
      </w:r>
      <w:r>
        <w:rPr>
          <w:i/>
          <w:sz w:val="22"/>
          <w:szCs w:val="22"/>
          <w:rFonts w:asciiTheme="minorHAnsi" w:hAnsiTheme="minorHAnsi"/>
        </w:rPr>
        <w:t xml:space="preserve">Posizionamento di stent (a causa di stenosi dell'arteria carotidea/malattia dell'arteria degli arti inferiori) nell'ultimo mese</w:t>
      </w:r>
    </w:p>
    <w:p w14:paraId="6E31CCB4" w14:textId="77777777" w:rsidR="00372860" w:rsidRPr="00AE15DA" w:rsidRDefault="00372860"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ab/>
      </w:r>
      <w:r>
        <w:rPr>
          <w:i/>
          <w:sz w:val="22"/>
          <w:szCs w:val="22"/>
          <w:rFonts w:asciiTheme="minorHAnsi" w:hAnsiTheme="minorHAnsi"/>
        </w:rPr>
        <w:t xml:space="preserve">Applicazione del palloncino all'arto inferiore nell'ultimo mese</w:t>
      </w:r>
    </w:p>
    <w:p w14:paraId="0787087C" w14:textId="77777777" w:rsidR="00372860" w:rsidRPr="00AE15DA" w:rsidRDefault="00372860" w:rsidP="0043334F">
      <w:pPr>
        <w:contextualSpacing/>
        <w:jc w:val="both"/>
        <w:rPr>
          <w:i/>
          <w:sz w:val="22"/>
          <w:szCs w:val="22"/>
          <w:rFonts w:asciiTheme="minorHAnsi" w:hAnsiTheme="minorHAnsi"/>
        </w:rPr>
      </w:pPr>
      <w:r>
        <w:rPr>
          <w:i/>
          <w:sz w:val="22"/>
          <w:szCs w:val="22"/>
          <w:rFonts w:asciiTheme="minorHAnsi" w:hAnsiTheme="minorHAnsi"/>
        </w:rPr>
        <w:t xml:space="preserve">3. avere avuto un ictus-GİA nelle ultime 3 settimane-3 mesi</w:t>
      </w:r>
    </w:p>
    <w:p w14:paraId="625D3085" w14:textId="77777777" w:rsidR="00372860" w:rsidRPr="00AE15DA" w:rsidRDefault="004F3ECE" w:rsidP="0043334F">
      <w:pPr>
        <w:ind w:firstLine="708"/>
        <w:contextualSpacing/>
        <w:jc w:val="both"/>
        <w:rPr>
          <w:i/>
          <w:sz w:val="22"/>
          <w:szCs w:val="22"/>
          <w:rFonts w:asciiTheme="minorHAnsi" w:hAnsiTheme="minorHAnsi"/>
        </w:rPr>
      </w:pPr>
      <w:r>
        <w:rPr>
          <w:i/>
          <w:sz w:val="22"/>
          <w:szCs w:val="22"/>
          <w:rFonts w:asciiTheme="minorHAnsi" w:hAnsiTheme="minorHAnsi"/>
        </w:rPr>
        <w:t xml:space="preserve">per 3 mesi in caso di ictus o GİA da aterosclerosi intracranica</w:t>
      </w:r>
    </w:p>
    <w:p w14:paraId="2C1B565A" w14:textId="77777777" w:rsidR="00372860" w:rsidRPr="00AE15DA" w:rsidRDefault="004F3ECE" w:rsidP="0043334F">
      <w:pPr>
        <w:ind w:firstLine="708"/>
        <w:contextualSpacing/>
        <w:jc w:val="both"/>
        <w:rPr>
          <w:i/>
          <w:sz w:val="22"/>
          <w:szCs w:val="22"/>
          <w:rFonts w:asciiTheme="minorHAnsi" w:hAnsiTheme="minorHAnsi"/>
        </w:rPr>
      </w:pPr>
      <w:r>
        <w:rPr>
          <w:i/>
          <w:sz w:val="22"/>
          <w:szCs w:val="22"/>
          <w:rFonts w:asciiTheme="minorHAnsi" w:hAnsiTheme="minorHAnsi"/>
        </w:rPr>
        <w:t xml:space="preserve">per 3 settimane in casi di ictus minore o GİA </w:t>
      </w:r>
      <w:r>
        <w:rPr>
          <w:i/>
          <w:sz w:val="22"/>
          <w:szCs w:val="22"/>
          <w:rFonts w:asciiTheme="minorHAnsi" w:hAnsiTheme="minorHAnsi"/>
        </w:rPr>
        <w:t xml:space="preserve">  </w:t>
      </w:r>
    </w:p>
    <w:p w14:paraId="2FCC9416" w14:textId="77777777" w:rsidR="00C477FF" w:rsidRPr="00AE15DA" w:rsidRDefault="00C477FF" w:rsidP="0043334F">
      <w:pPr>
        <w:ind w:firstLine="709"/>
        <w:contextualSpacing/>
        <w:jc w:val="both"/>
        <w:rPr>
          <w:rFonts w:asciiTheme="minorHAnsi" w:hAnsiTheme="minorHAnsi"/>
          <w:i/>
          <w:sz w:val="22"/>
          <w:szCs w:val="22"/>
        </w:rPr>
      </w:pPr>
    </w:p>
    <w:p w14:paraId="5DAE2BFD" w14:textId="77777777" w:rsidR="00701618" w:rsidRPr="00AE15DA" w:rsidRDefault="00701618" w:rsidP="0043334F">
      <w:pPr>
        <w:pStyle w:val="HTMLncedenBiimlendirilmi"/>
        <w:contextualSpacing/>
        <w:jc w:val="both"/>
        <w:rPr>
          <w:rFonts w:asciiTheme="minorHAnsi" w:hAnsiTheme="minorHAnsi" w:cs="Times New Roman"/>
          <w:b/>
          <w:sz w:val="22"/>
          <w:szCs w:val="22"/>
        </w:rPr>
      </w:pPr>
    </w:p>
    <w:p w14:paraId="7DDA7E52" w14:textId="2DB12F13" w:rsidR="006C24B0" w:rsidRPr="00AE15DA" w:rsidRDefault="006C24B0" w:rsidP="0043334F">
      <w:pPr>
        <w:pStyle w:val="HTMLncedenBiimlendirilmi"/>
        <w:contextualSpacing/>
        <w:jc w:val="both"/>
        <w:rPr>
          <w:b/>
          <w:sz w:val="22"/>
          <w:szCs w:val="22"/>
          <w:rFonts w:asciiTheme="minorHAnsi" w:hAnsiTheme="minorHAnsi" w:cs="Times New Roman"/>
        </w:rPr>
      </w:pPr>
      <w:r>
        <w:rPr>
          <w:sz w:val="22"/>
          <w:szCs w:val="22"/>
          <w:b/>
          <w:rFonts w:asciiTheme="minorHAnsi" w:hAnsiTheme="minorHAnsi"/>
        </w:rPr>
        <w:t xml:space="preserve">A24.</w:t>
      </w:r>
      <w:r>
        <w:rPr>
          <w:sz w:val="22"/>
          <w:szCs w:val="22"/>
          <w:b/>
          <w:rFonts w:asciiTheme="minorHAnsi" w:hAnsiTheme="minorHAnsi"/>
        </w:rPr>
        <w:t xml:space="preserve"> </w:t>
      </w:r>
      <w:r>
        <w:rPr>
          <w:sz w:val="22"/>
          <w:szCs w:val="22"/>
        </w:rPr>
        <w:t xml:space="preserve">Se non vi sono ulteriori indicazioni per l'uso di aspirina/clopidogrel in pazienti che utilizzano OAC per FA cronica o per qualsiasi altro motivo, non è appropriato aggiungere aspirina/clopidogrel al trattamento (nessun beneficio aggiuntivo con l'aspirina)</w:t>
      </w:r>
    </w:p>
    <w:p w14:paraId="422D01D5" w14:textId="77777777" w:rsidR="006C24B0" w:rsidRPr="00AE15DA" w:rsidRDefault="006C24B0"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 xml:space="preserve">*Le condizioni in cui è appropriato aggiungere aspirina/clopidogrel al trattamento in pazienti con uso di OAK sono le seguenti:</w:t>
      </w:r>
    </w:p>
    <w:p w14:paraId="53AC0D89" w14:textId="77777777" w:rsidR="00733DA9" w:rsidRPr="00AE15DA" w:rsidRDefault="006C24B0"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 xml:space="preserve">1. Sindrome coronarica acuta o intervento coronarico negli ultimi 12 mesi (palloncino e/o stent)</w:t>
      </w:r>
    </w:p>
    <w:p w14:paraId="0A9033B7" w14:textId="77777777" w:rsidR="00733DA9" w:rsidRPr="00AE15DA" w:rsidRDefault="00733DA9"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 xml:space="preserve">2. Aver subito un intervento nell'ultimo mese per malattia arteriosa periferica</w:t>
      </w:r>
      <w:r>
        <w:rPr>
          <w:i/>
          <w:sz w:val="22"/>
          <w:szCs w:val="22"/>
          <w:rFonts w:asciiTheme="minorHAnsi" w:hAnsiTheme="minorHAnsi"/>
        </w:rPr>
        <w:t xml:space="preserve"> </w:t>
      </w:r>
    </w:p>
    <w:p w14:paraId="591C9905" w14:textId="77777777" w:rsidR="00733DA9" w:rsidRPr="00AE15DA" w:rsidRDefault="00733DA9"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ab/>
      </w:r>
      <w:r>
        <w:rPr>
          <w:i/>
          <w:sz w:val="22"/>
          <w:szCs w:val="22"/>
          <w:rFonts w:asciiTheme="minorHAnsi" w:hAnsiTheme="minorHAnsi"/>
        </w:rPr>
        <w:t xml:space="preserve">Posizionamento di stent (a causa di stenosi dell'arteria carotidea/malattia dell'arteria degli arti inferiori) nell'ultimo mese</w:t>
      </w:r>
    </w:p>
    <w:p w14:paraId="39272EBB" w14:textId="77777777" w:rsidR="004A3626" w:rsidRPr="00AE15DA" w:rsidRDefault="00733DA9"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ab/>
      </w:r>
      <w:r>
        <w:rPr>
          <w:i/>
          <w:sz w:val="22"/>
          <w:szCs w:val="22"/>
          <w:rFonts w:asciiTheme="minorHAnsi" w:hAnsiTheme="minorHAnsi"/>
        </w:rPr>
        <w:t xml:space="preserve">Applicazione del palloncino all'arto inferiore nell'ultimo mese</w:t>
      </w:r>
    </w:p>
    <w:p w14:paraId="2F389493" w14:textId="77777777" w:rsidR="006C24B0" w:rsidRPr="00AE15DA" w:rsidRDefault="006C24B0"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 xml:space="preserve">*L'aggiunta di aspirina/clopidogrel al trattamento non è appropriata nei pazienti che usano l'OAK nei seguenti casi:</w:t>
      </w:r>
    </w:p>
    <w:p w14:paraId="28A8A0AC" w14:textId="77777777" w:rsidR="006C24B0" w:rsidRPr="00AE15DA" w:rsidRDefault="006C24B0"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 xml:space="preserve">1. Malattia arteriosa periferica (stenosi dell'arteria carotidea, malattia delle arterie degli arti inferiori, aterosclerosi intracerebrale) ad eccezione delle condizioni di cui sopra</w:t>
      </w:r>
    </w:p>
    <w:p w14:paraId="6828B515" w14:textId="77777777" w:rsidR="00C75B3A" w:rsidRPr="00AE15DA" w:rsidRDefault="006C24B0"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 xml:space="preserve">2. malattia coronarica stabile (es. sindrome coronarica acuta più di 12 mesi fa o intervento coronarico)</w:t>
      </w:r>
    </w:p>
    <w:p w14:paraId="76EDB675" w14:textId="77777777" w:rsidR="00873A44" w:rsidRPr="00AE15DA" w:rsidRDefault="00873A44" w:rsidP="0043334F">
      <w:pPr>
        <w:spacing w:before="100" w:beforeAutospacing="1" w:after="100" w:afterAutospacing="1"/>
        <w:contextualSpacing/>
        <w:jc w:val="both"/>
        <w:rPr>
          <w:rFonts w:asciiTheme="minorHAnsi" w:hAnsiTheme="minorHAnsi"/>
          <w:b/>
          <w:sz w:val="22"/>
          <w:szCs w:val="22"/>
        </w:rPr>
      </w:pPr>
    </w:p>
    <w:p w14:paraId="187D90D4" w14:textId="77777777" w:rsidR="0096214E" w:rsidRPr="00AE15DA" w:rsidRDefault="00112690"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A25.</w:t>
      </w:r>
      <w:r>
        <w:rPr>
          <w:b/>
          <w:sz w:val="22"/>
          <w:szCs w:val="22"/>
          <w:rFonts w:asciiTheme="minorHAnsi" w:hAnsiTheme="minorHAnsi"/>
        </w:rPr>
        <w:t xml:space="preserve"> </w:t>
      </w:r>
      <w:r>
        <w:rPr>
          <w:b/>
          <w:sz w:val="22"/>
          <w:szCs w:val="22"/>
          <w:rFonts w:asciiTheme="minorHAnsi" w:hAnsiTheme="minorHAnsi"/>
        </w:rPr>
        <w:t xml:space="preserve">Gli OAK (antagonisti della vitamina K, inibitori diretti della trombina o inibitori del fattore Xa) non sono adatti per l'uso per più di 6 mesi nella prima trombosi venosa profonda senza fattori di rischio in corso (nessun beneficio aggiuntivo dimostrato)</w:t>
      </w:r>
    </w:p>
    <w:p w14:paraId="5295DF9E" w14:textId="77777777" w:rsidR="00C75B3A" w:rsidRPr="00AE15DA" w:rsidRDefault="00C75B3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5AB08810" w14:textId="77777777" w:rsidR="00C75B3A" w:rsidRPr="00AE15DA" w:rsidRDefault="00C75B3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4160BB95" w14:textId="283E2186" w:rsidR="00112690" w:rsidRPr="00AE15DA" w:rsidRDefault="00E66E29"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2"/>
          <w:szCs w:val="22"/>
          <w:rFonts w:asciiTheme="minorHAnsi" w:hAnsiTheme="minorHAnsi" w:cstheme="minorHAnsi"/>
        </w:rPr>
      </w:pPr>
      <w:r>
        <w:rPr>
          <w:b/>
          <w:sz w:val="22"/>
          <w:szCs w:val="22"/>
          <w:rFonts w:ascii="Calibri" w:hAnsi="Calibri"/>
        </w:rPr>
        <w:t xml:space="preserve">#</w:t>
      </w:r>
      <w:r>
        <w:rPr>
          <w:b/>
          <w:sz w:val="22"/>
          <w:szCs w:val="22"/>
          <w:rFonts w:asciiTheme="minorHAnsi" w:hAnsiTheme="minorHAnsi"/>
        </w:rPr>
        <w:t xml:space="preserve">A26.</w:t>
      </w:r>
      <w:r>
        <w:rPr>
          <w:b/>
          <w:sz w:val="22"/>
          <w:szCs w:val="22"/>
          <w:rFonts w:asciiTheme="minorHAnsi" w:hAnsiTheme="minorHAnsi"/>
        </w:rPr>
        <w:t xml:space="preserve"> </w:t>
      </w:r>
      <w:r>
        <w:rPr>
          <w:b/>
          <w:sz w:val="22"/>
          <w:szCs w:val="22"/>
          <w:rFonts w:asciiTheme="minorHAnsi" w:hAnsiTheme="minorHAnsi"/>
        </w:rPr>
        <w:t xml:space="preserve">Gli OAK (antagonisti della vitamina K, inibitori diretti della trombina o inibitori del fattore Xa) non sono adatti per l'uso per più di 12 mesi nell'embolia polmonare per la prima volta senza fattori di rischio in corso (nessun beneficio aggiuntivo dimostrato)</w:t>
      </w:r>
      <w:r>
        <w:rPr>
          <w:b/>
          <w:sz w:val="22"/>
          <w:szCs w:val="22"/>
          <w:rFonts w:asciiTheme="minorHAnsi" w:hAnsiTheme="minorHAnsi"/>
        </w:rPr>
        <w:t xml:space="preserve"> </w:t>
      </w:r>
    </w:p>
    <w:p w14:paraId="370920F1" w14:textId="77777777" w:rsidR="00873A44" w:rsidRPr="00AE15DA" w:rsidRDefault="00873A4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37312757" w14:textId="77777777" w:rsidR="00873A44" w:rsidRPr="00AE15DA" w:rsidRDefault="00873A44" w:rsidP="0043334F">
      <w:pPr>
        <w:pStyle w:val="HTMLncedenBiimlendirilmi"/>
        <w:contextualSpacing/>
        <w:jc w:val="both"/>
        <w:rPr>
          <w:rFonts w:asciiTheme="minorHAnsi" w:hAnsiTheme="minorHAnsi" w:cs="Times New Roman"/>
          <w:b/>
          <w:sz w:val="22"/>
          <w:szCs w:val="22"/>
        </w:rPr>
      </w:pPr>
    </w:p>
    <w:p w14:paraId="73BF1376" w14:textId="25C62E19" w:rsidR="00706F21" w:rsidRPr="00AE15DA" w:rsidRDefault="00E66E29" w:rsidP="0043334F">
      <w:pPr>
        <w:pStyle w:val="HTMLncedenBiimlendirilmi"/>
        <w:contextualSpacing/>
        <w:jc w:val="both"/>
        <w:rPr>
          <w:b/>
          <w:sz w:val="22"/>
          <w:szCs w:val="22"/>
          <w:rFonts w:asciiTheme="minorHAnsi" w:hAnsiTheme="minorHAnsi" w:cs="Times New Roman"/>
        </w:rPr>
      </w:pPr>
      <w:r>
        <w:rPr>
          <w:b/>
          <w:sz w:val="22"/>
          <w:szCs w:val="22"/>
          <w:rFonts w:ascii="Calibri" w:hAnsi="Calibri"/>
        </w:rPr>
        <w:t xml:space="preserve">#</w:t>
      </w:r>
      <w:r>
        <w:rPr>
          <w:b/>
          <w:sz w:val="22"/>
          <w:szCs w:val="22"/>
          <w:rFonts w:asciiTheme="minorHAnsi" w:hAnsiTheme="minorHAnsi"/>
        </w:rPr>
        <w:t xml:space="preserve">A27.</w:t>
      </w:r>
      <w:r>
        <w:rPr>
          <w:b/>
          <w:sz w:val="22"/>
          <w:szCs w:val="22"/>
          <w:rFonts w:asciiTheme="minorHAnsi" w:hAnsiTheme="minorHAnsi"/>
        </w:rPr>
        <w:t xml:space="preserve"> </w:t>
      </w:r>
      <w:r>
        <w:rPr>
          <w:b/>
          <w:sz w:val="22"/>
          <w:szCs w:val="22"/>
          <w:rFonts w:asciiTheme="minorHAnsi" w:hAnsiTheme="minorHAnsi"/>
        </w:rPr>
        <w:t xml:space="preserve">La monoterapia con aspirina o clopidogrel non è appropriata nei pazienti con AF cronica per i quali gli OAK (antagonisti della vitamina K, inibitori diretti della trombina o inibitori del fattore Xa) sono controindicati.</w:t>
      </w:r>
      <w:r>
        <w:rPr>
          <w:b/>
          <w:sz w:val="22"/>
          <w:szCs w:val="22"/>
          <w:rFonts w:asciiTheme="minorHAnsi" w:hAnsiTheme="minorHAnsi"/>
        </w:rPr>
        <w:t xml:space="preserve"> </w:t>
      </w:r>
    </w:p>
    <w:p w14:paraId="045A946D" w14:textId="77777777" w:rsidR="005A554D" w:rsidRPr="00AE15DA" w:rsidRDefault="00706F21" w:rsidP="0043334F">
      <w:pPr>
        <w:pStyle w:val="HTMLncedenBiimlendirilmi"/>
        <w:contextualSpacing/>
        <w:jc w:val="both"/>
        <w:rPr>
          <w:i/>
          <w:sz w:val="22"/>
          <w:szCs w:val="22"/>
          <w:rFonts w:asciiTheme="minorHAnsi" w:hAnsiTheme="minorHAnsi" w:cs="Times New Roman"/>
        </w:rPr>
      </w:pPr>
      <w:r>
        <w:rPr>
          <w:sz w:val="22"/>
          <w:szCs w:val="22"/>
          <w:rFonts w:asciiTheme="minorHAnsi" w:hAnsiTheme="minorHAnsi"/>
        </w:rPr>
        <w:t xml:space="preserve">*La monoterapia con aspirina o clopidogrel non è raccomandata per la prevenzione dell'ictus nei pazienti con AF, è dannosa.</w:t>
      </w:r>
    </w:p>
    <w:p w14:paraId="21FCC522" w14:textId="77777777" w:rsidR="005A554D" w:rsidRPr="00AE15DA" w:rsidRDefault="005A554D" w:rsidP="0043334F">
      <w:pPr>
        <w:contextualSpacing/>
        <w:jc w:val="both"/>
        <w:rPr>
          <w:i/>
          <w:color w:val="5B9BD5" w:themeColor="accent1"/>
          <w:sz w:val="22"/>
          <w:szCs w:val="22"/>
          <w:shd w:val="clear" w:color="auto" w:fill="FFFFFF"/>
          <w:rFonts w:asciiTheme="minorHAnsi" w:hAnsiTheme="minorHAnsi"/>
        </w:rPr>
      </w:pPr>
      <w:r>
        <w:rPr>
          <w:i/>
          <w:color w:val="000000" w:themeColor="text1"/>
          <w:sz w:val="22"/>
          <w:szCs w:val="22"/>
          <w:shd w:val="clear" w:color="auto" w:fill="FFFFFF"/>
          <w:rFonts w:asciiTheme="minorHAnsi" w:hAnsiTheme="minorHAnsi"/>
        </w:rPr>
        <w:t xml:space="preserve">*Anche la doppia terapia antiaggregante non è raccomandata nei pazienti con OAK controindicata a causa del rischio di sanguinamento.</w:t>
      </w:r>
    </w:p>
    <w:p w14:paraId="79237148" w14:textId="77777777" w:rsidR="006C24B0" w:rsidRPr="00AE15DA" w:rsidRDefault="005A554D" w:rsidP="0043334F">
      <w:pPr>
        <w:contextualSpacing/>
        <w:jc w:val="both"/>
        <w:rPr>
          <w:i/>
          <w:color w:val="000000" w:themeColor="text1"/>
          <w:sz w:val="22"/>
          <w:szCs w:val="22"/>
          <w:shd w:val="clear" w:color="auto" w:fill="FFFFFF"/>
          <w:rFonts w:asciiTheme="minorHAnsi" w:hAnsiTheme="minorHAnsi"/>
        </w:rPr>
      </w:pPr>
      <w:r>
        <w:rPr>
          <w:i/>
          <w:color w:val="000000" w:themeColor="text1"/>
          <w:sz w:val="22"/>
          <w:szCs w:val="22"/>
          <w:shd w:val="clear" w:color="auto" w:fill="FFFFFF"/>
          <w:rFonts w:asciiTheme="minorHAnsi" w:hAnsiTheme="minorHAnsi"/>
        </w:rPr>
        <w:t xml:space="preserve">* In questi pazienti, nei casi ad alto rischio di ictus, può essere raccomandata la chiusura dell'appendice atriale sinistra.</w:t>
      </w:r>
      <w:r>
        <w:rPr>
          <w:i/>
          <w:color w:val="000000" w:themeColor="text1"/>
          <w:sz w:val="22"/>
          <w:szCs w:val="22"/>
          <w:shd w:val="clear" w:color="auto" w:fill="FFFFFF"/>
          <w:rFonts w:asciiTheme="minorHAnsi" w:hAnsiTheme="minorHAnsi"/>
        </w:rPr>
        <w:t xml:space="preserve"> </w:t>
      </w:r>
    </w:p>
    <w:p w14:paraId="6599E1B5" w14:textId="77777777" w:rsidR="00A67B6A" w:rsidRPr="00AE15DA" w:rsidRDefault="00A67B6A" w:rsidP="0043334F">
      <w:pPr>
        <w:pStyle w:val="HTMLncedenBiimlendirilmi"/>
        <w:contextualSpacing/>
        <w:jc w:val="both"/>
        <w:rPr>
          <w:rFonts w:asciiTheme="minorHAnsi" w:hAnsiTheme="minorHAnsi" w:cstheme="minorHAnsi"/>
          <w:sz w:val="22"/>
          <w:szCs w:val="22"/>
        </w:rPr>
      </w:pPr>
    </w:p>
    <w:p w14:paraId="5B74D4B6" w14:textId="77777777" w:rsidR="006C24B0" w:rsidRPr="00AE15DA" w:rsidRDefault="006C24B0" w:rsidP="0043334F">
      <w:pPr>
        <w:pStyle w:val="HTMLncedenBiimlendirilmi"/>
        <w:contextualSpacing/>
        <w:jc w:val="both"/>
        <w:rPr>
          <w:color w:val="000000" w:themeColor="text1"/>
          <w:sz w:val="22"/>
          <w:szCs w:val="22"/>
          <w:rFonts w:asciiTheme="minorHAnsi" w:hAnsiTheme="minorHAnsi" w:cstheme="minorHAnsi"/>
        </w:rPr>
      </w:pPr>
      <w:r>
        <w:rPr>
          <w:b/>
          <w:sz w:val="22"/>
          <w:szCs w:val="22"/>
          <w:rFonts w:asciiTheme="minorHAnsi" w:hAnsiTheme="minorHAnsi"/>
        </w:rPr>
        <w:t xml:space="preserve">A28.</w:t>
      </w:r>
      <w:r>
        <w:rPr>
          <w:b/>
          <w:sz w:val="22"/>
          <w:szCs w:val="22"/>
          <w:rFonts w:asciiTheme="minorHAnsi" w:hAnsiTheme="minorHAnsi"/>
        </w:rPr>
        <w:t xml:space="preserve"> </w:t>
      </w:r>
      <w:r>
        <w:rPr>
          <w:b/>
          <w:sz w:val="22"/>
          <w:szCs w:val="22"/>
          <w:rFonts w:asciiTheme="minorHAnsi" w:hAnsiTheme="minorHAnsi"/>
        </w:rPr>
        <w:t xml:space="preserve">Dabigatran non è adatto per l'uso in pazienti con GFR &lt;30 ml/min/1,73 m2</w:t>
      </w:r>
      <w:r>
        <w:rPr>
          <w:b/>
          <w:sz w:val="22"/>
          <w:szCs w:val="22"/>
          <w:rFonts w:asciiTheme="minorHAnsi" w:hAnsiTheme="minorHAnsi"/>
        </w:rPr>
        <w:t xml:space="preserve"> </w:t>
      </w:r>
    </w:p>
    <w:p w14:paraId="2C1142E7" w14:textId="77777777" w:rsidR="006C24B0" w:rsidRPr="00AE15DA" w:rsidRDefault="006C24B0" w:rsidP="0043334F">
      <w:pPr>
        <w:contextualSpacing/>
        <w:jc w:val="both"/>
        <w:rPr>
          <w:i/>
          <w:sz w:val="22"/>
          <w:szCs w:val="22"/>
          <w:rFonts w:asciiTheme="minorHAnsi" w:hAnsiTheme="minorHAnsi"/>
        </w:rPr>
      </w:pPr>
      <w:r>
        <w:rPr>
          <w:i/>
          <w:sz w:val="22"/>
          <w:szCs w:val="22"/>
          <w:rFonts w:asciiTheme="minorHAnsi" w:hAnsiTheme="minorHAnsi"/>
        </w:rPr>
        <w:t xml:space="preserve">*Se il GFR è &lt;15 ml/min/1,73 m2, non devono essere utilizzati YOAK.</w:t>
      </w:r>
    </w:p>
    <w:p w14:paraId="2D406A44" w14:textId="77777777" w:rsidR="006C24B0" w:rsidRPr="00AE15DA" w:rsidRDefault="006C24B0" w:rsidP="0043334F">
      <w:pPr>
        <w:contextualSpacing/>
        <w:jc w:val="both"/>
        <w:rPr>
          <w:i/>
          <w:sz w:val="22"/>
          <w:szCs w:val="22"/>
          <w:rFonts w:asciiTheme="minorHAnsi" w:hAnsiTheme="minorHAnsi"/>
        </w:rPr>
      </w:pPr>
      <w:r>
        <w:rPr>
          <w:i/>
          <w:sz w:val="22"/>
          <w:szCs w:val="22"/>
          <w:rFonts w:asciiTheme="minorHAnsi" w:hAnsiTheme="minorHAnsi"/>
        </w:rPr>
        <w:t xml:space="preserve">*Sebbene vi siano prove limitate per apixaban, rivaroxaban ed edoxaban in pazienti con una GFR di 15-30 ml/min/1,73 m2, il loro uso non è generalmente raccomandato.</w:t>
      </w:r>
      <w:r>
        <w:rPr>
          <w:i/>
          <w:sz w:val="22"/>
          <w:szCs w:val="22"/>
          <w:rFonts w:asciiTheme="minorHAnsi" w:hAnsiTheme="minorHAnsi"/>
        </w:rPr>
        <w:t xml:space="preserve"> </w:t>
      </w:r>
    </w:p>
    <w:p w14:paraId="1B397E15" w14:textId="77777777" w:rsidR="00227CEA" w:rsidRPr="00AE15DA" w:rsidRDefault="00227CEA" w:rsidP="0043334F">
      <w:pPr>
        <w:contextualSpacing/>
        <w:jc w:val="both"/>
        <w:rPr>
          <w:i/>
          <w:sz w:val="22"/>
          <w:szCs w:val="22"/>
          <w:rFonts w:asciiTheme="minorHAnsi" w:hAnsiTheme="minorHAnsi"/>
        </w:rPr>
      </w:pPr>
      <w:r>
        <w:rPr>
          <w:sz w:val="22"/>
          <w:szCs w:val="22"/>
          <w:rFonts w:asciiTheme="minorHAnsi" w:hAnsiTheme="minorHAnsi"/>
        </w:rPr>
        <w:t xml:space="preserve">*Gli anticoagulanti non possono essere somministrati nei casi di AF con GFR &lt;30 ml/min/1,73 m2, in pazienti ad alto rischio di caduta o che hanno avuto un'emorragia pericolosa per la vita, in pazienti che non vogliono rischiare un'emorragia, in pazienti che avrà difficoltà nel controllo dell'INR, in pazienti con HT scarsamente controllata.</w:t>
      </w:r>
      <w:r>
        <w:rPr>
          <w:sz w:val="22"/>
          <w:szCs w:val="22"/>
          <w:i/>
          <w:rFonts w:asciiTheme="minorHAnsi" w:hAnsiTheme="minorHAnsi"/>
        </w:rPr>
        <w:t xml:space="preserve"> </w:t>
      </w:r>
    </w:p>
    <w:p w14:paraId="07A6BB22" w14:textId="77777777" w:rsidR="00227CEA" w:rsidRPr="00AE15DA" w:rsidRDefault="00227CEA" w:rsidP="0043334F">
      <w:pPr>
        <w:contextualSpacing/>
        <w:jc w:val="both"/>
        <w:rPr>
          <w:i/>
          <w:sz w:val="22"/>
          <w:szCs w:val="22"/>
          <w:rFonts w:asciiTheme="minorHAnsi" w:hAnsiTheme="minorHAnsi"/>
        </w:rPr>
      </w:pPr>
      <w:r>
        <w:rPr>
          <w:i/>
          <w:sz w:val="22"/>
          <w:szCs w:val="22"/>
          <w:rFonts w:asciiTheme="minorHAnsi" w:hAnsiTheme="minorHAnsi"/>
        </w:rPr>
        <w:t xml:space="preserve">*Gli anticoagulanti non sono raccomandati nei pazienti con AF in dialisi [a meno che non vi sia un rischio molto elevato di ictus:</w:t>
      </w:r>
      <w:r>
        <w:rPr>
          <w:i/>
          <w:sz w:val="22"/>
          <w:szCs w:val="22"/>
          <w:rFonts w:asciiTheme="minorHAnsi" w:hAnsiTheme="minorHAnsi"/>
        </w:rPr>
        <w:t xml:space="preserve"> </w:t>
      </w:r>
      <w:r>
        <w:rPr>
          <w:i/>
          <w:sz w:val="22"/>
          <w:szCs w:val="22"/>
          <w:rFonts w:asciiTheme="minorHAnsi" w:hAnsiTheme="minorHAnsi"/>
        </w:rPr>
        <w:t xml:space="preserve">trombo atriale, precedente GIA-ictus, malattia valvolare:</w:t>
      </w:r>
      <w:r>
        <w:rPr>
          <w:i/>
          <w:sz w:val="22"/>
          <w:szCs w:val="22"/>
          <w:rFonts w:asciiTheme="minorHAnsi" w:hAnsiTheme="minorHAnsi"/>
        </w:rPr>
        <w:t xml:space="preserve"> </w:t>
      </w:r>
      <w:r>
        <w:rPr>
          <w:i/>
          <w:sz w:val="22"/>
          <w:szCs w:val="22"/>
          <w:rFonts w:asciiTheme="minorHAnsi" w:hAnsiTheme="minorHAnsi"/>
        </w:rPr>
        <w:t xml:space="preserve">(MS moderatamente grave, protesi valvolare)].</w:t>
      </w:r>
      <w:r>
        <w:rPr>
          <w:i/>
          <w:sz w:val="22"/>
          <w:szCs w:val="22"/>
          <w:rFonts w:asciiTheme="minorHAnsi" w:hAnsiTheme="minorHAnsi"/>
        </w:rPr>
        <w:t xml:space="preserve"> </w:t>
      </w:r>
      <w:r>
        <w:rPr>
          <w:i/>
          <w:sz w:val="22"/>
          <w:szCs w:val="22"/>
          <w:rFonts w:asciiTheme="minorHAnsi" w:hAnsiTheme="minorHAnsi"/>
        </w:rPr>
        <w:t xml:space="preserve">Se è indicata l'anticoagulazione, si raccomanda il warfarin.</w:t>
      </w:r>
      <w:r>
        <w:rPr>
          <w:i/>
          <w:sz w:val="22"/>
          <w:szCs w:val="22"/>
          <w:rFonts w:asciiTheme="minorHAnsi" w:hAnsiTheme="minorHAnsi"/>
        </w:rPr>
        <w:t xml:space="preserve"> </w:t>
      </w:r>
    </w:p>
    <w:p w14:paraId="2265B01D" w14:textId="77777777" w:rsidR="00AC740A" w:rsidRPr="00AE15DA" w:rsidRDefault="00AC740A" w:rsidP="0043334F">
      <w:pPr>
        <w:contextualSpacing/>
        <w:jc w:val="both"/>
        <w:rPr>
          <w:i/>
          <w:color w:val="000000" w:themeColor="text1"/>
          <w:sz w:val="22"/>
          <w:szCs w:val="22"/>
          <w:shd w:val="clear" w:color="auto" w:fill="FFFFFF"/>
          <w:rFonts w:asciiTheme="minorHAnsi" w:hAnsiTheme="minorHAnsi"/>
        </w:rPr>
      </w:pPr>
      <w:r>
        <w:rPr>
          <w:i/>
          <w:color w:val="000000" w:themeColor="text1"/>
          <w:sz w:val="22"/>
          <w:szCs w:val="22"/>
          <w:shd w:val="clear" w:color="auto" w:fill="FFFFFF"/>
          <w:rFonts w:asciiTheme="minorHAnsi" w:hAnsiTheme="minorHAnsi"/>
        </w:rPr>
        <w:t xml:space="preserve">* Nei casi di AF ad alto rischio di ictus, la chiusura dell'appendice dell'atrio sinistro può essere raccomandata se gli OAK non possono essere utilizzati.</w:t>
      </w:r>
      <w:r>
        <w:rPr>
          <w:i/>
          <w:color w:val="000000" w:themeColor="text1"/>
          <w:sz w:val="22"/>
          <w:szCs w:val="22"/>
          <w:shd w:val="clear" w:color="auto" w:fill="FFFFFF"/>
          <w:rFonts w:asciiTheme="minorHAnsi" w:hAnsiTheme="minorHAnsi"/>
        </w:rPr>
        <w:t xml:space="preserve"> </w:t>
      </w:r>
    </w:p>
    <w:p w14:paraId="32221B2F" w14:textId="77777777" w:rsidR="00A67B6A" w:rsidRPr="00AE15DA" w:rsidRDefault="00227CEA" w:rsidP="0043334F">
      <w:pPr>
        <w:contextualSpacing/>
        <w:jc w:val="both"/>
        <w:rPr>
          <w:i/>
          <w:sz w:val="22"/>
          <w:szCs w:val="22"/>
          <w:rFonts w:asciiTheme="minorHAnsi" w:hAnsiTheme="minorHAnsi"/>
        </w:rPr>
      </w:pPr>
      <w:r>
        <w:rPr>
          <w:i/>
          <w:sz w:val="22"/>
          <w:szCs w:val="22"/>
          <w:rFonts w:asciiTheme="minorHAnsi" w:hAnsiTheme="minorHAnsi"/>
        </w:rPr>
        <w:t xml:space="preserve">*Edoxaban non deve essere utilizzato nei casi con GFR&gt;95 ml/min/1,73 m2.</w:t>
      </w:r>
      <w:r>
        <w:rPr>
          <w:i/>
          <w:sz w:val="22"/>
          <w:szCs w:val="22"/>
          <w:rFonts w:asciiTheme="minorHAnsi" w:hAnsiTheme="minorHAnsi"/>
        </w:rPr>
        <w:t xml:space="preserve"> </w:t>
      </w:r>
    </w:p>
    <w:p w14:paraId="61799AF6" w14:textId="77777777" w:rsidR="00A67B6A" w:rsidRPr="00AE15DA" w:rsidRDefault="00A67B6A" w:rsidP="0043334F">
      <w:pPr>
        <w:contextualSpacing/>
        <w:jc w:val="both"/>
        <w:rPr>
          <w:rFonts w:asciiTheme="minorHAnsi" w:hAnsiTheme="minorHAnsi"/>
          <w:i/>
          <w:sz w:val="22"/>
          <w:szCs w:val="22"/>
        </w:rPr>
      </w:pPr>
    </w:p>
    <w:p w14:paraId="2E07400A" w14:textId="77777777" w:rsidR="00873A44" w:rsidRPr="00AE15DA" w:rsidRDefault="00873A44" w:rsidP="0043334F">
      <w:pPr>
        <w:spacing w:before="100" w:beforeAutospacing="1" w:after="100" w:afterAutospacing="1"/>
        <w:contextualSpacing/>
        <w:jc w:val="both"/>
        <w:rPr>
          <w:rFonts w:asciiTheme="minorHAnsi" w:hAnsiTheme="minorHAnsi"/>
          <w:b/>
          <w:sz w:val="22"/>
          <w:szCs w:val="22"/>
        </w:rPr>
      </w:pPr>
    </w:p>
    <w:p w14:paraId="67308D68" w14:textId="7298E61F" w:rsidR="00873A44" w:rsidRPr="00AE15DA" w:rsidRDefault="00E66E29" w:rsidP="0043334F">
      <w:pPr>
        <w:spacing w:before="100" w:beforeAutospacing="1" w:after="100" w:afterAutospacing="1"/>
        <w:contextualSpacing/>
        <w:jc w:val="both"/>
        <w:rPr>
          <w:b/>
          <w:sz w:val="22"/>
          <w:szCs w:val="22"/>
          <w:rFonts w:asciiTheme="minorHAnsi" w:hAnsiTheme="minorHAnsi"/>
        </w:rPr>
      </w:pPr>
      <w:r>
        <w:rPr>
          <w:b/>
          <w:sz w:val="22"/>
          <w:szCs w:val="22"/>
          <w:rFonts w:ascii="Calibri" w:hAnsi="Calibri"/>
        </w:rPr>
        <w:t xml:space="preserve">#</w:t>
      </w:r>
      <w:r>
        <w:rPr>
          <w:b/>
          <w:sz w:val="22"/>
          <w:szCs w:val="22"/>
          <w:rFonts w:asciiTheme="minorHAnsi" w:hAnsiTheme="minorHAnsi"/>
        </w:rPr>
        <w:t xml:space="preserve">A29.</w:t>
      </w:r>
      <w:r>
        <w:rPr>
          <w:b/>
          <w:sz w:val="22"/>
          <w:szCs w:val="22"/>
          <w:rFonts w:asciiTheme="minorHAnsi" w:hAnsiTheme="minorHAnsi"/>
        </w:rPr>
        <w:t xml:space="preserve"> </w:t>
      </w:r>
      <w:r>
        <w:rPr>
          <w:b/>
          <w:sz w:val="22"/>
          <w:szCs w:val="22"/>
          <w:rFonts w:asciiTheme="minorHAnsi" w:hAnsiTheme="minorHAnsi"/>
        </w:rPr>
        <w:t xml:space="preserve">L'uso del warfarin non è appropriato nei pazienti con AF non valvolare che sono malnutriti o che assumono cibo irregolare.</w:t>
      </w:r>
      <w:r>
        <w:rPr>
          <w:b/>
          <w:sz w:val="22"/>
          <w:szCs w:val="22"/>
          <w:rFonts w:asciiTheme="minorHAnsi" w:hAnsiTheme="minorHAnsi"/>
        </w:rPr>
        <w:t xml:space="preserve"> </w:t>
      </w:r>
    </w:p>
    <w:p w14:paraId="4CADBD73" w14:textId="77777777" w:rsidR="00A67B6A" w:rsidRPr="00AE15DA" w:rsidRDefault="00A67B6A" w:rsidP="0043334F">
      <w:pPr>
        <w:spacing w:before="100" w:beforeAutospacing="1" w:after="100" w:afterAutospacing="1"/>
        <w:contextualSpacing/>
        <w:jc w:val="both"/>
        <w:rPr>
          <w:rFonts w:asciiTheme="minorHAnsi" w:hAnsiTheme="minorHAnsi"/>
          <w:b/>
          <w:sz w:val="22"/>
          <w:szCs w:val="22"/>
        </w:rPr>
      </w:pPr>
    </w:p>
    <w:p w14:paraId="04BDDC27" w14:textId="77777777" w:rsidR="00A67B6A" w:rsidRPr="00AE15DA"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sz w:val="22"/>
          <w:szCs w:val="22"/>
          <w:lang w:eastAsia="en-GB"/>
        </w:rPr>
      </w:pPr>
    </w:p>
    <w:p w14:paraId="02B36417" w14:textId="77777777" w:rsidR="00873A44" w:rsidRPr="00AE15DA" w:rsidRDefault="006C24B0"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A30.</w:t>
      </w:r>
      <w:r>
        <w:rPr>
          <w:b/>
          <w:sz w:val="22"/>
          <w:szCs w:val="22"/>
          <w:rFonts w:asciiTheme="minorHAnsi" w:hAnsiTheme="minorHAnsi"/>
        </w:rPr>
        <w:t xml:space="preserve"> </w:t>
      </w:r>
      <w:r>
        <w:rPr>
          <w:b/>
          <w:sz w:val="22"/>
          <w:szCs w:val="22"/>
          <w:rFonts w:asciiTheme="minorHAnsi" w:hAnsiTheme="minorHAnsi"/>
        </w:rPr>
        <w:t xml:space="preserve">L'uso di farmaci con un indice terapeutico ristretto, come warfarin e digossina, non è appropriato nei pazienti che hanno difficoltà nell'uso e nella gestione dei loro farmaci (ad es. pazienti con deficit cognitivo) e in assenza di aiutanti (ad es. di tossicità pericolosa per la vita).</w:t>
      </w:r>
      <w:r>
        <w:rPr>
          <w:b/>
          <w:sz w:val="22"/>
          <w:szCs w:val="22"/>
          <w:rFonts w:asciiTheme="minorHAnsi" w:hAnsiTheme="minorHAnsi"/>
        </w:rPr>
        <w:t xml:space="preserve"> </w:t>
      </w:r>
    </w:p>
    <w:p w14:paraId="1D252E3E" w14:textId="77777777" w:rsidR="00A67B6A" w:rsidRPr="00AE15DA"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22"/>
          <w:szCs w:val="22"/>
          <w:shd w:val="clear" w:color="auto" w:fill="FFFFFF"/>
        </w:rPr>
      </w:pPr>
    </w:p>
    <w:p w14:paraId="366BAF94" w14:textId="77777777" w:rsidR="00A67B6A" w:rsidRPr="00AE15DA"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22"/>
          <w:szCs w:val="22"/>
          <w:shd w:val="clear" w:color="auto" w:fill="FFFFFF"/>
        </w:rPr>
      </w:pPr>
    </w:p>
    <w:p w14:paraId="5C3B9D4D" w14:textId="3EE343AF" w:rsidR="006C24B0" w:rsidRPr="00AE15DA" w:rsidRDefault="00E66E29" w:rsidP="0043334F">
      <w:pPr>
        <w:spacing w:before="100" w:beforeAutospacing="1" w:after="100" w:afterAutospacing="1"/>
        <w:contextualSpacing/>
        <w:jc w:val="both"/>
        <w:rPr>
          <w:b/>
          <w:i/>
          <w:sz w:val="22"/>
          <w:szCs w:val="22"/>
          <w:rFonts w:asciiTheme="minorHAnsi" w:hAnsiTheme="minorHAnsi"/>
        </w:rPr>
      </w:pPr>
      <w:r>
        <w:rPr>
          <w:b/>
          <w:sz w:val="22"/>
          <w:szCs w:val="22"/>
          <w:rFonts w:ascii="Calibri" w:hAnsi="Calibri"/>
        </w:rPr>
        <w:t xml:space="preserve">#</w:t>
      </w:r>
      <w:r>
        <w:rPr>
          <w:b/>
          <w:sz w:val="22"/>
          <w:szCs w:val="22"/>
          <w:rFonts w:asciiTheme="minorHAnsi" w:hAnsiTheme="minorHAnsi"/>
        </w:rPr>
        <w:t xml:space="preserve">A31.</w:t>
      </w:r>
      <w:r>
        <w:rPr>
          <w:b/>
          <w:sz w:val="22"/>
          <w:szCs w:val="22"/>
          <w:rFonts w:asciiTheme="minorHAnsi" w:hAnsiTheme="minorHAnsi"/>
        </w:rPr>
        <w:t xml:space="preserve"> </w:t>
      </w:r>
      <w:r>
        <w:rPr>
          <w:b/>
          <w:sz w:val="22"/>
          <w:szCs w:val="22"/>
          <w:rFonts w:asciiTheme="minorHAnsi" w:hAnsiTheme="minorHAnsi"/>
        </w:rPr>
        <w:t xml:space="preserve">Prasugrel non è adatto per l'uso in pazienti di età pari o superiore a 75 anni o in coloro che hanno avuto un GİA/ictus</w:t>
      </w:r>
    </w:p>
    <w:p w14:paraId="760E7952" w14:textId="77777777" w:rsidR="00873A44" w:rsidRPr="00AE15DA" w:rsidRDefault="00873A44" w:rsidP="0043334F">
      <w:pPr>
        <w:spacing w:before="100" w:beforeAutospacing="1" w:after="100" w:afterAutospacing="1"/>
        <w:contextualSpacing/>
        <w:jc w:val="both"/>
        <w:rPr>
          <w:rFonts w:asciiTheme="minorHAnsi" w:hAnsiTheme="minorHAnsi" w:cstheme="minorHAnsi"/>
          <w:sz w:val="22"/>
          <w:szCs w:val="22"/>
        </w:rPr>
      </w:pPr>
    </w:p>
    <w:p w14:paraId="7FB30D64" w14:textId="77777777" w:rsidR="0077695B" w:rsidRPr="00AE15DA" w:rsidRDefault="0077695B" w:rsidP="0043334F">
      <w:pPr>
        <w:spacing w:before="100" w:beforeAutospacing="1" w:after="100" w:afterAutospacing="1"/>
        <w:contextualSpacing/>
        <w:jc w:val="both"/>
        <w:rPr>
          <w:rFonts w:asciiTheme="minorHAnsi" w:hAnsiTheme="minorHAnsi" w:cstheme="minorHAnsi"/>
          <w:sz w:val="22"/>
          <w:szCs w:val="22"/>
        </w:rPr>
      </w:pPr>
    </w:p>
    <w:p w14:paraId="1315BD07" w14:textId="5BBB4A83" w:rsidR="006C24B0" w:rsidRPr="00AE15DA" w:rsidRDefault="006C24B0" w:rsidP="0043334F">
      <w:pPr>
        <w:spacing w:before="100" w:beforeAutospacing="1" w:after="100" w:afterAutospacing="1"/>
        <w:contextualSpacing/>
        <w:jc w:val="both"/>
        <w:rPr>
          <w:sz w:val="22"/>
          <w:szCs w:val="22"/>
          <w:rFonts w:asciiTheme="minorHAnsi" w:hAnsiTheme="minorHAnsi" w:cstheme="minorHAnsi"/>
        </w:rPr>
      </w:pPr>
      <w:r>
        <w:rPr>
          <w:b/>
          <w:sz w:val="22"/>
          <w:szCs w:val="22"/>
          <w:rFonts w:asciiTheme="minorHAnsi" w:hAnsiTheme="minorHAnsi"/>
        </w:rPr>
        <w:t xml:space="preserve">A32.</w:t>
      </w:r>
      <w:r>
        <w:rPr>
          <w:b/>
          <w:sz w:val="22"/>
          <w:szCs w:val="22"/>
          <w:rFonts w:asciiTheme="minorHAnsi" w:hAnsiTheme="minorHAnsi"/>
        </w:rPr>
        <w:t xml:space="preserve"> </w:t>
      </w:r>
      <w:r>
        <w:rPr>
          <w:b/>
          <w:sz w:val="22"/>
          <w:szCs w:val="22"/>
          <w:rFonts w:asciiTheme="minorHAnsi" w:hAnsiTheme="minorHAnsi"/>
        </w:rPr>
        <w:t xml:space="preserve">La ticlopidina non è adatta per l'uso come antipiastrinico (clopidogrel o ticagrelor o prasugrel hanno una maggiore efficacia, più prove e meno effetti collaterali)</w:t>
      </w:r>
      <w:r>
        <w:rPr>
          <w:b/>
          <w:sz w:val="22"/>
          <w:szCs w:val="22"/>
          <w:rFonts w:asciiTheme="minorHAnsi" w:hAnsiTheme="minorHAnsi"/>
        </w:rPr>
        <w:t xml:space="preserve"> </w:t>
      </w:r>
    </w:p>
    <w:p w14:paraId="44016738" w14:textId="77777777" w:rsidR="00873A44" w:rsidRPr="00AE15DA" w:rsidRDefault="00873A4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76F15606" w14:textId="77777777" w:rsidR="00977134" w:rsidRPr="00AE15DA" w:rsidRDefault="0097713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03030"/>
          <w:sz w:val="22"/>
          <w:szCs w:val="22"/>
          <w:shd w:val="clear" w:color="auto" w:fill="FFFFFF"/>
        </w:rPr>
      </w:pPr>
    </w:p>
    <w:p w14:paraId="237E1FAA" w14:textId="786ABDDE" w:rsidR="0077695B" w:rsidRPr="00AE15DA" w:rsidRDefault="006C24B0" w:rsidP="0043334F">
      <w:pPr>
        <w:spacing w:before="100" w:beforeAutospacing="1" w:after="100" w:afterAutospacing="1"/>
        <w:contextualSpacing/>
        <w:jc w:val="both"/>
        <w:rPr>
          <w:b/>
          <w:color w:val="000000"/>
          <w:sz w:val="22"/>
          <w:szCs w:val="22"/>
          <w:rFonts w:asciiTheme="minorHAnsi" w:hAnsiTheme="minorHAnsi"/>
        </w:rPr>
      </w:pPr>
      <w:r>
        <w:rPr>
          <w:b/>
          <w:sz w:val="22"/>
          <w:szCs w:val="22"/>
          <w:color w:val="000000"/>
          <w:rFonts w:asciiTheme="minorHAnsi" w:hAnsiTheme="minorHAnsi"/>
        </w:rPr>
        <w:t xml:space="preserve">A33.</w:t>
      </w:r>
      <w:r>
        <w:rPr>
          <w:b/>
          <w:sz w:val="22"/>
          <w:szCs w:val="22"/>
          <w:color w:val="000000"/>
          <w:rFonts w:asciiTheme="minorHAnsi" w:hAnsiTheme="minorHAnsi"/>
        </w:rPr>
        <w:t xml:space="preserve"> </w:t>
      </w:r>
      <w:r>
        <w:rPr>
          <w:b/>
          <w:sz w:val="22"/>
          <w:szCs w:val="22"/>
          <w:rFonts w:asciiTheme="minorHAnsi" w:hAnsiTheme="minorHAnsi"/>
        </w:rPr>
        <w:t xml:space="preserve">Il dipiridamolo a breve durata d'azione non è adatto per l'effetto antiaggregante piastrinico (effetto collaterale dell'ipotensione ortostatica e disponibilità di agenti più efficaci)</w:t>
      </w:r>
      <w:r>
        <w:rPr>
          <w:b/>
          <w:sz w:val="22"/>
          <w:szCs w:val="22"/>
          <w:color w:val="000000"/>
          <w:rFonts w:asciiTheme="minorHAnsi" w:hAnsiTheme="minorHAnsi"/>
        </w:rPr>
        <w:t xml:space="preserve"> </w:t>
      </w:r>
    </w:p>
    <w:p w14:paraId="38917D6C" w14:textId="77777777" w:rsidR="0077695B" w:rsidRPr="00AE15DA" w:rsidRDefault="0077695B" w:rsidP="0043334F">
      <w:pPr>
        <w:spacing w:before="100" w:beforeAutospacing="1" w:after="100" w:afterAutospacing="1"/>
        <w:contextualSpacing/>
        <w:jc w:val="both"/>
        <w:rPr>
          <w:rFonts w:asciiTheme="minorHAnsi" w:hAnsiTheme="minorHAnsi"/>
          <w:b/>
          <w:color w:val="000000"/>
          <w:sz w:val="22"/>
          <w:szCs w:val="22"/>
        </w:rPr>
      </w:pPr>
    </w:p>
    <w:p w14:paraId="274D24A1" w14:textId="77777777" w:rsidR="0077695B" w:rsidRPr="00AE15DA" w:rsidRDefault="0077695B" w:rsidP="0043334F">
      <w:pPr>
        <w:spacing w:before="100" w:beforeAutospacing="1" w:after="100" w:afterAutospacing="1"/>
        <w:contextualSpacing/>
        <w:jc w:val="both"/>
        <w:rPr>
          <w:rFonts w:asciiTheme="minorHAnsi" w:hAnsiTheme="minorHAnsi" w:cstheme="minorHAnsi"/>
          <w:sz w:val="22"/>
          <w:szCs w:val="22"/>
        </w:rPr>
      </w:pPr>
    </w:p>
    <w:p w14:paraId="5582EC16" w14:textId="77777777" w:rsidR="0077695B" w:rsidRPr="00AE15DA" w:rsidRDefault="006C24B0"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A34.</w:t>
      </w:r>
      <w:r>
        <w:rPr>
          <w:b/>
          <w:sz w:val="22"/>
          <w:szCs w:val="22"/>
          <w:rFonts w:asciiTheme="minorHAnsi" w:hAnsiTheme="minorHAnsi"/>
        </w:rPr>
        <w:t xml:space="preserve"> </w:t>
      </w:r>
      <w:r>
        <w:rPr>
          <w:b/>
          <w:sz w:val="22"/>
          <w:szCs w:val="22"/>
          <w:rFonts w:asciiTheme="minorHAnsi" w:hAnsiTheme="minorHAnsi"/>
        </w:rPr>
        <w:t xml:space="preserve">L'uso delle statine per la profilassi primaria non è appropriato negli anziani con una bassa aspettativa di vita (&lt;2 anni) o con demenza avanzata.</w:t>
      </w:r>
      <w:r>
        <w:rPr>
          <w:b/>
          <w:sz w:val="22"/>
          <w:szCs w:val="22"/>
          <w:rFonts w:asciiTheme="minorHAnsi" w:hAnsiTheme="minorHAnsi"/>
        </w:rPr>
        <w:t xml:space="preserve"> </w:t>
      </w:r>
    </w:p>
    <w:p w14:paraId="18C07888" w14:textId="77777777" w:rsidR="0077695B" w:rsidRPr="00AE15DA" w:rsidRDefault="0077695B" w:rsidP="0043334F">
      <w:pPr>
        <w:spacing w:before="100" w:beforeAutospacing="1" w:after="100" w:afterAutospacing="1"/>
        <w:contextualSpacing/>
        <w:jc w:val="both"/>
        <w:rPr>
          <w:rFonts w:asciiTheme="minorHAnsi" w:hAnsiTheme="minorHAnsi" w:cstheme="minorHAnsi"/>
          <w:color w:val="000000"/>
          <w:sz w:val="22"/>
          <w:szCs w:val="22"/>
        </w:rPr>
      </w:pPr>
    </w:p>
    <w:p w14:paraId="2ADCA7DD" w14:textId="77777777" w:rsidR="0077695B" w:rsidRPr="00AE15DA" w:rsidRDefault="0077695B" w:rsidP="0043334F">
      <w:pPr>
        <w:spacing w:before="100" w:beforeAutospacing="1" w:after="100" w:afterAutospacing="1"/>
        <w:contextualSpacing/>
        <w:jc w:val="both"/>
        <w:rPr>
          <w:rFonts w:asciiTheme="minorHAnsi" w:hAnsiTheme="minorHAnsi" w:cstheme="minorHAnsi"/>
          <w:color w:val="000000"/>
          <w:sz w:val="22"/>
          <w:szCs w:val="22"/>
        </w:rPr>
      </w:pPr>
    </w:p>
    <w:p w14:paraId="6E209470" w14:textId="77777777" w:rsidR="006C24B0" w:rsidRPr="00AE15DA" w:rsidRDefault="006C24B0" w:rsidP="0043334F">
      <w:pPr>
        <w:spacing w:before="100" w:beforeAutospacing="1" w:after="100" w:afterAutospacing="1"/>
        <w:contextualSpacing/>
        <w:jc w:val="both"/>
        <w:rPr>
          <w:sz w:val="22"/>
          <w:szCs w:val="22"/>
          <w:rFonts w:asciiTheme="minorHAnsi" w:hAnsiTheme="minorHAnsi"/>
        </w:rPr>
      </w:pPr>
      <w:r>
        <w:rPr>
          <w:b/>
          <w:sz w:val="22"/>
          <w:szCs w:val="22"/>
          <w:rFonts w:asciiTheme="minorHAnsi" w:hAnsiTheme="minorHAnsi"/>
        </w:rPr>
        <w:t xml:space="preserve">A35.</w:t>
      </w:r>
      <w:r>
        <w:rPr>
          <w:b/>
          <w:sz w:val="22"/>
          <w:szCs w:val="22"/>
          <w:rFonts w:asciiTheme="minorHAnsi" w:hAnsiTheme="minorHAnsi"/>
        </w:rPr>
        <w:t xml:space="preserve"> </w:t>
      </w:r>
      <w:r>
        <w:rPr>
          <w:b/>
          <w:sz w:val="22"/>
          <w:szCs w:val="22"/>
          <w:rFonts w:asciiTheme="minorHAnsi" w:hAnsiTheme="minorHAnsi"/>
        </w:rPr>
        <w:t xml:space="preserve">L'inizio dell'allopurinolo è inappropriato per l'iperuricemia asintomatica (casi senza gotta o nefrolitiasi) (nessuna evidenza di beneficio, rischio di effetti collaterali con l'uso di inibitori della xantina ossidasi) (nessuna evidenza che il trattamento riduca il rischio cardiovascolare o la gotta)</w:t>
      </w:r>
    </w:p>
    <w:p w14:paraId="72EB6DA4" w14:textId="77777777" w:rsidR="009D2A23" w:rsidRPr="00AE15DA" w:rsidRDefault="00BE60AB" w:rsidP="0043334F">
      <w:pPr>
        <w:contextualSpacing/>
        <w:jc w:val="both"/>
        <w:rPr>
          <w:i/>
          <w:color w:val="212121"/>
          <w:sz w:val="22"/>
          <w:szCs w:val="22"/>
          <w:shd w:val="clear" w:color="auto" w:fill="FFFFFF"/>
          <w:rFonts w:asciiTheme="minorHAnsi" w:hAnsiTheme="minorHAnsi"/>
        </w:rPr>
      </w:pPr>
      <w:r>
        <w:rPr>
          <w:i/>
          <w:sz w:val="22"/>
          <w:szCs w:val="22"/>
          <w:shd w:val="clear" w:color="auto" w:fill="FFFFFF"/>
          <w:rFonts w:asciiTheme="minorHAnsi" w:hAnsiTheme="minorHAnsi"/>
        </w:rPr>
        <w:t xml:space="preserve">*Se il livello sierico di acido urico è &gt; 10 mg/dl nelle donne e &gt; 13 mg/dl negli uomini, può essere raccomandata una terapia per abbassare l'acido urico a causa del rischio di malattia renale cronica.</w:t>
      </w:r>
    </w:p>
    <w:p w14:paraId="4CDA2E94" w14:textId="77777777" w:rsidR="0077695B" w:rsidRPr="00AE15DA" w:rsidRDefault="0077695B" w:rsidP="0043334F">
      <w:pPr>
        <w:contextualSpacing/>
        <w:jc w:val="both"/>
        <w:rPr>
          <w:rFonts w:asciiTheme="minorHAnsi" w:hAnsiTheme="minorHAnsi"/>
          <w:i/>
          <w:color w:val="212121"/>
          <w:sz w:val="22"/>
          <w:szCs w:val="22"/>
          <w:shd w:val="clear" w:color="auto" w:fill="FFFFFF"/>
        </w:rPr>
      </w:pPr>
    </w:p>
    <w:p w14:paraId="5A0DA57D" w14:textId="77777777" w:rsidR="009D2A23" w:rsidRPr="00AE15DA" w:rsidRDefault="009D2A23" w:rsidP="0043334F">
      <w:pPr>
        <w:contextualSpacing/>
        <w:jc w:val="both"/>
        <w:rPr>
          <w:rFonts w:asciiTheme="minorHAnsi" w:hAnsiTheme="minorHAnsi"/>
          <w:b/>
          <w:i/>
          <w:sz w:val="22"/>
          <w:szCs w:val="22"/>
          <w:u w:val="single"/>
        </w:rPr>
      </w:pPr>
    </w:p>
    <w:p w14:paraId="58929CE0" w14:textId="77777777" w:rsidR="009D2A23" w:rsidRPr="00AE15DA" w:rsidRDefault="009D2A23" w:rsidP="0043334F">
      <w:pPr>
        <w:contextualSpacing/>
        <w:jc w:val="both"/>
        <w:rPr>
          <w:rFonts w:asciiTheme="minorHAnsi" w:hAnsiTheme="minorHAnsi"/>
          <w:b/>
          <w:i/>
          <w:sz w:val="22"/>
          <w:szCs w:val="22"/>
          <w:u w:val="single"/>
        </w:rPr>
      </w:pPr>
    </w:p>
    <w:p w14:paraId="0B992FDE" w14:textId="77777777" w:rsidR="009D2A23" w:rsidRPr="00AE15DA" w:rsidRDefault="009D2A23" w:rsidP="0043334F">
      <w:pPr>
        <w:contextualSpacing/>
        <w:jc w:val="both"/>
        <w:rPr>
          <w:rFonts w:asciiTheme="minorHAnsi" w:hAnsiTheme="minorHAnsi"/>
          <w:b/>
          <w:i/>
          <w:sz w:val="22"/>
          <w:szCs w:val="22"/>
          <w:u w:val="single"/>
        </w:rPr>
      </w:pPr>
    </w:p>
    <w:p w14:paraId="0ECE201C" w14:textId="77777777" w:rsidR="00AF251E" w:rsidRPr="00AE15DA" w:rsidRDefault="00873A44" w:rsidP="0043334F">
      <w:pPr>
        <w:contextualSpacing/>
        <w:jc w:val="both"/>
        <w:rPr>
          <w:b/>
          <w:sz w:val="28"/>
          <w:szCs w:val="28"/>
          <w:rFonts w:asciiTheme="minorHAnsi" w:hAnsiTheme="minorHAnsi"/>
        </w:rPr>
      </w:pPr>
      <w:r>
        <w:rPr>
          <w:b/>
          <w:sz w:val="28"/>
          <w:szCs w:val="28"/>
          <w:rFonts w:asciiTheme="minorHAnsi" w:hAnsiTheme="minorHAnsi"/>
        </w:rPr>
        <w:t xml:space="preserve">B:</w:t>
      </w:r>
      <w:r>
        <w:rPr>
          <w:b/>
          <w:sz w:val="28"/>
          <w:szCs w:val="28"/>
          <w:rFonts w:asciiTheme="minorHAnsi" w:hAnsiTheme="minorHAnsi"/>
        </w:rPr>
        <w:t xml:space="preserve"> </w:t>
      </w:r>
      <w:r>
        <w:rPr>
          <w:b/>
          <w:sz w:val="28"/>
          <w:szCs w:val="28"/>
          <w:rFonts w:asciiTheme="minorHAnsi" w:hAnsiTheme="minorHAnsi"/>
        </w:rPr>
        <w:t xml:space="preserve">Criteri del sistema nervoso centrale.</w:t>
      </w:r>
      <w:r>
        <w:rPr>
          <w:b/>
          <w:sz w:val="28"/>
          <w:szCs w:val="28"/>
          <w:rFonts w:asciiTheme="minorHAnsi" w:hAnsiTheme="minorHAnsi"/>
        </w:rPr>
        <w:t xml:space="preserve"> </w:t>
      </w:r>
    </w:p>
    <w:p w14:paraId="5FBC2C00" w14:textId="77777777" w:rsidR="0043334F" w:rsidRPr="00AE15DA" w:rsidRDefault="0043334F" w:rsidP="0043334F">
      <w:pPr>
        <w:contextualSpacing/>
        <w:jc w:val="both"/>
        <w:rPr>
          <w:rFonts w:asciiTheme="minorHAnsi" w:hAnsiTheme="minorHAnsi"/>
          <w:b/>
          <w:sz w:val="28"/>
          <w:szCs w:val="28"/>
        </w:rPr>
      </w:pPr>
    </w:p>
    <w:p w14:paraId="50F0D324" w14:textId="77777777" w:rsidR="001B712D" w:rsidRPr="00AE15DA" w:rsidRDefault="006C24B0"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B1.</w:t>
      </w:r>
      <w:r>
        <w:rPr>
          <w:b/>
          <w:sz w:val="22"/>
          <w:szCs w:val="22"/>
          <w:rFonts w:asciiTheme="minorHAnsi" w:hAnsiTheme="minorHAnsi"/>
        </w:rPr>
        <w:t xml:space="preserve"> </w:t>
      </w:r>
      <w:r>
        <w:rPr>
          <w:b/>
          <w:sz w:val="22"/>
          <w:szCs w:val="22"/>
          <w:rFonts w:asciiTheme="minorHAnsi" w:hAnsiTheme="minorHAnsi"/>
        </w:rPr>
        <w:t xml:space="preserve">L'uso di antidepressivi triciclici non è appropriato (alto effetto anticolinergico, deterioramento cognitivo, disturbo della conduzione cardiaca, ipotensione ortostatica, ritenzione urinaria, peggioramento del prostatismo, peggioramento del glaucoma ad angolo chiuso)</w:t>
      </w:r>
      <w:r>
        <w:rPr>
          <w:b/>
          <w:sz w:val="22"/>
          <w:szCs w:val="22"/>
          <w:rFonts w:asciiTheme="minorHAnsi" w:hAnsiTheme="minorHAnsi"/>
        </w:rPr>
        <w:t xml:space="preserve"> </w:t>
      </w:r>
    </w:p>
    <w:p w14:paraId="7ABE1AF0" w14:textId="77777777" w:rsidR="001B712D" w:rsidRPr="00AE15DA" w:rsidRDefault="001B712D" w:rsidP="0043334F">
      <w:pPr>
        <w:spacing w:before="100" w:beforeAutospacing="1" w:after="100" w:afterAutospacing="1"/>
        <w:contextualSpacing/>
        <w:jc w:val="both"/>
        <w:rPr>
          <w:rFonts w:asciiTheme="minorHAnsi" w:hAnsiTheme="minorHAnsi" w:cstheme="minorHAnsi"/>
          <w:color w:val="000000"/>
          <w:sz w:val="22"/>
          <w:szCs w:val="22"/>
        </w:rPr>
      </w:pPr>
    </w:p>
    <w:p w14:paraId="6A1C687D" w14:textId="77777777" w:rsidR="001B712D" w:rsidRPr="00AE15DA" w:rsidRDefault="001B712D" w:rsidP="0043334F">
      <w:pPr>
        <w:spacing w:before="100" w:beforeAutospacing="1" w:after="100" w:afterAutospacing="1"/>
        <w:contextualSpacing/>
        <w:jc w:val="both"/>
        <w:rPr>
          <w:rFonts w:asciiTheme="minorHAnsi" w:hAnsiTheme="minorHAnsi" w:cstheme="minorHAnsi"/>
          <w:color w:val="000000"/>
          <w:sz w:val="22"/>
          <w:szCs w:val="22"/>
        </w:rPr>
      </w:pPr>
    </w:p>
    <w:p w14:paraId="5EE174A0" w14:textId="77777777" w:rsidR="001B712D" w:rsidRPr="00AE15DA" w:rsidRDefault="006C24B0" w:rsidP="0043334F">
      <w:pPr>
        <w:spacing w:before="100" w:beforeAutospacing="1" w:after="100" w:afterAutospacing="1"/>
        <w:contextualSpacing/>
        <w:jc w:val="both"/>
        <w:rPr>
          <w:b/>
          <w:color w:val="000000"/>
          <w:sz w:val="22"/>
          <w:szCs w:val="22"/>
          <w:rFonts w:asciiTheme="minorHAnsi" w:hAnsiTheme="minorHAnsi"/>
        </w:rPr>
      </w:pPr>
      <w:r>
        <w:rPr>
          <w:b/>
          <w:color w:val="000000"/>
          <w:sz w:val="22"/>
          <w:szCs w:val="22"/>
          <w:rFonts w:asciiTheme="minorHAnsi" w:hAnsiTheme="minorHAnsi"/>
        </w:rPr>
        <w:t xml:space="preserve">B2.</w:t>
      </w:r>
      <w:r>
        <w:rPr>
          <w:b/>
          <w:color w:val="000000"/>
          <w:sz w:val="22"/>
          <w:szCs w:val="22"/>
          <w:rFonts w:asciiTheme="minorHAnsi" w:hAnsiTheme="minorHAnsi"/>
        </w:rPr>
        <w:t xml:space="preserve"> </w:t>
      </w:r>
      <w:r>
        <w:rPr>
          <w:b/>
          <w:color w:val="000000"/>
          <w:sz w:val="22"/>
          <w:szCs w:val="22"/>
          <w:rFonts w:asciiTheme="minorHAnsi" w:hAnsiTheme="minorHAnsi"/>
        </w:rPr>
        <w:t xml:space="preserve">Non è appropriato preferire paroxetina, fluoxetina e fluvaxamina nella prima fase nei casi in cui verrà iniziato il trattamento con SSRI (a causa dell'elevato effetto anticolinergico della paroxetina, della lunga emivita della fluoxetina, delle frequenti interazioni farmacologiche di fluoxetina e fluvacamina).</w:t>
      </w:r>
    </w:p>
    <w:p w14:paraId="1EDCAB14" w14:textId="77777777" w:rsidR="001B712D" w:rsidRPr="00AE15DA" w:rsidRDefault="001B712D" w:rsidP="0043334F">
      <w:pPr>
        <w:spacing w:before="100" w:beforeAutospacing="1" w:after="100" w:afterAutospacing="1"/>
        <w:contextualSpacing/>
        <w:jc w:val="both"/>
        <w:rPr>
          <w:rFonts w:asciiTheme="minorHAnsi" w:hAnsiTheme="minorHAnsi" w:cstheme="minorHAnsi"/>
          <w:sz w:val="22"/>
          <w:szCs w:val="22"/>
        </w:rPr>
      </w:pPr>
    </w:p>
    <w:p w14:paraId="129BD411" w14:textId="77777777" w:rsidR="001B712D" w:rsidRPr="00AE15DA" w:rsidRDefault="001B712D" w:rsidP="0043334F">
      <w:pPr>
        <w:spacing w:before="100" w:beforeAutospacing="1" w:after="100" w:afterAutospacing="1"/>
        <w:contextualSpacing/>
        <w:jc w:val="both"/>
        <w:rPr>
          <w:rFonts w:asciiTheme="minorHAnsi" w:hAnsiTheme="minorHAnsi" w:cstheme="minorHAnsi"/>
          <w:sz w:val="22"/>
          <w:szCs w:val="22"/>
        </w:rPr>
      </w:pPr>
    </w:p>
    <w:p w14:paraId="7F2353AF" w14:textId="77777777" w:rsidR="001B712D" w:rsidRPr="00AE15DA" w:rsidRDefault="006C24B0"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B3.</w:t>
      </w:r>
      <w:r>
        <w:rPr>
          <w:b/>
          <w:sz w:val="22"/>
          <w:szCs w:val="22"/>
          <w:rFonts w:asciiTheme="minorHAnsi" w:hAnsiTheme="minorHAnsi"/>
        </w:rPr>
        <w:t xml:space="preserve"> </w:t>
      </w:r>
      <w:r>
        <w:rPr>
          <w:b/>
          <w:sz w:val="22"/>
          <w:szCs w:val="22"/>
          <w:rFonts w:asciiTheme="minorHAnsi" w:hAnsiTheme="minorHAnsi"/>
        </w:rPr>
        <w:t xml:space="preserve">L'uso di SSRI non è appropriato nei pazienti con una storia recente o attuale di iponatriemia significativa (Na sierico &lt; 130 mEq/L) (aumento del rischio di iponatriemia con l'uso di SSRI)</w:t>
      </w:r>
      <w:r>
        <w:rPr>
          <w:b/>
          <w:sz w:val="22"/>
          <w:szCs w:val="22"/>
          <w:rFonts w:asciiTheme="minorHAnsi" w:hAnsiTheme="minorHAnsi"/>
        </w:rPr>
        <w:t xml:space="preserve"> </w:t>
      </w:r>
    </w:p>
    <w:p w14:paraId="094E53AB" w14:textId="77777777" w:rsidR="0043334F" w:rsidRPr="00AE15DA" w:rsidRDefault="005A554D" w:rsidP="0043334F">
      <w:pPr>
        <w:spacing w:before="100" w:beforeAutospacing="1" w:after="100" w:afterAutospacing="1"/>
        <w:contextualSpacing/>
        <w:jc w:val="both"/>
        <w:rPr>
          <w:i/>
          <w:sz w:val="22"/>
          <w:szCs w:val="22"/>
          <w:shd w:val="clear" w:color="auto" w:fill="FFFFFF"/>
          <w:rFonts w:asciiTheme="minorHAnsi" w:hAnsiTheme="minorHAnsi"/>
        </w:rPr>
      </w:pPr>
      <w:r>
        <w:rPr>
          <w:i/>
          <w:sz w:val="22"/>
          <w:szCs w:val="22"/>
          <w:shd w:val="clear" w:color="auto" w:fill="FFFFFF"/>
          <w:rFonts w:asciiTheme="minorHAnsi" w:hAnsiTheme="minorHAnsi"/>
        </w:rPr>
        <w:t xml:space="preserve">*I fattori di rischio per lo sviluppo di iponatriemia con gli SSRI sono l'età avanzata, il sesso femminile, l'uso concomitante di diuretici, il basso peso corporeo e il basso Na basale.</w:t>
      </w:r>
      <w:r>
        <w:rPr>
          <w:i/>
          <w:sz w:val="22"/>
          <w:szCs w:val="22"/>
          <w:shd w:val="clear" w:color="auto" w:fill="FFFFFF"/>
          <w:rFonts w:asciiTheme="minorHAnsi" w:hAnsiTheme="minorHAnsi"/>
        </w:rPr>
        <w:t xml:space="preserve"> </w:t>
      </w:r>
    </w:p>
    <w:p w14:paraId="1CEC7A99" w14:textId="77777777" w:rsidR="0043334F" w:rsidRPr="00AE15DA" w:rsidRDefault="005A554D" w:rsidP="0043334F">
      <w:pPr>
        <w:spacing w:before="100" w:beforeAutospacing="1" w:after="100" w:afterAutospacing="1"/>
        <w:contextualSpacing/>
        <w:jc w:val="both"/>
        <w:rPr>
          <w:i/>
          <w:sz w:val="22"/>
          <w:szCs w:val="22"/>
          <w:rFonts w:asciiTheme="minorHAnsi" w:hAnsiTheme="minorHAnsi"/>
        </w:rPr>
      </w:pPr>
      <w:r>
        <w:rPr>
          <w:i/>
          <w:sz w:val="22"/>
          <w:szCs w:val="22"/>
          <w:rFonts w:asciiTheme="minorHAnsi" w:hAnsiTheme="minorHAnsi"/>
        </w:rPr>
        <w:t xml:space="preserve">*I pazienti che hanno iniziato un SSRI o la cui dose è stata aumentata devono essere informati sui risultati clinici dell'iponatriemia.</w:t>
      </w:r>
      <w:r>
        <w:rPr>
          <w:i/>
          <w:sz w:val="22"/>
          <w:szCs w:val="22"/>
          <w:rFonts w:asciiTheme="minorHAnsi" w:hAnsiTheme="minorHAnsi"/>
        </w:rPr>
        <w:t xml:space="preserve"> </w:t>
      </w:r>
      <w:r>
        <w:rPr>
          <w:i/>
          <w:sz w:val="22"/>
          <w:szCs w:val="22"/>
          <w:rFonts w:asciiTheme="minorHAnsi" w:hAnsiTheme="minorHAnsi"/>
        </w:rPr>
        <w:t xml:space="preserve">Le prime 4 settimane sono il periodo più rischioso.</w:t>
      </w:r>
    </w:p>
    <w:p w14:paraId="37281141" w14:textId="77777777" w:rsidR="00D71917" w:rsidRPr="00AE15DA" w:rsidRDefault="005A554D" w:rsidP="0043334F">
      <w:pPr>
        <w:spacing w:before="100" w:beforeAutospacing="1" w:after="100" w:afterAutospacing="1"/>
        <w:contextualSpacing/>
        <w:jc w:val="both"/>
        <w:rPr>
          <w:i/>
          <w:sz w:val="22"/>
          <w:szCs w:val="22"/>
          <w:rFonts w:asciiTheme="minorHAnsi" w:hAnsiTheme="minorHAnsi"/>
        </w:rPr>
      </w:pPr>
      <w:r>
        <w:rPr>
          <w:i/>
          <w:sz w:val="22"/>
          <w:szCs w:val="22"/>
          <w:rFonts w:asciiTheme="minorHAnsi" w:hAnsiTheme="minorHAnsi"/>
        </w:rPr>
        <w:t xml:space="preserve">*Nei pazienti a rischio di iponatriemia, può essere appropriato preferire la mirtazapina o il bupropione agli SSRI.</w:t>
      </w:r>
      <w:r>
        <w:rPr>
          <w:i/>
          <w:sz w:val="22"/>
          <w:szCs w:val="22"/>
          <w:rFonts w:asciiTheme="minorHAnsi" w:hAnsiTheme="minorHAnsi"/>
        </w:rPr>
        <w:t xml:space="preserve"> </w:t>
      </w:r>
    </w:p>
    <w:p w14:paraId="2FD2FA1F" w14:textId="77777777" w:rsidR="006C24B0" w:rsidRPr="00AE15DA" w:rsidRDefault="006C24B0" w:rsidP="0043334F">
      <w:pPr>
        <w:autoSpaceDE w:val="0"/>
        <w:autoSpaceDN w:val="0"/>
        <w:adjustRightInd w:val="0"/>
        <w:contextualSpacing/>
        <w:jc w:val="both"/>
        <w:rPr>
          <w:rFonts w:asciiTheme="minorHAnsi" w:hAnsiTheme="minorHAnsi"/>
          <w:b/>
          <w:sz w:val="22"/>
          <w:szCs w:val="22"/>
        </w:rPr>
      </w:pPr>
    </w:p>
    <w:p w14:paraId="4BD2506D" w14:textId="77777777" w:rsidR="00DB20DE" w:rsidRPr="00AE15DA" w:rsidRDefault="00DB20DE" w:rsidP="0043334F">
      <w:pPr>
        <w:autoSpaceDE w:val="0"/>
        <w:autoSpaceDN w:val="0"/>
        <w:adjustRightInd w:val="0"/>
        <w:contextualSpacing/>
        <w:jc w:val="both"/>
        <w:rPr>
          <w:rFonts w:asciiTheme="minorHAnsi" w:hAnsiTheme="minorHAnsi"/>
          <w:b/>
          <w:sz w:val="22"/>
          <w:szCs w:val="22"/>
        </w:rPr>
      </w:pPr>
    </w:p>
    <w:p w14:paraId="5E644548" w14:textId="2FA858CE" w:rsidR="00962639" w:rsidRPr="00AE15DA" w:rsidRDefault="00E66E29" w:rsidP="0043334F">
      <w:pPr>
        <w:autoSpaceDE w:val="0"/>
        <w:autoSpaceDN w:val="0"/>
        <w:adjustRightInd w:val="0"/>
        <w:contextualSpacing/>
        <w:jc w:val="both"/>
        <w:rPr>
          <w:b/>
          <w:color w:val="000000"/>
          <w:sz w:val="22"/>
          <w:szCs w:val="22"/>
          <w:rFonts w:asciiTheme="minorHAnsi" w:hAnsiTheme="minorHAnsi"/>
        </w:rPr>
      </w:pPr>
      <w:r>
        <w:rPr>
          <w:b/>
          <w:sz w:val="22"/>
          <w:szCs w:val="22"/>
          <w:rFonts w:ascii="Calibri" w:hAnsi="Calibri"/>
        </w:rPr>
        <w:t xml:space="preserve">#</w:t>
      </w:r>
      <w:r>
        <w:rPr>
          <w:b/>
          <w:sz w:val="22"/>
          <w:szCs w:val="22"/>
          <w:rFonts w:asciiTheme="minorHAnsi" w:hAnsiTheme="minorHAnsi"/>
        </w:rPr>
        <w:t xml:space="preserve">B4.</w:t>
      </w:r>
      <w:r>
        <w:rPr>
          <w:b/>
          <w:sz w:val="22"/>
          <w:szCs w:val="22"/>
          <w:rFonts w:asciiTheme="minorHAnsi" w:hAnsiTheme="minorHAnsi"/>
        </w:rPr>
        <w:t xml:space="preserve"> </w:t>
      </w:r>
      <w:r>
        <w:rPr>
          <w:b/>
          <w:sz w:val="22"/>
          <w:szCs w:val="22"/>
          <w:color w:val="000000"/>
          <w:rFonts w:asciiTheme="minorHAnsi" w:hAnsiTheme="minorHAnsi"/>
        </w:rPr>
        <w:t xml:space="preserve">L'uso di SNRI non è appropriato in presenza di ipertensione non controllata.</w:t>
      </w:r>
    </w:p>
    <w:p w14:paraId="47C2B346" w14:textId="77777777" w:rsidR="0081726F" w:rsidRPr="00AE15DA" w:rsidRDefault="00962639" w:rsidP="0043334F">
      <w:pPr>
        <w:autoSpaceDE w:val="0"/>
        <w:autoSpaceDN w:val="0"/>
        <w:adjustRightInd w:val="0"/>
        <w:contextualSpacing/>
        <w:jc w:val="both"/>
        <w:rPr>
          <w:i/>
          <w:color w:val="000000"/>
          <w:sz w:val="22"/>
          <w:szCs w:val="22"/>
          <w:rFonts w:asciiTheme="minorHAnsi" w:hAnsiTheme="minorHAnsi"/>
        </w:rPr>
      </w:pPr>
      <w:r>
        <w:rPr>
          <w:i/>
          <w:color w:val="000000"/>
          <w:sz w:val="22"/>
          <w:szCs w:val="22"/>
          <w:rFonts w:asciiTheme="minorHAnsi" w:hAnsiTheme="minorHAnsi"/>
        </w:rPr>
        <w:t xml:space="preserve">*L'effetto collaterale HT della venlafaxina è più pronunciato rispetto alla duloxetina.</w:t>
      </w:r>
    </w:p>
    <w:p w14:paraId="13644F49" w14:textId="77777777" w:rsidR="001B712D" w:rsidRDefault="005A554D" w:rsidP="0043334F">
      <w:pPr>
        <w:pStyle w:val="HTMLncedenBiimlendirilmi"/>
        <w:contextualSpacing/>
        <w:jc w:val="both"/>
        <w:rPr>
          <w:i/>
          <w:color w:val="000000"/>
          <w:sz w:val="22"/>
          <w:szCs w:val="22"/>
          <w:rFonts w:asciiTheme="minorHAnsi" w:hAnsiTheme="minorHAnsi" w:cs="Times New Roman"/>
        </w:rPr>
      </w:pPr>
      <w:r>
        <w:rPr>
          <w:i/>
          <w:color w:val="000000"/>
          <w:sz w:val="22"/>
          <w:szCs w:val="22"/>
          <w:rFonts w:asciiTheme="minorHAnsi" w:hAnsiTheme="minorHAnsi"/>
        </w:rPr>
        <w:t xml:space="preserve">*L'effetto collaterale HT della venlafaxina è più pronunciato a dosi &gt; 300 mg/die.</w:t>
      </w:r>
    </w:p>
    <w:p w14:paraId="6ADE0DF6" w14:textId="1FCF2D7A" w:rsidR="001B712D" w:rsidRDefault="001B712D" w:rsidP="0043334F">
      <w:pPr>
        <w:pStyle w:val="HTMLncedenBiimlendirilmi"/>
        <w:contextualSpacing/>
        <w:jc w:val="both"/>
        <w:rPr>
          <w:rFonts w:asciiTheme="minorHAnsi" w:hAnsiTheme="minorHAnsi" w:cstheme="minorHAnsi"/>
          <w:color w:val="000000"/>
          <w:sz w:val="22"/>
          <w:szCs w:val="22"/>
        </w:rPr>
      </w:pPr>
    </w:p>
    <w:p w14:paraId="6A105924" w14:textId="77777777" w:rsidR="00E85274" w:rsidRPr="00AE15DA" w:rsidRDefault="00E85274" w:rsidP="0043334F">
      <w:pPr>
        <w:pStyle w:val="HTMLncedenBiimlendirilmi"/>
        <w:contextualSpacing/>
        <w:jc w:val="both"/>
        <w:rPr>
          <w:rFonts w:asciiTheme="minorHAnsi" w:hAnsiTheme="minorHAnsi" w:cstheme="minorHAnsi"/>
          <w:color w:val="000000"/>
          <w:sz w:val="22"/>
          <w:szCs w:val="22"/>
        </w:rPr>
      </w:pPr>
    </w:p>
    <w:p w14:paraId="63CA8556" w14:textId="77777777" w:rsidR="00F63F30" w:rsidRPr="00AE15DA" w:rsidRDefault="00AD4496" w:rsidP="0043334F">
      <w:pPr>
        <w:pStyle w:val="HTMLncedenBiimlendirilmi"/>
        <w:contextualSpacing/>
        <w:jc w:val="both"/>
        <w:rPr>
          <w:i/>
          <w:color w:val="000000"/>
          <w:sz w:val="22"/>
          <w:szCs w:val="22"/>
          <w:rFonts w:asciiTheme="minorHAnsi" w:hAnsiTheme="minorHAnsi" w:cs="Times New Roman"/>
        </w:rPr>
      </w:pPr>
      <w:r>
        <w:rPr>
          <w:sz w:val="22"/>
          <w:szCs w:val="22"/>
          <w:b/>
          <w:color w:val="000000"/>
          <w:rFonts w:asciiTheme="minorHAnsi" w:hAnsiTheme="minorHAnsi"/>
        </w:rPr>
        <w:t xml:space="preserve">B5.</w:t>
      </w:r>
      <w:r>
        <w:rPr>
          <w:sz w:val="22"/>
          <w:szCs w:val="22"/>
          <w:b/>
          <w:color w:val="000000"/>
          <w:rFonts w:asciiTheme="minorHAnsi" w:hAnsiTheme="minorHAnsi"/>
        </w:rPr>
        <w:t xml:space="preserve"> </w:t>
      </w:r>
      <w:r>
        <w:rPr>
          <w:sz w:val="22"/>
          <w:szCs w:val="22"/>
          <w:b/>
          <w:color w:val="000000"/>
          <w:rFonts w:asciiTheme="minorHAnsi" w:hAnsiTheme="minorHAnsi"/>
        </w:rPr>
        <w:t xml:space="preserve">L'uso di duloxetina non è appropriato nei pazienti con GFR &lt; 30 ml/min/1,73 m2 (aumento degli effetti collaterali gastrointestinali)</w:t>
      </w:r>
      <w:r>
        <w:rPr>
          <w:sz w:val="22"/>
          <w:szCs w:val="22"/>
          <w:rFonts w:asciiTheme="minorHAnsi" w:hAnsiTheme="minorHAnsi"/>
        </w:rPr>
        <w:t xml:space="preserve"> </w:t>
      </w:r>
      <w:r>
        <w:rPr>
          <w:sz w:val="22"/>
          <w:szCs w:val="22"/>
          <w:rFonts w:asciiTheme="minorHAnsi" w:hAnsiTheme="minorHAnsi"/>
        </w:rPr>
        <w:t xml:space="preserve">*Uso di altri comuni antidepressivi in ​​caso di insufficienza renale:</w:t>
      </w:r>
    </w:p>
    <w:p w14:paraId="6B6A0E87" w14:textId="77777777" w:rsidR="005B2907" w:rsidRPr="00AE15DA" w:rsidRDefault="005B2907" w:rsidP="0043334F">
      <w:pPr>
        <w:pStyle w:val="NormalWeb"/>
        <w:spacing w:before="0" w:beforeAutospacing="0" w:after="0" w:afterAutospacing="0"/>
        <w:ind w:firstLine="708"/>
        <w:contextualSpacing/>
        <w:jc w:val="both"/>
        <w:rPr>
          <w:i/>
          <w:color w:val="000000"/>
          <w:sz w:val="22"/>
          <w:szCs w:val="22"/>
          <w:rFonts w:asciiTheme="minorHAnsi" w:hAnsiTheme="minorHAnsi"/>
        </w:rPr>
      </w:pPr>
      <w:r>
        <w:rPr>
          <w:i/>
          <w:color w:val="000000"/>
          <w:sz w:val="22"/>
          <w:szCs w:val="22"/>
          <w:rFonts w:asciiTheme="minorHAnsi" w:hAnsiTheme="minorHAnsi"/>
        </w:rPr>
        <w:t xml:space="preserve">Citalopram ed escitalopram:</w:t>
      </w:r>
      <w:r>
        <w:rPr>
          <w:i/>
          <w:color w:val="000000"/>
          <w:sz w:val="22"/>
          <w:szCs w:val="22"/>
          <w:rFonts w:asciiTheme="minorHAnsi" w:hAnsiTheme="minorHAnsi"/>
        </w:rPr>
        <w:t xml:space="preserve"> </w:t>
      </w:r>
      <w:r>
        <w:rPr>
          <w:i/>
          <w:color w:val="000000"/>
          <w:sz w:val="22"/>
          <w:szCs w:val="22"/>
          <w:rFonts w:asciiTheme="minorHAnsi" w:hAnsiTheme="minorHAnsi"/>
        </w:rPr>
        <w:t xml:space="preserve">Non è necessario alcun aggiustamento della dose in caso di insufficienza renale da lieve a moderata.</w:t>
      </w:r>
      <w:r>
        <w:rPr>
          <w:i/>
          <w:color w:val="000000"/>
          <w:sz w:val="22"/>
          <w:szCs w:val="22"/>
          <w:rFonts w:asciiTheme="minorHAnsi" w:hAnsiTheme="minorHAnsi"/>
        </w:rPr>
        <w:t xml:space="preserve"> </w:t>
      </w:r>
      <w:r>
        <w:rPr>
          <w:i/>
          <w:color w:val="000000"/>
          <w:sz w:val="22"/>
          <w:szCs w:val="22"/>
          <w:rFonts w:asciiTheme="minorHAnsi" w:hAnsiTheme="minorHAnsi"/>
        </w:rPr>
        <w:t xml:space="preserve">L'aggiustamento della dose non è necessario in caso di insufficienza renale grave (GFR&lt;20 ml/min/1,73 m2), ma deve essere usato con cautela.</w:t>
      </w:r>
    </w:p>
    <w:p w14:paraId="5EBC4C86" w14:textId="77777777" w:rsidR="005B2907" w:rsidRPr="00AE15DA" w:rsidRDefault="005B2907" w:rsidP="0043334F">
      <w:pPr>
        <w:pStyle w:val="NormalWeb"/>
        <w:spacing w:before="0" w:beforeAutospacing="0" w:after="0" w:afterAutospacing="0"/>
        <w:ind w:firstLine="708"/>
        <w:contextualSpacing/>
        <w:jc w:val="both"/>
        <w:rPr>
          <w:i/>
          <w:color w:val="000000"/>
          <w:sz w:val="22"/>
          <w:szCs w:val="22"/>
          <w:rFonts w:asciiTheme="minorHAnsi" w:hAnsiTheme="minorHAnsi"/>
        </w:rPr>
      </w:pPr>
      <w:r>
        <w:rPr>
          <w:i/>
          <w:color w:val="000000"/>
          <w:sz w:val="22"/>
          <w:szCs w:val="22"/>
          <w:rFonts w:asciiTheme="minorHAnsi" w:hAnsiTheme="minorHAnsi"/>
        </w:rPr>
        <w:t xml:space="preserve">Sertralina:</w:t>
      </w:r>
      <w:r>
        <w:rPr>
          <w:i/>
          <w:color w:val="000000"/>
          <w:sz w:val="22"/>
          <w:szCs w:val="22"/>
          <w:rFonts w:asciiTheme="minorHAnsi" w:hAnsiTheme="minorHAnsi"/>
        </w:rPr>
        <w:t xml:space="preserve"> </w:t>
      </w:r>
      <w:r>
        <w:rPr>
          <w:i/>
          <w:color w:val="000000"/>
          <w:sz w:val="22"/>
          <w:szCs w:val="22"/>
          <w:rFonts w:asciiTheme="minorHAnsi" w:hAnsiTheme="minorHAnsi"/>
        </w:rPr>
        <w:t xml:space="preserve">Non è necessario alcun aggiustamento della dose nell'insufficienza renale.</w:t>
      </w:r>
    </w:p>
    <w:p w14:paraId="78D097B4" w14:textId="77777777" w:rsidR="0081726F" w:rsidRPr="00AE15DA" w:rsidRDefault="005B2907" w:rsidP="0043334F">
      <w:pPr>
        <w:pStyle w:val="NormalWeb"/>
        <w:spacing w:before="0" w:beforeAutospacing="0" w:after="0" w:afterAutospacing="0"/>
        <w:ind w:firstLine="708"/>
        <w:contextualSpacing/>
        <w:jc w:val="both"/>
        <w:rPr>
          <w:i/>
          <w:color w:val="000000"/>
          <w:sz w:val="22"/>
          <w:szCs w:val="22"/>
          <w:rFonts w:asciiTheme="minorHAnsi" w:hAnsiTheme="minorHAnsi"/>
        </w:rPr>
      </w:pPr>
      <w:r>
        <w:rPr>
          <w:color w:val="000000"/>
          <w:sz w:val="22"/>
          <w:szCs w:val="22"/>
          <w:i/>
          <w:rFonts w:asciiTheme="minorHAnsi" w:hAnsiTheme="minorHAnsi"/>
        </w:rPr>
        <w:t xml:space="preserve">Paroxetina:</w:t>
      </w:r>
      <w:r>
        <w:rPr>
          <w:color w:val="000000"/>
          <w:sz w:val="22"/>
          <w:szCs w:val="22"/>
          <w:i/>
          <w:rFonts w:asciiTheme="minorHAnsi" w:hAnsiTheme="minorHAnsi"/>
        </w:rPr>
        <w:t xml:space="preserve"> </w:t>
      </w:r>
      <w:r>
        <w:rPr>
          <w:color w:val="000000"/>
          <w:sz w:val="22"/>
          <w:szCs w:val="22"/>
          <w:i/>
          <w:iCs/>
          <w:rFonts w:asciiTheme="minorHAnsi" w:hAnsiTheme="minorHAnsi"/>
        </w:rPr>
        <w:t xml:space="preserve">Se GFR &lt; 30 ml/min/1,73 m2, la dose massima è 40 mg nelle compresse a rilascio immediato, la dose massima nelle preparazioni a rilascio prolungato:</w:t>
      </w:r>
      <w:r>
        <w:rPr>
          <w:color w:val="000000"/>
          <w:sz w:val="22"/>
          <w:szCs w:val="22"/>
          <w:i/>
          <w:rFonts w:asciiTheme="minorHAnsi" w:hAnsiTheme="minorHAnsi"/>
        </w:rPr>
        <w:t xml:space="preserve"> </w:t>
      </w:r>
      <w:r>
        <w:rPr>
          <w:color w:val="000000"/>
          <w:sz w:val="22"/>
          <w:szCs w:val="22"/>
          <w:i/>
          <w:rFonts w:asciiTheme="minorHAnsi" w:hAnsiTheme="minorHAnsi"/>
        </w:rPr>
        <w:t xml:space="preserve">50 mg/giorno.</w:t>
      </w:r>
    </w:p>
    <w:p w14:paraId="7558CB39" w14:textId="77777777" w:rsidR="00331FB6" w:rsidRPr="00AE15DA" w:rsidRDefault="00331FB6" w:rsidP="0043334F">
      <w:pPr>
        <w:pStyle w:val="NormalWeb"/>
        <w:spacing w:before="0" w:beforeAutospacing="0" w:after="0" w:afterAutospacing="0"/>
        <w:ind w:firstLine="708"/>
        <w:contextualSpacing/>
        <w:jc w:val="both"/>
        <w:rPr>
          <w:i/>
          <w:color w:val="000000"/>
          <w:sz w:val="22"/>
          <w:szCs w:val="22"/>
          <w:rFonts w:asciiTheme="minorHAnsi" w:hAnsiTheme="minorHAnsi"/>
        </w:rPr>
      </w:pPr>
      <w:r>
        <w:rPr>
          <w:color w:val="000000"/>
          <w:sz w:val="22"/>
          <w:szCs w:val="22"/>
          <w:i/>
          <w:rFonts w:asciiTheme="minorHAnsi" w:hAnsiTheme="minorHAnsi"/>
        </w:rPr>
        <w:t xml:space="preserve">Venlafaxina:</w:t>
      </w:r>
      <w:r>
        <w:rPr>
          <w:color w:val="000000"/>
          <w:sz w:val="22"/>
          <w:szCs w:val="22"/>
          <w:i/>
          <w:rFonts w:asciiTheme="minorHAnsi" w:hAnsiTheme="minorHAnsi"/>
        </w:rPr>
        <w:t xml:space="preserve"> </w:t>
      </w:r>
      <w:r>
        <w:rPr>
          <w:color w:val="000000"/>
          <w:sz w:val="22"/>
          <w:szCs w:val="22"/>
          <w:rFonts w:asciiTheme="minorHAnsi" w:hAnsiTheme="minorHAnsi"/>
        </w:rPr>
        <w:t xml:space="preserve">Se il GFR è &lt; 30 ml/min/1,73 m2, la dose deve essere ridotta del 50% nelle preparazioni a rilascio prolungato; nelle preparazioni a rilascio immediato, se il GFR è 10-75 ml/min/1,73 m2, la dose deve essere ridotta del 25%.</w:t>
      </w:r>
    </w:p>
    <w:p w14:paraId="6A794D34" w14:textId="77777777" w:rsidR="0081726F" w:rsidRPr="00AE15DA" w:rsidRDefault="0081726F" w:rsidP="0043334F">
      <w:pPr>
        <w:pStyle w:val="NormalWeb"/>
        <w:spacing w:before="0" w:beforeAutospacing="0" w:after="0" w:afterAutospacing="0"/>
        <w:ind w:firstLine="708"/>
        <w:contextualSpacing/>
        <w:jc w:val="both"/>
        <w:rPr>
          <w:i/>
          <w:color w:val="000000"/>
          <w:sz w:val="22"/>
          <w:szCs w:val="22"/>
          <w:rFonts w:asciiTheme="minorHAnsi" w:hAnsiTheme="minorHAnsi"/>
        </w:rPr>
      </w:pPr>
      <w:r>
        <w:rPr>
          <w:i/>
          <w:color w:val="000000"/>
          <w:sz w:val="22"/>
          <w:szCs w:val="22"/>
          <w:rFonts w:asciiTheme="minorHAnsi" w:hAnsiTheme="minorHAnsi"/>
        </w:rPr>
        <w:t xml:space="preserve">Mirtazapina:</w:t>
      </w:r>
      <w:r>
        <w:rPr>
          <w:i/>
          <w:color w:val="000000"/>
          <w:sz w:val="22"/>
          <w:szCs w:val="22"/>
          <w:rFonts w:asciiTheme="minorHAnsi" w:hAnsiTheme="minorHAnsi"/>
        </w:rPr>
        <w:t xml:space="preserve"> </w:t>
      </w:r>
      <w:r>
        <w:rPr>
          <w:i/>
          <w:color w:val="000000"/>
          <w:sz w:val="22"/>
          <w:szCs w:val="22"/>
          <w:rFonts w:asciiTheme="minorHAnsi" w:hAnsiTheme="minorHAnsi"/>
        </w:rPr>
        <w:t xml:space="preserve">Non è necessario alcun aggiustamento del dosaggio in caso di insufficienza renale, ma deve essere usato con cautela in caso di insufficienza renale da moderata a grave.</w:t>
      </w:r>
    </w:p>
    <w:p w14:paraId="4A93BBB3" w14:textId="77777777" w:rsidR="0081726F" w:rsidRPr="00AE15DA" w:rsidRDefault="00F461E8" w:rsidP="0043334F">
      <w:pPr>
        <w:pStyle w:val="NormalWeb"/>
        <w:spacing w:before="0" w:beforeAutospacing="0" w:after="0" w:afterAutospacing="0"/>
        <w:ind w:firstLine="708"/>
        <w:contextualSpacing/>
        <w:jc w:val="both"/>
        <w:rPr>
          <w:i/>
          <w:color w:val="000000"/>
          <w:sz w:val="22"/>
          <w:szCs w:val="22"/>
          <w:rFonts w:asciiTheme="minorHAnsi" w:hAnsiTheme="minorHAnsi"/>
        </w:rPr>
      </w:pPr>
      <w:r>
        <w:rPr>
          <w:i/>
          <w:color w:val="000000"/>
          <w:sz w:val="22"/>
          <w:szCs w:val="22"/>
          <w:rFonts w:asciiTheme="minorHAnsi" w:hAnsiTheme="minorHAnsi"/>
        </w:rPr>
        <w:t xml:space="preserve">Agomelatina:</w:t>
      </w:r>
      <w:r>
        <w:rPr>
          <w:i/>
          <w:color w:val="000000"/>
          <w:sz w:val="22"/>
          <w:szCs w:val="22"/>
          <w:rFonts w:asciiTheme="minorHAnsi" w:hAnsiTheme="minorHAnsi"/>
        </w:rPr>
        <w:t xml:space="preserve"> </w:t>
      </w:r>
      <w:r>
        <w:rPr>
          <w:i/>
          <w:color w:val="000000"/>
          <w:sz w:val="22"/>
          <w:szCs w:val="22"/>
          <w:rFonts w:asciiTheme="minorHAnsi" w:hAnsiTheme="minorHAnsi"/>
        </w:rPr>
        <w:t xml:space="preserve">Non è necessario alcun aggiustamento della dose nell'insufficienza renale.</w:t>
      </w:r>
    </w:p>
    <w:p w14:paraId="2094ACE1" w14:textId="77777777" w:rsidR="005B2907" w:rsidRPr="00AE15DA" w:rsidRDefault="005B2907" w:rsidP="0043334F">
      <w:pPr>
        <w:pStyle w:val="NormalWeb"/>
        <w:spacing w:before="0" w:beforeAutospacing="0" w:after="0" w:afterAutospacing="0"/>
        <w:ind w:firstLine="708"/>
        <w:contextualSpacing/>
        <w:jc w:val="both"/>
        <w:rPr>
          <w:i/>
          <w:color w:val="000000"/>
          <w:sz w:val="22"/>
          <w:szCs w:val="22"/>
          <w:rFonts w:asciiTheme="minorHAnsi" w:hAnsiTheme="minorHAnsi"/>
        </w:rPr>
      </w:pPr>
      <w:r>
        <w:rPr>
          <w:i/>
          <w:color w:val="000000"/>
          <w:sz w:val="22"/>
          <w:szCs w:val="22"/>
          <w:rFonts w:asciiTheme="minorHAnsi" w:hAnsiTheme="minorHAnsi"/>
        </w:rPr>
        <w:t xml:space="preserve">Vortioxetina:</w:t>
      </w:r>
      <w:r>
        <w:rPr>
          <w:i/>
          <w:color w:val="000000"/>
          <w:sz w:val="22"/>
          <w:szCs w:val="22"/>
          <w:rFonts w:asciiTheme="minorHAnsi" w:hAnsiTheme="minorHAnsi"/>
        </w:rPr>
        <w:t xml:space="preserve"> </w:t>
      </w:r>
      <w:r>
        <w:rPr>
          <w:i/>
          <w:color w:val="000000"/>
          <w:sz w:val="22"/>
          <w:szCs w:val="22"/>
          <w:rFonts w:asciiTheme="minorHAnsi" w:hAnsiTheme="minorHAnsi"/>
        </w:rPr>
        <w:t xml:space="preserve">Non è necessario alcun aggiustamento della dose nell'insufficienza renale.</w:t>
      </w:r>
    </w:p>
    <w:p w14:paraId="02B8E7F8" w14:textId="77777777" w:rsidR="005B2907" w:rsidRPr="00AE15DA" w:rsidRDefault="005B2907" w:rsidP="0043334F">
      <w:pPr>
        <w:pStyle w:val="NormalWeb"/>
        <w:spacing w:before="0" w:beforeAutospacing="0" w:after="0" w:afterAutospacing="0"/>
        <w:contextualSpacing/>
        <w:jc w:val="both"/>
        <w:rPr>
          <w:rFonts w:asciiTheme="minorHAnsi" w:hAnsiTheme="minorHAnsi"/>
          <w:b/>
          <w:i/>
          <w:color w:val="000000"/>
          <w:sz w:val="22"/>
          <w:szCs w:val="22"/>
        </w:rPr>
      </w:pPr>
    </w:p>
    <w:p w14:paraId="0605A6D7" w14:textId="77777777" w:rsidR="00744A29" w:rsidRPr="00AE15DA" w:rsidRDefault="00744A29" w:rsidP="0043334F">
      <w:pPr>
        <w:pStyle w:val="HTMLncedenBiimlendirilmi"/>
        <w:contextualSpacing/>
        <w:jc w:val="both"/>
        <w:rPr>
          <w:rFonts w:asciiTheme="minorHAnsi" w:hAnsiTheme="minorHAnsi" w:cstheme="minorHAnsi"/>
          <w:sz w:val="22"/>
          <w:szCs w:val="22"/>
        </w:rPr>
      </w:pPr>
    </w:p>
    <w:p w14:paraId="21DE3144" w14:textId="77777777" w:rsidR="00744A29" w:rsidRPr="00AE15DA" w:rsidRDefault="006C24B0" w:rsidP="0043334F">
      <w:pPr>
        <w:pStyle w:val="HTMLncedenBiimlendirilmi"/>
        <w:contextualSpacing/>
        <w:jc w:val="both"/>
        <w:rPr>
          <w:b/>
          <w:color w:val="000000"/>
          <w:sz w:val="22"/>
          <w:szCs w:val="22"/>
          <w:rFonts w:asciiTheme="minorHAnsi" w:hAnsiTheme="minorHAnsi"/>
        </w:rPr>
      </w:pPr>
      <w:r>
        <w:rPr>
          <w:b/>
          <w:color w:val="000000"/>
          <w:sz w:val="22"/>
          <w:szCs w:val="22"/>
          <w:rFonts w:asciiTheme="minorHAnsi" w:hAnsiTheme="minorHAnsi"/>
        </w:rPr>
        <w:t xml:space="preserve">B6.</w:t>
      </w:r>
      <w:r>
        <w:rPr>
          <w:b/>
          <w:color w:val="000000"/>
          <w:sz w:val="22"/>
          <w:szCs w:val="22"/>
          <w:rFonts w:asciiTheme="minorHAnsi" w:hAnsiTheme="minorHAnsi"/>
        </w:rPr>
        <w:t xml:space="preserve"> </w:t>
      </w:r>
      <w:r>
        <w:rPr>
          <w:b/>
          <w:color w:val="000000"/>
          <w:sz w:val="22"/>
          <w:szCs w:val="22"/>
          <w:rFonts w:asciiTheme="minorHAnsi" w:hAnsiTheme="minorHAnsi"/>
        </w:rPr>
        <w:t xml:space="preserve">In caso di GFR &lt; 60 ml/min/1,73 m2, l'uso di pregabalin e gabapentin senza riduzione della dose non è appropriato.</w:t>
      </w:r>
    </w:p>
    <w:p w14:paraId="6414C927" w14:textId="77777777" w:rsidR="00744A29" w:rsidRPr="00AE15DA" w:rsidRDefault="00744A29" w:rsidP="0043334F">
      <w:pPr>
        <w:pStyle w:val="HTMLncedenBiimlendirilmi"/>
        <w:contextualSpacing/>
        <w:jc w:val="both"/>
        <w:rPr>
          <w:rFonts w:asciiTheme="minorHAnsi" w:hAnsiTheme="minorHAnsi"/>
          <w:b/>
          <w:color w:val="000000"/>
          <w:sz w:val="22"/>
          <w:szCs w:val="22"/>
        </w:rPr>
      </w:pPr>
    </w:p>
    <w:p w14:paraId="7E4FAD54" w14:textId="77777777" w:rsidR="006C24B0" w:rsidRPr="00AE15DA" w:rsidRDefault="006C24B0" w:rsidP="0043334F">
      <w:pPr>
        <w:pStyle w:val="HTMLncedenBiimlendirilmi"/>
        <w:contextualSpacing/>
        <w:jc w:val="both"/>
        <w:rPr>
          <w:color w:val="000000"/>
          <w:sz w:val="22"/>
          <w:szCs w:val="22"/>
          <w:rFonts w:asciiTheme="minorHAnsi" w:hAnsiTheme="minorHAnsi" w:cstheme="minorHAnsi"/>
        </w:rPr>
      </w:pPr>
      <w:r>
        <w:rPr>
          <w:b/>
          <w:sz w:val="22"/>
          <w:szCs w:val="22"/>
          <w:rFonts w:asciiTheme="minorHAnsi" w:hAnsiTheme="minorHAnsi"/>
        </w:rPr>
        <w:t xml:space="preserve">B7.</w:t>
      </w:r>
      <w:r>
        <w:rPr>
          <w:b/>
          <w:sz w:val="22"/>
          <w:szCs w:val="22"/>
          <w:rFonts w:asciiTheme="minorHAnsi" w:hAnsiTheme="minorHAnsi"/>
        </w:rPr>
        <w:t xml:space="preserve"> </w:t>
      </w:r>
      <w:r>
        <w:rPr>
          <w:b/>
          <w:bCs/>
        </w:rPr>
        <w:t xml:space="preserve">Nei pazienti con delirio o demenza, farmaci con elevati effetti anticolinergici (amitriptilina, paroxetina, diciclomina, L-iosciamina, tioridazina, clorpromazina, clozapina, olanzapina antimuscarinici urinari, bloccanti del recettore H1, in particolare bloccanti del recettore H1 di prima generazione, fenidramina, bloccanti del recettore H2, fenidramina), i bloccanti non sono adatti all'uso (rischio di deterioramento cognitivo)</w:t>
      </w:r>
    </w:p>
    <w:p w14:paraId="51B966A7" w14:textId="77777777" w:rsidR="00B3469F" w:rsidRPr="00AE15DA" w:rsidRDefault="00B3469F" w:rsidP="0043334F">
      <w:pPr>
        <w:pStyle w:val="NormalWeb"/>
        <w:spacing w:before="0" w:beforeAutospacing="0" w:after="0" w:afterAutospacing="0"/>
        <w:contextualSpacing/>
        <w:jc w:val="both"/>
        <w:rPr>
          <w:i/>
          <w:sz w:val="22"/>
          <w:szCs w:val="22"/>
          <w:rFonts w:asciiTheme="minorHAnsi" w:hAnsiTheme="minorHAnsi"/>
        </w:rPr>
      </w:pPr>
      <w:r>
        <w:rPr>
          <w:i/>
          <w:sz w:val="22"/>
          <w:szCs w:val="22"/>
          <w:rFonts w:asciiTheme="minorHAnsi" w:hAnsiTheme="minorHAnsi"/>
        </w:rPr>
        <w:t xml:space="preserve">*Nei pazienti con reperti del sistema extrapiramidale (reperti di parkinsonismo) come la demenza di Parkinson e la demenza a corpi di Lewy, l'uso di clozapina può essere richiesto nella pratica clinica per il trattamento di gravi sintomi comportamentali di demenza/delirio.</w:t>
      </w:r>
      <w:r>
        <w:rPr>
          <w:i/>
          <w:sz w:val="22"/>
          <w:szCs w:val="22"/>
          <w:rFonts w:asciiTheme="minorHAnsi" w:hAnsiTheme="minorHAnsi"/>
        </w:rPr>
        <w:t xml:space="preserve"> </w:t>
      </w:r>
      <w:r>
        <w:rPr>
          <w:i/>
          <w:sz w:val="22"/>
          <w:szCs w:val="22"/>
          <w:rFonts w:asciiTheme="minorHAnsi" w:hAnsiTheme="minorHAnsi"/>
        </w:rPr>
        <w:t xml:space="preserve">In questo caso, dovrebbe essere utilizzato per il minor tempo possibile, alla dose più bassa e con un attento monitoraggio delle funzioni cognitive.</w:t>
      </w:r>
      <w:r>
        <w:rPr>
          <w:i/>
          <w:sz w:val="22"/>
          <w:szCs w:val="22"/>
          <w:rFonts w:asciiTheme="minorHAnsi" w:hAnsiTheme="minorHAnsi"/>
        </w:rPr>
        <w:t xml:space="preserve"> </w:t>
      </w:r>
    </w:p>
    <w:p w14:paraId="50A3E750" w14:textId="77777777" w:rsidR="001105EC" w:rsidRPr="00AE15DA" w:rsidRDefault="00B3469F" w:rsidP="0043334F">
      <w:pPr>
        <w:pStyle w:val="NormalWeb"/>
        <w:spacing w:before="0" w:beforeAutospacing="0" w:after="0" w:afterAutospacing="0"/>
        <w:contextualSpacing/>
        <w:jc w:val="both"/>
        <w:rPr>
          <w:i/>
          <w:sz w:val="22"/>
          <w:szCs w:val="22"/>
          <w:rFonts w:asciiTheme="minorHAnsi" w:hAnsiTheme="minorHAnsi"/>
        </w:rPr>
      </w:pPr>
      <w:r>
        <w:rPr>
          <w:i/>
          <w:sz w:val="22"/>
          <w:szCs w:val="22"/>
          <w:rFonts w:asciiTheme="minorHAnsi" w:hAnsiTheme="minorHAnsi"/>
        </w:rPr>
        <w:t xml:space="preserve">*Nei pazienti con reperti del sistema extrapiramidale (reperti di parkinsonismo) come la demenza di Parkinson e la demenza da corpi di Lewy, il trattamento con quetiapina è appropriato nella prima fase prima del trattamento con clozapina se è richiesto l'uso di neurolettici a causa di gravi sintomi comportamentali.</w:t>
      </w:r>
      <w:r>
        <w:rPr>
          <w:i/>
          <w:sz w:val="22"/>
          <w:szCs w:val="22"/>
          <w:rFonts w:asciiTheme="minorHAnsi" w:hAnsiTheme="minorHAnsi"/>
        </w:rPr>
        <w:t xml:space="preserve">  </w:t>
      </w:r>
    </w:p>
    <w:p w14:paraId="3AEDCF50" w14:textId="1362C44E" w:rsidR="00B3469F" w:rsidRPr="00AE15DA" w:rsidRDefault="001105EC" w:rsidP="0043334F">
      <w:pPr>
        <w:pStyle w:val="NormalWeb"/>
        <w:spacing w:before="0" w:beforeAutospacing="0" w:after="0" w:afterAutospacing="0"/>
        <w:contextualSpacing/>
        <w:jc w:val="both"/>
        <w:rPr>
          <w:i/>
          <w:sz w:val="22"/>
          <w:szCs w:val="22"/>
          <w:rFonts w:asciiTheme="minorHAnsi" w:hAnsiTheme="minorHAnsi"/>
        </w:rPr>
      </w:pPr>
      <w:r>
        <w:rPr>
          <w:i/>
          <w:sz w:val="22"/>
          <w:szCs w:val="22"/>
          <w:rFonts w:asciiTheme="minorHAnsi" w:hAnsiTheme="minorHAnsi"/>
        </w:rPr>
        <w:t xml:space="preserve">*In considerazione del trattamento, i trattamenti con clozapina/quetiapina devono essere iniziati alla dose di 12,5 mg, gli effetti collaterali devono essere attentamente monitorati e, se necessario, aumentati a dosi di 12,5-25 mg.</w:t>
      </w:r>
      <w:r>
        <w:rPr>
          <w:i/>
          <w:sz w:val="22"/>
          <w:szCs w:val="22"/>
          <w:rFonts w:asciiTheme="minorHAnsi" w:hAnsiTheme="minorHAnsi"/>
        </w:rPr>
        <w:t xml:space="preserve"> </w:t>
      </w:r>
      <w:r>
        <w:rPr>
          <w:i/>
          <w:sz w:val="22"/>
          <w:szCs w:val="22"/>
          <w:rFonts w:asciiTheme="minorHAnsi" w:hAnsiTheme="minorHAnsi"/>
        </w:rPr>
        <w:t xml:space="preserve">Dopo aver raggiunto il controllo dei sintomi, si dovrebbe provare a ridurre e interrompere entro poche settimane.</w:t>
      </w:r>
      <w:r>
        <w:rPr>
          <w:i/>
          <w:sz w:val="22"/>
          <w:szCs w:val="22"/>
          <w:rFonts w:asciiTheme="minorHAnsi" w:hAnsiTheme="minorHAnsi"/>
        </w:rPr>
        <w:t xml:space="preserve"> </w:t>
      </w:r>
    </w:p>
    <w:p w14:paraId="50371571" w14:textId="77777777" w:rsidR="002247CF" w:rsidRPr="00AE15DA" w:rsidRDefault="002247CF" w:rsidP="0043334F">
      <w:pPr>
        <w:pStyle w:val="HTMLncedenBiimlendirilmi"/>
        <w:contextualSpacing/>
        <w:jc w:val="both"/>
        <w:rPr>
          <w:rFonts w:asciiTheme="minorHAnsi" w:hAnsiTheme="minorHAnsi" w:cs="Times New Roman"/>
          <w:b/>
          <w:i/>
          <w:color w:val="000000" w:themeColor="text1"/>
          <w:sz w:val="22"/>
          <w:szCs w:val="22"/>
          <w:shd w:val="clear" w:color="auto" w:fill="FFFFFF"/>
        </w:rPr>
      </w:pPr>
    </w:p>
    <w:p w14:paraId="0B1123E3" w14:textId="77777777" w:rsidR="00F33DB8" w:rsidRPr="00AE15DA" w:rsidRDefault="00F33DB8" w:rsidP="0043334F">
      <w:pPr>
        <w:contextualSpacing/>
        <w:rPr>
          <w:rFonts w:asciiTheme="minorHAnsi" w:hAnsiTheme="minorHAnsi" w:cstheme="minorHAnsi"/>
          <w:color w:val="000000"/>
          <w:sz w:val="22"/>
          <w:szCs w:val="22"/>
        </w:rPr>
      </w:pPr>
    </w:p>
    <w:p w14:paraId="2B9A667A" w14:textId="77777777" w:rsidR="00E1265B" w:rsidRPr="00AE15DA" w:rsidRDefault="006C24B0" w:rsidP="0043334F">
      <w:pPr>
        <w:spacing w:before="100" w:beforeAutospacing="1" w:after="100" w:afterAutospacing="1"/>
        <w:contextualSpacing/>
        <w:jc w:val="both"/>
        <w:rPr>
          <w:b/>
          <w:color w:val="000000" w:themeColor="text1"/>
          <w:sz w:val="22"/>
          <w:szCs w:val="22"/>
          <w:rFonts w:asciiTheme="minorHAnsi" w:hAnsiTheme="minorHAnsi"/>
        </w:rPr>
      </w:pPr>
      <w:r>
        <w:rPr>
          <w:b/>
          <w:color w:val="000000" w:themeColor="text1"/>
          <w:sz w:val="22"/>
          <w:szCs w:val="22"/>
          <w:rFonts w:asciiTheme="minorHAnsi" w:hAnsiTheme="minorHAnsi"/>
        </w:rPr>
        <w:t xml:space="preserve">B8.</w:t>
      </w:r>
      <w:r>
        <w:rPr>
          <w:b/>
          <w:color w:val="000000" w:themeColor="text1"/>
          <w:sz w:val="22"/>
          <w:szCs w:val="22"/>
          <w:rFonts w:asciiTheme="minorHAnsi" w:hAnsiTheme="minorHAnsi"/>
        </w:rPr>
        <w:t xml:space="preserve"> </w:t>
      </w:r>
      <w:r>
        <w:rPr>
          <w:b/>
          <w:color w:val="000000" w:themeColor="text1"/>
          <w:sz w:val="22"/>
          <w:szCs w:val="22"/>
          <w:rFonts w:asciiTheme="minorHAnsi" w:hAnsiTheme="minorHAnsi"/>
        </w:rPr>
        <w:t xml:space="preserve">L'uso di agenti anticolinergici non è appropriato nel trattamento della malattia di Parkinson (aumento del rischio di effetti collaterali; esistono opzioni farmacologiche più efficaci e con minori effetti collaterali)</w:t>
      </w:r>
    </w:p>
    <w:p w14:paraId="5D5A217E" w14:textId="77777777" w:rsidR="00873A44" w:rsidRPr="00AE15DA" w:rsidRDefault="00873A44" w:rsidP="0043334F">
      <w:pPr>
        <w:tabs>
          <w:tab w:val="left" w:pos="708"/>
        </w:tabs>
        <w:contextualSpacing/>
        <w:jc w:val="both"/>
        <w:rPr>
          <w:rFonts w:asciiTheme="minorHAnsi" w:hAnsiTheme="minorHAnsi" w:cstheme="minorHAnsi"/>
          <w:color w:val="000000" w:themeColor="text1"/>
          <w:sz w:val="22"/>
          <w:szCs w:val="22"/>
        </w:rPr>
      </w:pPr>
    </w:p>
    <w:p w14:paraId="1FA65CA4" w14:textId="77777777" w:rsidR="009D2A23" w:rsidRPr="00AE15DA" w:rsidRDefault="009D2A23" w:rsidP="0043334F">
      <w:pPr>
        <w:spacing w:before="100" w:beforeAutospacing="1" w:after="100" w:afterAutospacing="1"/>
        <w:contextualSpacing/>
        <w:jc w:val="both"/>
        <w:rPr>
          <w:rStyle w:val="Kpr"/>
          <w:rFonts w:asciiTheme="minorHAnsi" w:eastAsiaTheme="majorEastAsia" w:hAnsiTheme="minorHAnsi" w:cstheme="minorHAnsi"/>
          <w:color w:val="000000" w:themeColor="text1"/>
          <w:sz w:val="22"/>
          <w:szCs w:val="22"/>
          <w:u w:val="none"/>
        </w:rPr>
      </w:pPr>
    </w:p>
    <w:p w14:paraId="4C3CC82F" w14:textId="77777777" w:rsidR="006C24B0" w:rsidRPr="00AE15DA" w:rsidRDefault="006C24B0" w:rsidP="0043334F">
      <w:pPr>
        <w:spacing w:before="100" w:beforeAutospacing="1" w:after="100" w:afterAutospacing="1"/>
        <w:contextualSpacing/>
        <w:jc w:val="both"/>
        <w:rPr>
          <w:color w:val="000000" w:themeColor="text1"/>
          <w:sz w:val="22"/>
          <w:szCs w:val="22"/>
          <w:rFonts w:asciiTheme="minorHAnsi" w:eastAsiaTheme="majorEastAsia" w:hAnsiTheme="minorHAnsi" w:cstheme="minorHAnsi"/>
        </w:rPr>
      </w:pPr>
      <w:r>
        <w:rPr>
          <w:b/>
          <w:sz w:val="22"/>
          <w:szCs w:val="22"/>
          <w:rFonts w:asciiTheme="minorHAnsi" w:hAnsiTheme="minorHAnsi"/>
        </w:rPr>
        <w:t xml:space="preserve">B9.</w:t>
      </w:r>
      <w:r>
        <w:rPr>
          <w:b/>
          <w:sz w:val="22"/>
          <w:szCs w:val="22"/>
          <w:rFonts w:asciiTheme="minorHAnsi" w:hAnsiTheme="minorHAnsi"/>
        </w:rPr>
        <w:t xml:space="preserve"> </w:t>
      </w:r>
      <w:r>
        <w:rPr>
          <w:b/>
          <w:sz w:val="22"/>
          <w:szCs w:val="22"/>
          <w:rFonts w:asciiTheme="minorHAnsi" w:hAnsiTheme="minorHAnsi"/>
        </w:rPr>
        <w:t xml:space="preserve">I farmaci anticolinergici non sono adatti per il trattamento degli effetti collaterali extrapiramidali dei neurolettici (rischio di tossicità anticolinergica).</w:t>
      </w:r>
    </w:p>
    <w:p w14:paraId="325D902C" w14:textId="77777777" w:rsidR="009D247E" w:rsidRPr="00AE15DA" w:rsidRDefault="009D247E" w:rsidP="0043334F">
      <w:pPr>
        <w:spacing w:before="100" w:beforeAutospacing="1" w:after="100" w:afterAutospacing="1"/>
        <w:contextualSpacing/>
        <w:jc w:val="both"/>
        <w:rPr>
          <w:rFonts w:asciiTheme="minorHAnsi" w:hAnsiTheme="minorHAnsi" w:cstheme="minorHAnsi"/>
          <w:color w:val="000000"/>
          <w:sz w:val="22"/>
          <w:szCs w:val="22"/>
        </w:rPr>
      </w:pPr>
    </w:p>
    <w:p w14:paraId="4A70ABDE" w14:textId="77777777" w:rsidR="00524390" w:rsidRPr="00AE15DA" w:rsidRDefault="00524390" w:rsidP="0043334F">
      <w:pPr>
        <w:spacing w:before="100" w:beforeAutospacing="1" w:after="100" w:afterAutospacing="1"/>
        <w:contextualSpacing/>
        <w:jc w:val="both"/>
        <w:rPr>
          <w:rFonts w:asciiTheme="minorHAnsi" w:hAnsiTheme="minorHAnsi" w:cstheme="minorHAnsi"/>
          <w:color w:val="000000"/>
          <w:sz w:val="22"/>
          <w:szCs w:val="22"/>
        </w:rPr>
      </w:pPr>
    </w:p>
    <w:p w14:paraId="5F7E5337" w14:textId="697BE0A4" w:rsidR="000B0558" w:rsidRPr="00AE15DA" w:rsidRDefault="006C24B0" w:rsidP="0043334F">
      <w:pPr>
        <w:spacing w:before="100" w:beforeAutospacing="1"/>
        <w:contextualSpacing/>
        <w:jc w:val="both"/>
        <w:rPr>
          <w:b/>
          <w:sz w:val="22"/>
          <w:szCs w:val="22"/>
          <w:rFonts w:asciiTheme="minorHAnsi" w:hAnsiTheme="minorHAnsi"/>
        </w:rPr>
      </w:pPr>
      <w:r>
        <w:rPr>
          <w:b/>
          <w:sz w:val="22"/>
          <w:szCs w:val="22"/>
          <w:rFonts w:asciiTheme="minorHAnsi" w:hAnsiTheme="minorHAnsi"/>
        </w:rPr>
        <w:t xml:space="preserve">B10.</w:t>
      </w:r>
      <w:r>
        <w:rPr>
          <w:b/>
          <w:sz w:val="22"/>
          <w:szCs w:val="22"/>
          <w:rFonts w:asciiTheme="minorHAnsi" w:hAnsiTheme="minorHAnsi"/>
        </w:rPr>
        <w:t xml:space="preserve"> </w:t>
      </w:r>
      <w:r>
        <w:rPr>
          <w:b/>
          <w:sz w:val="22"/>
          <w:szCs w:val="22"/>
          <w:rFonts w:asciiTheme="minorHAnsi" w:hAnsiTheme="minorHAnsi"/>
        </w:rPr>
        <w:t xml:space="preserve">L'uso di neurolettici/antipsicotici non è appropriato nei pazienti affetti da demenza, tranne nei casi in cui i trattamenti non farmacologici sono inefficaci nell'alleviare i sintomi comportamentali e psicologici e i sintomi sono gravi (aumento del rischio di ictus, insufficienza cardiaca, infezione da polmonite, morte).</w:t>
      </w:r>
      <w:r>
        <w:rPr>
          <w:b/>
          <w:sz w:val="22"/>
          <w:szCs w:val="22"/>
          <w:rFonts w:asciiTheme="minorHAnsi" w:hAnsiTheme="minorHAnsi"/>
        </w:rPr>
        <w:t xml:space="preserve"> </w:t>
      </w:r>
    </w:p>
    <w:p w14:paraId="0C4B5095" w14:textId="1590476A" w:rsidR="007D439E" w:rsidRPr="00AE15DA" w:rsidRDefault="007B4A79" w:rsidP="0043334F">
      <w:pPr>
        <w:contextualSpacing/>
        <w:jc w:val="both"/>
        <w:rPr>
          <w:sz w:val="22"/>
          <w:szCs w:val="22"/>
          <w:rFonts w:asciiTheme="minorHAnsi" w:hAnsiTheme="minorHAnsi"/>
        </w:rPr>
      </w:pPr>
      <w:r>
        <w:rPr>
          <w:i/>
          <w:sz w:val="22"/>
          <w:szCs w:val="22"/>
          <w:rFonts w:asciiTheme="minorHAnsi" w:hAnsiTheme="minorHAnsi"/>
        </w:rPr>
        <w:t xml:space="preserve">*Nei casi in cui i trattamenti non farmacologici sono inefficaci nell'alleviare i sintomi comportamentali e psicologici nei pazienti con demenza e i sintomi sono gravi, possono essere utilizzati neurolettici/antipsicotici, ma in questo caso devono essere usati alla dose più bassa che fornisce il controllo dei sintomi e per la durata più breve.</w:t>
      </w:r>
    </w:p>
    <w:p w14:paraId="405F1150" w14:textId="77777777" w:rsidR="007D439E" w:rsidRPr="00AE15DA" w:rsidRDefault="007D439E" w:rsidP="0043334F">
      <w:pPr>
        <w:contextualSpacing/>
        <w:jc w:val="both"/>
        <w:rPr>
          <w:i/>
          <w:sz w:val="22"/>
          <w:szCs w:val="22"/>
          <w:rFonts w:asciiTheme="minorHAnsi" w:hAnsiTheme="minorHAnsi"/>
        </w:rPr>
      </w:pPr>
      <w:r>
        <w:rPr>
          <w:i/>
          <w:sz w:val="22"/>
          <w:szCs w:val="22"/>
          <w:rFonts w:asciiTheme="minorHAnsi" w:hAnsiTheme="minorHAnsi"/>
        </w:rPr>
        <w:t xml:space="preserve">*L'approccio principale per alleviare i sintomi comportamentali e psicologici nei pazienti affetti da demenza consiste nel somministrare un trattamento ottimale per la demenza (ChEi/memantina).</w:t>
      </w:r>
      <w:r>
        <w:rPr>
          <w:i/>
          <w:sz w:val="22"/>
          <w:szCs w:val="22"/>
          <w:rFonts w:asciiTheme="minorHAnsi" w:hAnsiTheme="minorHAnsi"/>
        </w:rPr>
        <w:t xml:space="preserve"> </w:t>
      </w:r>
      <w:r>
        <w:rPr>
          <w:i/>
          <w:sz w:val="22"/>
          <w:szCs w:val="22"/>
          <w:rFonts w:asciiTheme="minorHAnsi" w:hAnsiTheme="minorHAnsi"/>
        </w:rPr>
        <w:t xml:space="preserve">Gli SSRI selezionati (soprattutto il citalopram) possono quindi essere provati.</w:t>
      </w:r>
    </w:p>
    <w:p w14:paraId="1A27F1D9" w14:textId="77777777" w:rsidR="00B3469F" w:rsidRPr="00AE15DA" w:rsidRDefault="00B3469F" w:rsidP="0043334F">
      <w:pPr>
        <w:pStyle w:val="AklamaMetni"/>
        <w:spacing w:after="0"/>
        <w:contextualSpacing/>
        <w:jc w:val="both"/>
        <w:rPr>
          <w:i/>
          <w:sz w:val="22"/>
          <w:szCs w:val="22"/>
          <w:rFonts w:cs="Times New Roman"/>
        </w:rPr>
      </w:pPr>
      <w:r>
        <w:rPr>
          <w:i/>
          <w:sz w:val="22"/>
          <w:szCs w:val="22"/>
        </w:rPr>
        <w:t xml:space="preserve">*Esistono informazioni contrastanti sull'efficacia di sertralina, trazadone e melatonina nell'alleviare i sintomi comportamentali e psicologici nei pazienti con demenza.</w:t>
      </w:r>
      <w:r>
        <w:rPr>
          <w:i/>
          <w:sz w:val="22"/>
          <w:szCs w:val="22"/>
        </w:rPr>
        <w:t xml:space="preserve"> </w:t>
      </w:r>
    </w:p>
    <w:p w14:paraId="0975C5C3" w14:textId="77777777" w:rsidR="009E4B52" w:rsidRPr="00AE15DA" w:rsidRDefault="009E4B52" w:rsidP="0043334F">
      <w:pPr>
        <w:pStyle w:val="AklamaMetni"/>
        <w:spacing w:after="0"/>
        <w:contextualSpacing/>
        <w:jc w:val="both"/>
        <w:rPr>
          <w:rFonts w:cs="Times New Roman"/>
          <w:i/>
          <w:sz w:val="22"/>
          <w:szCs w:val="22"/>
        </w:rPr>
      </w:pPr>
    </w:p>
    <w:p w14:paraId="2509FE3E" w14:textId="77777777" w:rsidR="009D2A23" w:rsidRPr="00AE15DA" w:rsidRDefault="009D2A23" w:rsidP="0043334F">
      <w:pPr>
        <w:pStyle w:val="AklamaMetni"/>
        <w:contextualSpacing/>
        <w:jc w:val="both"/>
        <w:rPr>
          <w:rFonts w:cstheme="minorHAnsi"/>
          <w:color w:val="000000"/>
          <w:sz w:val="22"/>
          <w:szCs w:val="22"/>
        </w:rPr>
      </w:pPr>
    </w:p>
    <w:p w14:paraId="0B6B4820" w14:textId="1ED254BF" w:rsidR="007D439E" w:rsidRPr="00AE15DA" w:rsidRDefault="007D439E" w:rsidP="0043334F">
      <w:pPr>
        <w:pStyle w:val="AklamaMetni"/>
        <w:contextualSpacing/>
        <w:jc w:val="both"/>
        <w:rPr>
          <w:sz w:val="22"/>
          <w:szCs w:val="22"/>
          <w:shd w:val="clear" w:color="auto" w:fill="FFFFFF"/>
          <w:rFonts w:cstheme="minorHAnsi"/>
        </w:rPr>
      </w:pPr>
      <w:r>
        <w:rPr>
          <w:b/>
          <w:sz w:val="22"/>
          <w:szCs w:val="22"/>
          <w:color w:val="000000"/>
        </w:rPr>
        <w:t xml:space="preserve">B11.</w:t>
      </w:r>
      <w:r>
        <w:rPr>
          <w:b/>
          <w:sz w:val="22"/>
          <w:szCs w:val="22"/>
          <w:color w:val="000000"/>
        </w:rPr>
        <w:t xml:space="preserve"> </w:t>
      </w:r>
      <w:r>
        <w:rPr>
          <w:b/>
          <w:sz w:val="22"/>
          <w:szCs w:val="22"/>
        </w:rPr>
        <w:t xml:space="preserve">L'uso di neurolettici/antipsicotici a scopo ipnotico non è appropriato (aumento di confusione, ipotensione, effetti collaterali extrapiramidali, rischio di caduta)</w:t>
      </w:r>
    </w:p>
    <w:p w14:paraId="2DBA9E8F" w14:textId="77777777" w:rsidR="00B3469F" w:rsidRPr="00AE15DA" w:rsidRDefault="00B3469F" w:rsidP="0043334F">
      <w:pPr>
        <w:contextualSpacing/>
        <w:jc w:val="both"/>
        <w:rPr>
          <w:i/>
          <w:sz w:val="22"/>
          <w:szCs w:val="22"/>
          <w:rFonts w:asciiTheme="minorHAnsi" w:hAnsiTheme="minorHAnsi"/>
        </w:rPr>
      </w:pPr>
      <w:r>
        <w:rPr>
          <w:sz w:val="22"/>
          <w:szCs w:val="22"/>
          <w:i/>
          <w:iCs/>
          <w:rFonts w:asciiTheme="minorHAnsi" w:hAnsiTheme="minorHAnsi"/>
        </w:rPr>
        <w:t xml:space="preserve">*Nel trattamento dell'insonnia negli anziani, dovrebbero essere applicate per prime la regolazione dell'igiene del sonno e le terapie cognitivo comportamentali.</w:t>
      </w:r>
    </w:p>
    <w:p w14:paraId="6B61B0DC" w14:textId="77777777" w:rsidR="00FB3255" w:rsidRPr="00AE15DA" w:rsidRDefault="00B3469F" w:rsidP="0043334F">
      <w:pPr>
        <w:contextualSpacing/>
        <w:jc w:val="both"/>
        <w:rPr>
          <w:i/>
          <w:sz w:val="22"/>
          <w:szCs w:val="22"/>
          <w:rFonts w:asciiTheme="minorHAnsi" w:hAnsiTheme="minorHAnsi"/>
        </w:rPr>
      </w:pPr>
      <w:r>
        <w:rPr>
          <w:i/>
          <w:sz w:val="22"/>
          <w:szCs w:val="22"/>
          <w:rFonts w:asciiTheme="minorHAnsi" w:hAnsiTheme="minorHAnsi"/>
        </w:rPr>
        <w:t xml:space="preserve">*Se è necessario un trattamento farmacologico nel trattamento dell'insonnia negli anziani, è possibile utilizzare la melatonina, ramelteon, agonista del recettore della melatonina.</w:t>
      </w:r>
      <w:r>
        <w:rPr>
          <w:i/>
          <w:sz w:val="22"/>
          <w:szCs w:val="22"/>
          <w:rFonts w:asciiTheme="minorHAnsi" w:hAnsiTheme="minorHAnsi"/>
        </w:rPr>
        <w:t xml:space="preserve"> </w:t>
      </w:r>
      <w:r>
        <w:rPr>
          <w:i/>
          <w:sz w:val="22"/>
          <w:szCs w:val="22"/>
          <w:rFonts w:asciiTheme="minorHAnsi" w:hAnsiTheme="minorHAnsi"/>
        </w:rPr>
        <w:t xml:space="preserve">Se c'è una depressione concomitante, può essere valutato l'uso di antidepressivi sedativi (mirtazapina, trazadon, agomelatina).</w:t>
      </w:r>
      <w:r>
        <w:rPr>
          <w:i/>
          <w:sz w:val="22"/>
          <w:szCs w:val="22"/>
          <w:rFonts w:asciiTheme="minorHAnsi" w:hAnsiTheme="minorHAnsi"/>
        </w:rPr>
        <w:t xml:space="preserve"> </w:t>
      </w:r>
    </w:p>
    <w:p w14:paraId="48C4239F" w14:textId="77777777" w:rsidR="00744B1A" w:rsidRPr="00AE15DA" w:rsidRDefault="00744B1A" w:rsidP="0043334F">
      <w:pPr>
        <w:spacing w:before="100" w:beforeAutospacing="1" w:after="100" w:afterAutospacing="1"/>
        <w:contextualSpacing/>
        <w:jc w:val="both"/>
        <w:rPr>
          <w:rFonts w:asciiTheme="minorHAnsi" w:hAnsiTheme="minorHAnsi"/>
          <w:b/>
          <w:sz w:val="22"/>
          <w:szCs w:val="22"/>
        </w:rPr>
      </w:pPr>
    </w:p>
    <w:p w14:paraId="27975E89" w14:textId="77777777" w:rsidR="001A75B0" w:rsidRPr="00AE15DA" w:rsidRDefault="001A75B0" w:rsidP="0043334F">
      <w:pPr>
        <w:spacing w:before="100" w:beforeAutospacing="1" w:after="100" w:afterAutospacing="1"/>
        <w:contextualSpacing/>
        <w:jc w:val="both"/>
        <w:rPr>
          <w:rFonts w:asciiTheme="minorHAnsi" w:hAnsiTheme="minorHAnsi"/>
          <w:b/>
          <w:sz w:val="22"/>
          <w:szCs w:val="22"/>
        </w:rPr>
      </w:pPr>
    </w:p>
    <w:p w14:paraId="75126417" w14:textId="65E71B42" w:rsidR="006C24B0" w:rsidRPr="00AE15DA" w:rsidRDefault="006C24B0" w:rsidP="0043334F">
      <w:pPr>
        <w:spacing w:before="100" w:beforeAutospacing="1" w:after="100" w:afterAutospacing="1"/>
        <w:contextualSpacing/>
        <w:jc w:val="both"/>
        <w:rPr>
          <w:b/>
          <w:color w:val="000000"/>
          <w:sz w:val="22"/>
          <w:szCs w:val="22"/>
          <w:rFonts w:asciiTheme="minorHAnsi" w:hAnsiTheme="minorHAnsi"/>
        </w:rPr>
      </w:pPr>
      <w:r>
        <w:rPr>
          <w:b/>
          <w:sz w:val="22"/>
          <w:szCs w:val="22"/>
          <w:rFonts w:asciiTheme="minorHAnsi" w:hAnsiTheme="minorHAnsi"/>
        </w:rPr>
        <w:t xml:space="preserve">B12.</w:t>
      </w:r>
      <w:r>
        <w:rPr>
          <w:b/>
          <w:sz w:val="22"/>
          <w:szCs w:val="22"/>
          <w:rFonts w:asciiTheme="minorHAnsi" w:hAnsiTheme="minorHAnsi"/>
        </w:rPr>
        <w:t xml:space="preserve"> </w:t>
      </w:r>
      <w:r>
        <w:rPr>
          <w:b/>
          <w:sz w:val="22"/>
          <w:szCs w:val="22"/>
          <w:rFonts w:asciiTheme="minorHAnsi" w:hAnsiTheme="minorHAnsi"/>
        </w:rPr>
        <w:t xml:space="preserve">L'uso di neurolettici/antipsicotici (eccetto quetiapina o clozapina) non è appropriato nei pazienti con parkinsonismo o demenza a corpi di Lewy (rischio di gravi sintomi extrapiramidali)</w:t>
      </w:r>
      <w:r>
        <w:rPr>
          <w:b/>
          <w:sz w:val="22"/>
          <w:szCs w:val="22"/>
          <w:rFonts w:asciiTheme="minorHAnsi" w:hAnsiTheme="minorHAnsi"/>
        </w:rPr>
        <w:t xml:space="preserve"> </w:t>
      </w:r>
    </w:p>
    <w:p w14:paraId="5D96BAA5" w14:textId="77777777" w:rsidR="00EE065C" w:rsidRPr="00AE15DA" w:rsidRDefault="00EE065C"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01E0E410" w14:textId="77777777" w:rsidR="001B712D" w:rsidRPr="00AE15DA" w:rsidRDefault="001B712D"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14:paraId="2B99E01A" w14:textId="6ED49426" w:rsidR="006C24B0" w:rsidRPr="00AE15DA"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Fonts w:asciiTheme="minorHAnsi" w:hAnsiTheme="minorHAnsi" w:cstheme="minorHAnsi"/>
        </w:rPr>
      </w:pPr>
      <w:r>
        <w:rPr>
          <w:b/>
          <w:sz w:val="22"/>
          <w:szCs w:val="22"/>
          <w:rFonts w:asciiTheme="minorHAnsi" w:hAnsiTheme="minorHAnsi"/>
        </w:rPr>
        <w:t xml:space="preserve">B13.</w:t>
      </w:r>
      <w:r>
        <w:rPr>
          <w:b/>
          <w:sz w:val="22"/>
          <w:szCs w:val="22"/>
          <w:rFonts w:asciiTheme="minorHAnsi" w:hAnsiTheme="minorHAnsi"/>
        </w:rPr>
        <w:t xml:space="preserve"> </w:t>
      </w:r>
      <w:r>
        <w:rPr>
          <w:b/>
          <w:sz w:val="22"/>
          <w:szCs w:val="22"/>
          <w:rFonts w:asciiTheme="minorHAnsi" w:hAnsiTheme="minorHAnsi"/>
        </w:rPr>
        <w:t xml:space="preserve">L'uso di neurolettici/antipsicotici (effetti collaterali extrapiramidali), benzodiazepine (sedazione, disturbi dell'equilibrio) e ipnotici di tipo Z (es. zopiclone, zolpidem, zaleplon) (sedazione prolungata durante il giorno, atassia) non è appropriato nei pazienti ad alto rischio di cadente.</w:t>
      </w:r>
    </w:p>
    <w:p w14:paraId="49371851" w14:textId="77777777" w:rsidR="00354D28" w:rsidRPr="00AE15DA" w:rsidRDefault="00B3469F" w:rsidP="0043334F">
      <w:pPr>
        <w:contextualSpacing/>
        <w:jc w:val="both"/>
        <w:rPr>
          <w:i/>
          <w:sz w:val="22"/>
          <w:szCs w:val="22"/>
          <w:rFonts w:asciiTheme="minorHAnsi" w:hAnsiTheme="minorHAnsi"/>
        </w:rPr>
      </w:pPr>
      <w:r>
        <w:rPr>
          <w:i/>
          <w:sz w:val="22"/>
          <w:szCs w:val="22"/>
          <w:rFonts w:asciiTheme="minorHAnsi" w:hAnsiTheme="minorHAnsi"/>
        </w:rPr>
        <w:t xml:space="preserve">*In generale, questo gruppo di farmaci sono farmaci che aumentano il rischio di caduta negli anziani.</w:t>
      </w:r>
      <w:r>
        <w:rPr>
          <w:i/>
          <w:sz w:val="22"/>
          <w:szCs w:val="22"/>
          <w:rFonts w:asciiTheme="minorHAnsi" w:hAnsiTheme="minorHAnsi"/>
        </w:rPr>
        <w:t xml:space="preserve"> </w:t>
      </w:r>
      <w:r>
        <w:rPr>
          <w:i/>
          <w:sz w:val="22"/>
          <w:szCs w:val="22"/>
          <w:rFonts w:asciiTheme="minorHAnsi" w:hAnsiTheme="minorHAnsi"/>
        </w:rPr>
        <w:t xml:space="preserve">Il suo uso negli anziani dovrebbe essere evitato il più possibile.</w:t>
      </w:r>
      <w:r>
        <w:rPr>
          <w:i/>
          <w:sz w:val="22"/>
          <w:szCs w:val="22"/>
          <w:rFonts w:asciiTheme="minorHAnsi" w:hAnsiTheme="minorHAnsi"/>
        </w:rPr>
        <w:t xml:space="preserve"> </w:t>
      </w:r>
    </w:p>
    <w:p w14:paraId="61ACC838" w14:textId="77777777" w:rsidR="001A75B0" w:rsidRPr="00AE15DA" w:rsidRDefault="001A75B0" w:rsidP="0043334F">
      <w:pPr>
        <w:contextualSpacing/>
        <w:jc w:val="both"/>
        <w:rPr>
          <w:rFonts w:asciiTheme="minorHAnsi" w:hAnsiTheme="minorHAnsi"/>
          <w:i/>
          <w:sz w:val="22"/>
          <w:szCs w:val="22"/>
        </w:rPr>
      </w:pPr>
    </w:p>
    <w:p w14:paraId="5D88ED87" w14:textId="77777777" w:rsidR="00B602B7" w:rsidRPr="00AE15DA" w:rsidRDefault="00B602B7"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690D3F0A" w14:textId="77777777" w:rsidR="009D247E" w:rsidRPr="00AE15DA" w:rsidRDefault="009D247E"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3C384B29" w14:textId="77777777" w:rsidR="006C24B0" w:rsidRPr="00AE15DA" w:rsidRDefault="006C24B0" w:rsidP="0043334F">
      <w:pPr>
        <w:contextualSpacing/>
        <w:jc w:val="both"/>
        <w:rPr>
          <w:b/>
          <w:sz w:val="22"/>
          <w:szCs w:val="22"/>
          <w:rFonts w:asciiTheme="minorHAnsi" w:hAnsiTheme="minorHAnsi"/>
        </w:rPr>
      </w:pPr>
      <w:r>
        <w:rPr>
          <w:b/>
          <w:sz w:val="22"/>
          <w:szCs w:val="22"/>
          <w:rFonts w:asciiTheme="minorHAnsi" w:hAnsiTheme="minorHAnsi"/>
        </w:rPr>
        <w:t xml:space="preserve">B14.</w:t>
      </w:r>
      <w:r>
        <w:rPr>
          <w:b/>
          <w:sz w:val="22"/>
          <w:szCs w:val="22"/>
          <w:rFonts w:asciiTheme="minorHAnsi" w:hAnsiTheme="minorHAnsi"/>
        </w:rPr>
        <w:t xml:space="preserve"> </w:t>
      </w:r>
      <w:r>
        <w:rPr>
          <w:b/>
          <w:sz w:val="22"/>
          <w:szCs w:val="22"/>
          <w:rFonts w:asciiTheme="minorHAnsi" w:hAnsiTheme="minorHAnsi"/>
        </w:rPr>
        <w:t xml:space="preserve">L'uso di benzodiazepine per più di 4 settimane non è appropriato (sedazione prolungata, confusione, disturbi dell'equilibrio, cadute, rischio di incidenti stradali)</w:t>
      </w:r>
    </w:p>
    <w:p w14:paraId="56A82648" w14:textId="77777777" w:rsidR="00940A4D" w:rsidRDefault="00B3469F" w:rsidP="0043334F">
      <w:pPr>
        <w:contextualSpacing/>
        <w:jc w:val="both"/>
        <w:rPr>
          <w:i/>
          <w:sz w:val="22"/>
          <w:szCs w:val="22"/>
          <w:rFonts w:asciiTheme="minorHAnsi" w:hAnsiTheme="minorHAnsi"/>
        </w:rPr>
      </w:pPr>
      <w:r>
        <w:rPr>
          <w:i/>
          <w:sz w:val="22"/>
          <w:szCs w:val="22"/>
          <w:rFonts w:asciiTheme="minorHAnsi" w:hAnsiTheme="minorHAnsi"/>
        </w:rPr>
        <w:t xml:space="preserve">*In generale, l'uso di benzodiazepine dovrebbe essere evitato a causa del loro alto potenziale di effetti collaterali.</w:t>
      </w:r>
    </w:p>
    <w:p w14:paraId="0BD16F74" w14:textId="77777777" w:rsidR="00562C85" w:rsidRPr="00AE15DA" w:rsidRDefault="00562C85" w:rsidP="0043334F">
      <w:pPr>
        <w:contextualSpacing/>
        <w:jc w:val="both"/>
        <w:rPr>
          <w:i/>
          <w:sz w:val="22"/>
          <w:szCs w:val="22"/>
          <w:rFonts w:asciiTheme="minorHAnsi" w:hAnsiTheme="minorHAnsi"/>
        </w:rPr>
      </w:pPr>
      <w:r>
        <w:rPr>
          <w:i/>
          <w:sz w:val="22"/>
          <w:szCs w:val="22"/>
          <w:rFonts w:asciiTheme="minorHAnsi" w:hAnsiTheme="minorHAnsi"/>
        </w:rPr>
        <w:t xml:space="preserve">*Le benzodiazepine a breve durata d'azione possono essere usate con cautela e per un breve periodo (&lt;4 settimane) nelle indicazioni cliniche (p. es., il lorazepam può essere somministrato nell'agitazione correlata alla demenza).</w:t>
      </w:r>
      <w:r>
        <w:rPr>
          <w:i/>
          <w:sz w:val="22"/>
          <w:szCs w:val="22"/>
          <w:rFonts w:asciiTheme="minorHAnsi" w:hAnsiTheme="minorHAnsi"/>
        </w:rPr>
        <w:t xml:space="preserve"> </w:t>
      </w:r>
    </w:p>
    <w:p w14:paraId="7CAD59B4" w14:textId="77777777" w:rsidR="00B3469F" w:rsidRPr="00AE15DA" w:rsidRDefault="00562C85" w:rsidP="0043334F">
      <w:pPr>
        <w:contextualSpacing/>
        <w:jc w:val="both"/>
        <w:rPr>
          <w:i/>
          <w:sz w:val="22"/>
          <w:szCs w:val="22"/>
          <w:rFonts w:asciiTheme="minorHAnsi" w:hAnsiTheme="minorHAnsi"/>
        </w:rPr>
      </w:pPr>
      <w:r>
        <w:rPr>
          <w:i/>
          <w:sz w:val="22"/>
          <w:szCs w:val="22"/>
          <w:rFonts w:asciiTheme="minorHAnsi" w:hAnsiTheme="minorHAnsi"/>
        </w:rPr>
        <w:t xml:space="preserve">*Il clonazepam, una delle benzodiazepine a lunga durata d'azione, può essere somministrato per i disturbi del comportamento del sonno REM che non possono essere controllati con altri farmaci in pazienti selezionati, ma in questo caso deve essere seguito uno stretto monitoraggio clinico.</w:t>
      </w:r>
      <w:r>
        <w:rPr>
          <w:i/>
          <w:sz w:val="22"/>
          <w:szCs w:val="22"/>
          <w:rFonts w:asciiTheme="minorHAnsi" w:hAnsiTheme="minorHAnsi"/>
        </w:rPr>
        <w:t xml:space="preserve">  </w:t>
      </w:r>
    </w:p>
    <w:p w14:paraId="215740CF" w14:textId="77777777" w:rsidR="00B3469F" w:rsidRPr="00AE15DA" w:rsidRDefault="00B3469F" w:rsidP="0043334F">
      <w:pPr>
        <w:contextualSpacing/>
        <w:jc w:val="both"/>
        <w:rPr>
          <w:i/>
          <w:sz w:val="22"/>
          <w:szCs w:val="22"/>
          <w:rFonts w:asciiTheme="minorHAnsi" w:hAnsiTheme="minorHAnsi"/>
        </w:rPr>
      </w:pPr>
      <w:r>
        <w:rPr>
          <w:i/>
          <w:sz w:val="22"/>
          <w:szCs w:val="22"/>
          <w:rFonts w:asciiTheme="minorHAnsi" w:hAnsiTheme="minorHAnsi"/>
        </w:rPr>
        <w:t xml:space="preserve">*Tutte le benzodiazepine utilizzate per 2 settimane o più devono essere interrotte gradualmente, non improvvisamente, per non causare la "sindrome da astinenza da benzodiazepine".</w:t>
      </w:r>
    </w:p>
    <w:p w14:paraId="2B5E06C3" w14:textId="77777777" w:rsidR="008B50F1" w:rsidRPr="00AE15DA" w:rsidRDefault="008B50F1" w:rsidP="0043334F">
      <w:pPr>
        <w:contextualSpacing/>
        <w:jc w:val="both"/>
        <w:rPr>
          <w:rFonts w:asciiTheme="minorHAnsi" w:hAnsiTheme="minorHAnsi"/>
          <w:i/>
          <w:sz w:val="22"/>
          <w:szCs w:val="22"/>
        </w:rPr>
      </w:pPr>
    </w:p>
    <w:p w14:paraId="74A7DDF2" w14:textId="77777777" w:rsidR="00C846A1" w:rsidRPr="00AE15DA" w:rsidRDefault="00C846A1" w:rsidP="0043334F">
      <w:pPr>
        <w:contextualSpacing/>
        <w:jc w:val="both"/>
        <w:rPr>
          <w:rFonts w:asciiTheme="minorHAnsi" w:hAnsiTheme="minorHAnsi" w:cstheme="minorHAnsi"/>
          <w:sz w:val="22"/>
          <w:szCs w:val="22"/>
          <w:lang w:eastAsia="en-GB"/>
        </w:rPr>
      </w:pPr>
    </w:p>
    <w:p w14:paraId="66FA8300" w14:textId="77777777" w:rsidR="00C846A1" w:rsidRPr="00AE15DA" w:rsidRDefault="00B835E2"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B15.</w:t>
      </w:r>
      <w:r>
        <w:rPr>
          <w:b/>
          <w:sz w:val="22"/>
          <w:szCs w:val="22"/>
          <w:rFonts w:asciiTheme="minorHAnsi" w:hAnsiTheme="minorHAnsi"/>
        </w:rPr>
        <w:t xml:space="preserve"> </w:t>
      </w:r>
      <w:r>
        <w:rPr>
          <w:b/>
          <w:sz w:val="22"/>
          <w:szCs w:val="22"/>
          <w:rFonts w:asciiTheme="minorHAnsi" w:hAnsiTheme="minorHAnsi"/>
        </w:rPr>
        <w:t xml:space="preserve">Le benzodiazepine non sono adatte all'uso nell'insufficienza respiratoria acuta e cronica (PO2&lt; 60 mmHg e/o PCO2&gt; 50 mmHg) (aumento del rischio di insufficienza respiratoria).</w:t>
      </w:r>
    </w:p>
    <w:p w14:paraId="33807B08" w14:textId="77777777" w:rsidR="00C846A1" w:rsidRPr="00AE15DA" w:rsidRDefault="00C846A1" w:rsidP="0043334F">
      <w:pPr>
        <w:spacing w:before="100" w:beforeAutospacing="1" w:after="100" w:afterAutospacing="1"/>
        <w:contextualSpacing/>
        <w:jc w:val="both"/>
        <w:rPr>
          <w:rFonts w:asciiTheme="minorHAnsi" w:hAnsiTheme="minorHAnsi"/>
          <w:b/>
          <w:sz w:val="22"/>
          <w:szCs w:val="22"/>
        </w:rPr>
      </w:pPr>
    </w:p>
    <w:p w14:paraId="65C5D23F" w14:textId="77777777" w:rsidR="00EE065C" w:rsidRPr="00AE15DA" w:rsidRDefault="00EE065C" w:rsidP="0043334F">
      <w:pPr>
        <w:spacing w:before="100" w:beforeAutospacing="1" w:after="100" w:afterAutospacing="1"/>
        <w:contextualSpacing/>
        <w:jc w:val="both"/>
        <w:rPr>
          <w:rFonts w:asciiTheme="minorHAnsi" w:hAnsiTheme="minorHAnsi"/>
          <w:b/>
          <w:sz w:val="22"/>
          <w:szCs w:val="22"/>
        </w:rPr>
      </w:pPr>
    </w:p>
    <w:p w14:paraId="711FA595" w14:textId="77777777" w:rsidR="006C24B0" w:rsidRPr="00AE15DA" w:rsidRDefault="006C24B0" w:rsidP="0043334F">
      <w:pPr>
        <w:spacing w:before="100" w:beforeAutospacing="1"/>
        <w:contextualSpacing/>
        <w:jc w:val="both"/>
        <w:rPr>
          <w:b/>
          <w:sz w:val="22"/>
          <w:szCs w:val="22"/>
          <w:vertAlign w:val="superscript"/>
          <w:rFonts w:asciiTheme="minorHAnsi" w:hAnsiTheme="minorHAnsi"/>
        </w:rPr>
      </w:pPr>
      <w:r>
        <w:rPr>
          <w:b/>
          <w:sz w:val="22"/>
          <w:szCs w:val="22"/>
          <w:rFonts w:asciiTheme="minorHAnsi" w:hAnsiTheme="minorHAnsi"/>
        </w:rPr>
        <w:t xml:space="preserve">B16.</w:t>
      </w:r>
      <w:r>
        <w:rPr>
          <w:b/>
          <w:sz w:val="22"/>
          <w:szCs w:val="22"/>
          <w:rFonts w:asciiTheme="minorHAnsi" w:hAnsiTheme="minorHAnsi"/>
        </w:rPr>
        <w:t xml:space="preserve"> </w:t>
      </w:r>
      <w:r>
        <w:rPr>
          <w:b/>
          <w:sz w:val="22"/>
          <w:szCs w:val="22"/>
          <w:rFonts w:asciiTheme="minorHAnsi" w:hAnsiTheme="minorHAnsi"/>
        </w:rPr>
        <w:t xml:space="preserve">ChEi non è adatto per l'uso in pazienti con bradicardia persistente (&lt;50/min), blocco cardiaco di 2° o 3° grado o sincope inspiegabile, pazienti con QTc prolungato (&gt;470 msec nelle femmine, &gt;450 msec nei maschi) (difetto della conduzione cardiaca, sincope, lesione) rischio)</w:t>
      </w:r>
      <w:r>
        <w:rPr>
          <w:b/>
          <w:sz w:val="22"/>
          <w:szCs w:val="22"/>
          <w:rFonts w:asciiTheme="minorHAnsi" w:hAnsiTheme="minorHAnsi"/>
        </w:rPr>
        <w:t xml:space="preserve"> </w:t>
      </w:r>
    </w:p>
    <w:p w14:paraId="66203824" w14:textId="77777777" w:rsidR="00D43767" w:rsidRPr="00AE15DA" w:rsidRDefault="006C24B0" w:rsidP="0043334F">
      <w:pPr>
        <w:contextualSpacing/>
        <w:jc w:val="both"/>
        <w:rPr>
          <w:i/>
          <w:sz w:val="22"/>
          <w:szCs w:val="22"/>
          <w:rFonts w:asciiTheme="minorHAnsi" w:hAnsiTheme="minorHAnsi"/>
        </w:rPr>
      </w:pPr>
      <w:r>
        <w:rPr>
          <w:i/>
          <w:sz w:val="22"/>
          <w:szCs w:val="22"/>
          <w:rFonts w:asciiTheme="minorHAnsi" w:hAnsiTheme="minorHAnsi"/>
        </w:rPr>
        <w:t xml:space="preserve">*Impulso:</w:t>
      </w:r>
      <w:r>
        <w:rPr>
          <w:i/>
          <w:sz w:val="22"/>
          <w:szCs w:val="22"/>
          <w:rFonts w:asciiTheme="minorHAnsi" w:hAnsiTheme="minorHAnsi"/>
        </w:rPr>
        <w:t xml:space="preserve"> </w:t>
      </w:r>
      <w:r>
        <w:rPr>
          <w:i/>
          <w:sz w:val="22"/>
          <w:szCs w:val="22"/>
          <w:rFonts w:asciiTheme="minorHAnsi" w:hAnsiTheme="minorHAnsi"/>
        </w:rPr>
        <w:t xml:space="preserve">ChEi può essere iniziato in pazienti che sono 50-60/min e sono asintomatici.</w:t>
      </w:r>
      <w:r>
        <w:rPr>
          <w:i/>
          <w:sz w:val="22"/>
          <w:szCs w:val="22"/>
          <w:rFonts w:asciiTheme="minorHAnsi" w:hAnsiTheme="minorHAnsi"/>
        </w:rPr>
        <w:t xml:space="preserve"> </w:t>
      </w:r>
      <w:r>
        <w:rPr>
          <w:i/>
          <w:sz w:val="22"/>
          <w:szCs w:val="22"/>
          <w:rFonts w:asciiTheme="minorHAnsi" w:hAnsiTheme="minorHAnsi"/>
        </w:rPr>
        <w:t xml:space="preserve">1 settimana dopo l'inizio del trattamento o l'aumento della dose dovrebbe essere controllato per frequenza cardiaca e sintomi.</w:t>
      </w:r>
      <w:r>
        <w:rPr>
          <w:i/>
          <w:sz w:val="22"/>
          <w:szCs w:val="22"/>
          <w:rFonts w:asciiTheme="minorHAnsi" w:hAnsiTheme="minorHAnsi"/>
        </w:rPr>
        <w:t xml:space="preserve"> </w:t>
      </w:r>
    </w:p>
    <w:p w14:paraId="7D16B662" w14:textId="77777777" w:rsidR="007A7469" w:rsidRPr="00AE15DA" w:rsidRDefault="00D43767" w:rsidP="0043334F">
      <w:pPr>
        <w:contextualSpacing/>
        <w:jc w:val="both"/>
        <w:rPr>
          <w:i/>
          <w:sz w:val="22"/>
          <w:szCs w:val="22"/>
          <w:rFonts w:asciiTheme="minorHAnsi" w:hAnsiTheme="minorHAnsi"/>
        </w:rPr>
      </w:pPr>
      <w:r>
        <w:rPr>
          <w:i/>
          <w:sz w:val="22"/>
          <w:szCs w:val="22"/>
          <w:rFonts w:asciiTheme="minorHAnsi" w:hAnsiTheme="minorHAnsi"/>
        </w:rPr>
        <w:t xml:space="preserve">*Può essere usato con cautela se la frequenza cardiaca non è &lt; 50/min e non ci sono sintomi in coloro che assumono contemporaneamente farmaci limitanti la frequenza.</w:t>
      </w:r>
      <w:r>
        <w:rPr>
          <w:i/>
          <w:sz w:val="22"/>
          <w:szCs w:val="22"/>
          <w:rFonts w:asciiTheme="minorHAnsi" w:hAnsiTheme="minorHAnsi"/>
        </w:rPr>
        <w:t xml:space="preserve"> </w:t>
      </w:r>
      <w:r>
        <w:rPr>
          <w:i/>
          <w:sz w:val="22"/>
          <w:szCs w:val="22"/>
          <w:rFonts w:asciiTheme="minorHAnsi" w:hAnsiTheme="minorHAnsi"/>
        </w:rPr>
        <w:t xml:space="preserve">ChEi deve essere usato con cautela nei pazienti con LBBB o AF e i pazienti devono essere seguiti.</w:t>
      </w:r>
      <w:r>
        <w:rPr>
          <w:i/>
          <w:sz w:val="22"/>
          <w:szCs w:val="22"/>
          <w:rFonts w:asciiTheme="minorHAnsi" w:hAnsiTheme="minorHAnsi"/>
        </w:rPr>
        <w:t xml:space="preserve"> </w:t>
      </w:r>
    </w:p>
    <w:p w14:paraId="6B5FD0B9" w14:textId="77777777" w:rsidR="00B3469F" w:rsidRPr="00AE15DA" w:rsidRDefault="00B3469F" w:rsidP="0043334F">
      <w:pPr>
        <w:contextualSpacing/>
        <w:jc w:val="both"/>
        <w:rPr>
          <w:i/>
          <w:sz w:val="22"/>
          <w:szCs w:val="22"/>
          <w:rFonts w:asciiTheme="minorHAnsi" w:hAnsiTheme="minorHAnsi"/>
        </w:rPr>
      </w:pPr>
      <w:r>
        <w:rPr>
          <w:i/>
          <w:sz w:val="22"/>
          <w:szCs w:val="22"/>
          <w:rFonts w:asciiTheme="minorHAnsi" w:hAnsiTheme="minorHAnsi"/>
        </w:rPr>
        <w:t xml:space="preserve">*ChEi devono essere usati con cautela nei pazienti con KOAH o asma.</w:t>
      </w:r>
      <w:r>
        <w:rPr>
          <w:i/>
          <w:sz w:val="22"/>
          <w:szCs w:val="22"/>
          <w:rFonts w:asciiTheme="minorHAnsi" w:hAnsiTheme="minorHAnsi"/>
        </w:rPr>
        <w:t xml:space="preserve"> </w:t>
      </w:r>
      <w:r>
        <w:rPr>
          <w:i/>
          <w:sz w:val="22"/>
          <w:szCs w:val="22"/>
          <w:rFonts w:asciiTheme="minorHAnsi" w:hAnsiTheme="minorHAnsi"/>
        </w:rPr>
        <w:t xml:space="preserve">Può aggravare il broncospasmo, dovrebbe essere seguito.</w:t>
      </w:r>
      <w:r>
        <w:rPr>
          <w:i/>
          <w:sz w:val="22"/>
          <w:szCs w:val="22"/>
          <w:rFonts w:asciiTheme="minorHAnsi" w:hAnsiTheme="minorHAnsi"/>
        </w:rPr>
        <w:t xml:space="preserve"> </w:t>
      </w:r>
    </w:p>
    <w:p w14:paraId="55D7449D" w14:textId="77777777" w:rsidR="00B3469F" w:rsidRPr="00AE15DA" w:rsidRDefault="00B3469F" w:rsidP="0043334F">
      <w:pPr>
        <w:pStyle w:val="HTMLncedenBiimlendirilmi"/>
        <w:contextualSpacing/>
        <w:jc w:val="both"/>
        <w:rPr>
          <w:i/>
          <w:sz w:val="22"/>
          <w:szCs w:val="22"/>
          <w:rFonts w:asciiTheme="minorHAnsi" w:hAnsiTheme="minorHAnsi" w:cs="Times New Roman"/>
        </w:rPr>
      </w:pPr>
      <w:r>
        <w:rPr>
          <w:i/>
          <w:sz w:val="22"/>
          <w:szCs w:val="22"/>
          <w:rFonts w:asciiTheme="minorHAnsi" w:hAnsiTheme="minorHAnsi"/>
        </w:rPr>
        <w:t xml:space="preserve">*I ChEi devono essere usati con cautela nei pazienti con anamnesi di ulcera gastrica e in quelli che utilizzano farmaci antinfiammatori non steroidei.</w:t>
      </w:r>
      <w:r>
        <w:rPr>
          <w:i/>
          <w:sz w:val="22"/>
          <w:szCs w:val="22"/>
          <w:rFonts w:asciiTheme="minorHAnsi" w:hAnsiTheme="minorHAnsi"/>
        </w:rPr>
        <w:t xml:space="preserve"> </w:t>
      </w:r>
      <w:r>
        <w:rPr>
          <w:i/>
          <w:sz w:val="22"/>
          <w:szCs w:val="22"/>
          <w:rFonts w:asciiTheme="minorHAnsi" w:hAnsiTheme="minorHAnsi"/>
        </w:rPr>
        <w:t xml:space="preserve">Questi pazienti devono essere seguiti per sanguinamento gastrointestinale.</w:t>
      </w:r>
    </w:p>
    <w:p w14:paraId="3E701B2B" w14:textId="77777777" w:rsidR="00D43767" w:rsidRPr="00AE15DA" w:rsidRDefault="00D43767" w:rsidP="0043334F">
      <w:pPr>
        <w:pStyle w:val="HTMLncedenBiimlendirilmi"/>
        <w:contextualSpacing/>
        <w:jc w:val="both"/>
        <w:rPr>
          <w:rFonts w:asciiTheme="minorHAnsi" w:hAnsiTheme="minorHAnsi" w:cs="Times New Roman"/>
          <w:i/>
          <w:sz w:val="22"/>
          <w:szCs w:val="22"/>
        </w:rPr>
      </w:pPr>
    </w:p>
    <w:p w14:paraId="0FF63386" w14:textId="77777777" w:rsidR="001B712D" w:rsidRPr="00AE15DA" w:rsidRDefault="001B712D" w:rsidP="0043334F">
      <w:pPr>
        <w:pStyle w:val="HTMLncedenBiimlendirilmi"/>
        <w:contextualSpacing/>
        <w:jc w:val="both"/>
        <w:rPr>
          <w:rFonts w:asciiTheme="minorHAnsi" w:hAnsiTheme="minorHAnsi" w:cstheme="minorHAnsi"/>
          <w:sz w:val="22"/>
          <w:szCs w:val="22"/>
        </w:rPr>
      </w:pPr>
    </w:p>
    <w:p w14:paraId="73234F14" w14:textId="77777777" w:rsidR="006C24B0" w:rsidRPr="00AE15DA" w:rsidRDefault="006C24B0" w:rsidP="0043334F">
      <w:pPr>
        <w:pStyle w:val="HTMLncedenBiimlendirilmi"/>
        <w:contextualSpacing/>
        <w:jc w:val="both"/>
        <w:rPr>
          <w:color w:val="000000" w:themeColor="text1"/>
          <w:sz w:val="22"/>
          <w:szCs w:val="22"/>
          <w:rFonts w:asciiTheme="minorHAnsi" w:hAnsiTheme="minorHAnsi" w:cstheme="minorHAnsi"/>
        </w:rPr>
      </w:pPr>
      <w:r>
        <w:rPr>
          <w:b/>
          <w:sz w:val="22"/>
          <w:szCs w:val="22"/>
          <w:rFonts w:asciiTheme="minorHAnsi" w:hAnsiTheme="minorHAnsi"/>
        </w:rPr>
        <w:t xml:space="preserve">B17.</w:t>
      </w:r>
      <w:r>
        <w:rPr>
          <w:b/>
          <w:sz w:val="22"/>
          <w:szCs w:val="22"/>
          <w:rFonts w:asciiTheme="minorHAnsi" w:hAnsiTheme="minorHAnsi"/>
        </w:rPr>
        <w:t xml:space="preserve"> </w:t>
      </w:r>
      <w:r>
        <w:rPr>
          <w:b/>
          <w:sz w:val="22"/>
          <w:szCs w:val="22"/>
          <w:rFonts w:asciiTheme="minorHAnsi" w:hAnsiTheme="minorHAnsi"/>
        </w:rPr>
        <w:t xml:space="preserve">L'uso di levodopa o agonisti della dopamina non è adatto per il trattamento del tremore essenziale (nessuna efficacia dimostrata)</w:t>
      </w:r>
      <w:r>
        <w:rPr>
          <w:b/>
          <w:sz w:val="22"/>
          <w:szCs w:val="22"/>
          <w:rFonts w:asciiTheme="minorHAnsi" w:hAnsiTheme="minorHAnsi"/>
        </w:rPr>
        <w:t xml:space="preserve"> </w:t>
      </w:r>
    </w:p>
    <w:p w14:paraId="2C9DA355" w14:textId="77777777" w:rsidR="00EE065C" w:rsidRPr="00AE15DA" w:rsidRDefault="00EE065C"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25EA5A85" w14:textId="77777777" w:rsidR="001B712D" w:rsidRPr="00AE15DA" w:rsidRDefault="001B712D" w:rsidP="0043334F">
      <w:pPr>
        <w:spacing w:before="100" w:beforeAutospacing="1" w:after="100" w:afterAutospacing="1"/>
        <w:contextualSpacing/>
        <w:jc w:val="both"/>
        <w:rPr>
          <w:rFonts w:asciiTheme="minorHAnsi" w:hAnsiTheme="minorHAnsi" w:cstheme="minorHAnsi"/>
          <w:color w:val="000000"/>
          <w:sz w:val="22"/>
          <w:szCs w:val="22"/>
        </w:rPr>
      </w:pPr>
    </w:p>
    <w:p w14:paraId="2A9F596A" w14:textId="77777777" w:rsidR="001B712D" w:rsidRPr="00AE15DA" w:rsidRDefault="006C24B0" w:rsidP="0043334F">
      <w:pPr>
        <w:spacing w:before="100" w:beforeAutospacing="1" w:after="100" w:afterAutospacing="1"/>
        <w:contextualSpacing/>
        <w:jc w:val="both"/>
        <w:rPr>
          <w:b/>
          <w:color w:val="000000" w:themeColor="text1"/>
          <w:sz w:val="22"/>
          <w:szCs w:val="22"/>
          <w:rFonts w:asciiTheme="minorHAnsi" w:hAnsiTheme="minorHAnsi"/>
        </w:rPr>
      </w:pPr>
      <w:r>
        <w:rPr>
          <w:b/>
          <w:sz w:val="22"/>
          <w:szCs w:val="22"/>
          <w:color w:val="000000"/>
          <w:rFonts w:asciiTheme="minorHAnsi" w:hAnsiTheme="minorHAnsi"/>
        </w:rPr>
        <w:t xml:space="preserve">B18.</w:t>
      </w:r>
      <w:r>
        <w:rPr>
          <w:b/>
          <w:sz w:val="22"/>
          <w:szCs w:val="22"/>
          <w:color w:val="000000"/>
          <w:rFonts w:asciiTheme="minorHAnsi" w:hAnsiTheme="minorHAnsi"/>
        </w:rPr>
        <w:t xml:space="preserve"> </w:t>
      </w:r>
      <w:r>
        <w:rPr>
          <w:b/>
          <w:sz w:val="22"/>
          <w:szCs w:val="22"/>
          <w:rFonts w:asciiTheme="minorHAnsi" w:hAnsiTheme="minorHAnsi"/>
        </w:rPr>
        <w:t xml:space="preserve">L'uso continuo a lungo termine di farmaci come betaistina, trimetazidina, dimenidrinato non è appropriato nel trattamento delle vertigini (mancanza di effetti benefici basati sull'evidenza).</w:t>
      </w:r>
      <w:r>
        <w:rPr>
          <w:b/>
          <w:sz w:val="22"/>
          <w:szCs w:val="22"/>
          <w:color w:val="000000" w:themeColor="text1"/>
          <w:rFonts w:asciiTheme="minorHAnsi" w:hAnsiTheme="minorHAnsi"/>
        </w:rPr>
        <w:t xml:space="preserve"> </w:t>
      </w:r>
    </w:p>
    <w:p w14:paraId="3E35FAB8" w14:textId="77777777" w:rsidR="001B712D" w:rsidRPr="00AE15DA" w:rsidRDefault="001B712D" w:rsidP="0043334F">
      <w:pPr>
        <w:spacing w:before="100" w:beforeAutospacing="1" w:after="100" w:afterAutospacing="1"/>
        <w:contextualSpacing/>
        <w:jc w:val="both"/>
        <w:rPr>
          <w:rFonts w:asciiTheme="minorHAnsi" w:hAnsiTheme="minorHAnsi"/>
          <w:b/>
          <w:color w:val="000000" w:themeColor="text1"/>
          <w:sz w:val="22"/>
          <w:szCs w:val="22"/>
        </w:rPr>
      </w:pPr>
    </w:p>
    <w:p w14:paraId="5F1D7D1A" w14:textId="77777777" w:rsidR="001B712D" w:rsidRPr="00AE15DA" w:rsidRDefault="001B712D" w:rsidP="0043334F">
      <w:pPr>
        <w:spacing w:before="100" w:beforeAutospacing="1" w:after="100" w:afterAutospacing="1"/>
        <w:contextualSpacing/>
        <w:jc w:val="both"/>
        <w:rPr>
          <w:rFonts w:asciiTheme="minorHAnsi" w:hAnsiTheme="minorHAnsi" w:cstheme="minorHAnsi"/>
          <w:color w:val="000000"/>
          <w:sz w:val="22"/>
          <w:szCs w:val="22"/>
        </w:rPr>
      </w:pPr>
    </w:p>
    <w:p w14:paraId="250272A8" w14:textId="6EC1284C" w:rsidR="006C24B0" w:rsidRPr="00AE15DA" w:rsidRDefault="00E66E29" w:rsidP="0043334F">
      <w:pPr>
        <w:spacing w:before="100" w:beforeAutospacing="1" w:after="100" w:afterAutospacing="1"/>
        <w:contextualSpacing/>
        <w:jc w:val="both"/>
        <w:rPr>
          <w:color w:val="000000"/>
          <w:sz w:val="22"/>
          <w:szCs w:val="22"/>
          <w:rFonts w:asciiTheme="minorHAnsi" w:hAnsiTheme="minorHAnsi" w:cstheme="minorHAnsi"/>
        </w:rPr>
      </w:pPr>
      <w:r>
        <w:rPr>
          <w:b/>
          <w:sz w:val="22"/>
          <w:szCs w:val="22"/>
          <w:rFonts w:ascii="Calibri" w:hAnsi="Calibri"/>
        </w:rPr>
        <w:t xml:space="preserve">#</w:t>
      </w:r>
      <w:r>
        <w:rPr>
          <w:b/>
          <w:sz w:val="22"/>
          <w:szCs w:val="22"/>
          <w:rFonts w:asciiTheme="minorHAnsi" w:hAnsiTheme="minorHAnsi"/>
        </w:rPr>
        <w:t xml:space="preserve">B19.</w:t>
      </w:r>
      <w:r>
        <w:rPr>
          <w:b/>
          <w:sz w:val="22"/>
          <w:szCs w:val="22"/>
          <w:rFonts w:asciiTheme="minorHAnsi" w:hAnsiTheme="minorHAnsi"/>
        </w:rPr>
        <w:t xml:space="preserve"> </w:t>
      </w:r>
      <w:r>
        <w:rPr>
          <w:b/>
          <w:sz w:val="22"/>
          <w:szCs w:val="22"/>
          <w:rFonts w:asciiTheme="minorHAnsi" w:hAnsiTheme="minorHAnsi"/>
        </w:rPr>
        <w:t xml:space="preserve">La cinnarizina non è adatta all'uso (effetti collaterali extrapiramidali, utilità limitata)</w:t>
      </w:r>
      <w:r>
        <w:rPr>
          <w:b/>
          <w:sz w:val="22"/>
          <w:szCs w:val="22"/>
          <w:rFonts w:asciiTheme="minorHAnsi" w:hAnsiTheme="minorHAnsi"/>
        </w:rPr>
        <w:t xml:space="preserve"> </w:t>
      </w:r>
    </w:p>
    <w:p w14:paraId="69F55B4A" w14:textId="77777777" w:rsidR="001B712D" w:rsidRPr="00AE15DA" w:rsidRDefault="001B712D" w:rsidP="0043334F">
      <w:pPr>
        <w:spacing w:before="100" w:beforeAutospacing="1" w:after="100" w:afterAutospacing="1"/>
        <w:contextualSpacing/>
        <w:jc w:val="both"/>
        <w:rPr>
          <w:rFonts w:asciiTheme="minorHAnsi" w:hAnsiTheme="minorHAnsi" w:cstheme="minorHAnsi"/>
          <w:sz w:val="22"/>
          <w:szCs w:val="22"/>
        </w:rPr>
      </w:pPr>
    </w:p>
    <w:p w14:paraId="6E196D8E" w14:textId="77777777" w:rsidR="00C846A1" w:rsidRPr="00AE15DA" w:rsidRDefault="00C846A1" w:rsidP="0043334F">
      <w:pPr>
        <w:spacing w:before="100" w:beforeAutospacing="1" w:after="100" w:afterAutospacing="1"/>
        <w:contextualSpacing/>
        <w:jc w:val="both"/>
        <w:rPr>
          <w:rFonts w:asciiTheme="minorHAnsi" w:hAnsiTheme="minorHAnsi" w:cstheme="minorHAnsi"/>
          <w:color w:val="000000"/>
          <w:sz w:val="22"/>
          <w:szCs w:val="22"/>
        </w:rPr>
      </w:pPr>
    </w:p>
    <w:p w14:paraId="608CE37C" w14:textId="77777777" w:rsidR="00C846A1" w:rsidRPr="00AE15DA" w:rsidRDefault="005712F8" w:rsidP="0043334F">
      <w:pPr>
        <w:spacing w:before="100" w:beforeAutospacing="1" w:after="100" w:afterAutospacing="1"/>
        <w:contextualSpacing/>
        <w:jc w:val="both"/>
        <w:rPr>
          <w:b/>
          <w:color w:val="000000"/>
          <w:sz w:val="22"/>
          <w:szCs w:val="22"/>
          <w:rFonts w:asciiTheme="minorHAnsi" w:hAnsiTheme="minorHAnsi"/>
        </w:rPr>
      </w:pPr>
      <w:r>
        <w:rPr>
          <w:b/>
          <w:color w:val="000000"/>
          <w:sz w:val="22"/>
          <w:szCs w:val="22"/>
          <w:rFonts w:asciiTheme="minorHAnsi" w:hAnsiTheme="minorHAnsi"/>
        </w:rPr>
        <w:t xml:space="preserve">B20.</w:t>
      </w:r>
      <w:r>
        <w:rPr>
          <w:b/>
          <w:color w:val="000000"/>
          <w:sz w:val="22"/>
          <w:szCs w:val="22"/>
          <w:rFonts w:asciiTheme="minorHAnsi" w:hAnsiTheme="minorHAnsi"/>
        </w:rPr>
        <w:t xml:space="preserve"> </w:t>
      </w:r>
      <w:r>
        <w:rPr>
          <w:b/>
          <w:color w:val="000000"/>
          <w:sz w:val="22"/>
          <w:szCs w:val="22"/>
          <w:rFonts w:asciiTheme="minorHAnsi" w:hAnsiTheme="minorHAnsi"/>
        </w:rPr>
        <w:t xml:space="preserve">Piracetam non è adatto per l'uso se non nel trattamento delle convulsioni miocloniche (a causa dell'assenza di efficacia clinica dimostrata, dell'onere dei costi e dei potenziali effetti collaterali)</w:t>
      </w:r>
    </w:p>
    <w:p w14:paraId="17FFF27A" w14:textId="77777777" w:rsidR="00C846A1" w:rsidRPr="00AE15DA" w:rsidRDefault="005712F8" w:rsidP="0043334F">
      <w:pPr>
        <w:spacing w:before="100" w:beforeAutospacing="1" w:after="100" w:afterAutospacing="1"/>
        <w:contextualSpacing/>
        <w:jc w:val="both"/>
        <w:rPr>
          <w:i/>
          <w:color w:val="000000"/>
          <w:sz w:val="22"/>
          <w:szCs w:val="22"/>
          <w:rFonts w:asciiTheme="minorHAnsi" w:hAnsiTheme="minorHAnsi"/>
        </w:rPr>
      </w:pPr>
      <w:r>
        <w:rPr>
          <w:i/>
          <w:color w:val="000000"/>
          <w:sz w:val="22"/>
          <w:szCs w:val="22"/>
          <w:rFonts w:asciiTheme="minorHAnsi" w:hAnsiTheme="minorHAnsi"/>
        </w:rPr>
        <w:t xml:space="preserve">*Può essere utilizzato in pazienti che si ritiene abbiano benefici sintomatici dal trattamento con piracetam, considerando il rapporto profitti/perdite.</w:t>
      </w:r>
    </w:p>
    <w:p w14:paraId="5105F169" w14:textId="77777777" w:rsidR="002E0C44" w:rsidRPr="00AE15DA" w:rsidRDefault="005712F8" w:rsidP="0043334F">
      <w:pPr>
        <w:spacing w:before="100" w:beforeAutospacing="1" w:after="100" w:afterAutospacing="1"/>
        <w:contextualSpacing/>
        <w:jc w:val="both"/>
        <w:rPr>
          <w:color w:val="000000"/>
          <w:sz w:val="22"/>
          <w:szCs w:val="22"/>
          <w:rFonts w:asciiTheme="minorHAnsi" w:hAnsiTheme="minorHAnsi" w:cstheme="minorHAnsi"/>
        </w:rPr>
      </w:pPr>
      <w:r>
        <w:rPr>
          <w:i/>
          <w:color w:val="000000"/>
          <w:sz w:val="22"/>
          <w:szCs w:val="22"/>
          <w:rFonts w:asciiTheme="minorHAnsi" w:hAnsiTheme="minorHAnsi"/>
        </w:rPr>
        <w:t xml:space="preserve">*Esistono studi che dimostrano che il piracetam può avere benefici limitati nel trattamento dell'afasia acuta dopo l'ictus.</w:t>
      </w:r>
    </w:p>
    <w:p w14:paraId="687C6470" w14:textId="77777777" w:rsidR="005D469F" w:rsidRPr="00AE15DA" w:rsidRDefault="005D469F" w:rsidP="0043334F">
      <w:pPr>
        <w:tabs>
          <w:tab w:val="left" w:pos="708"/>
        </w:tabs>
        <w:contextualSpacing/>
        <w:jc w:val="both"/>
        <w:rPr>
          <w:rFonts w:asciiTheme="minorHAnsi" w:hAnsiTheme="minorHAnsi" w:cstheme="minorHAnsi"/>
          <w:sz w:val="22"/>
          <w:szCs w:val="22"/>
        </w:rPr>
      </w:pPr>
    </w:p>
    <w:p w14:paraId="07261C72" w14:textId="77777777" w:rsidR="005D469F" w:rsidRPr="00AE15DA" w:rsidRDefault="005D469F" w:rsidP="0043334F">
      <w:pPr>
        <w:tabs>
          <w:tab w:val="left" w:pos="708"/>
        </w:tabs>
        <w:contextualSpacing/>
        <w:jc w:val="both"/>
        <w:rPr>
          <w:rFonts w:asciiTheme="minorHAnsi" w:hAnsiTheme="minorHAnsi" w:cstheme="minorHAnsi"/>
          <w:sz w:val="22"/>
          <w:szCs w:val="22"/>
        </w:rPr>
      </w:pPr>
    </w:p>
    <w:p w14:paraId="5C1DE946" w14:textId="77777777" w:rsidR="006C24B0" w:rsidRPr="00AE15DA" w:rsidRDefault="006C24B0" w:rsidP="0043334F">
      <w:pPr>
        <w:tabs>
          <w:tab w:val="left" w:pos="708"/>
        </w:tabs>
        <w:contextualSpacing/>
        <w:jc w:val="both"/>
        <w:rPr>
          <w:sz w:val="22"/>
          <w:szCs w:val="22"/>
          <w:rFonts w:asciiTheme="minorHAnsi" w:hAnsiTheme="minorHAnsi" w:cstheme="minorHAnsi"/>
        </w:rPr>
      </w:pPr>
      <w:r>
        <w:rPr>
          <w:b/>
          <w:color w:val="000000"/>
          <w:sz w:val="22"/>
          <w:szCs w:val="22"/>
          <w:rFonts w:asciiTheme="minorHAnsi" w:hAnsiTheme="minorHAnsi"/>
        </w:rPr>
        <w:t xml:space="preserve">B21.</w:t>
      </w:r>
      <w:r>
        <w:rPr>
          <w:b/>
          <w:color w:val="000000"/>
          <w:sz w:val="22"/>
          <w:szCs w:val="22"/>
          <w:rFonts w:asciiTheme="minorHAnsi" w:hAnsiTheme="minorHAnsi"/>
        </w:rPr>
        <w:t xml:space="preserve"> </w:t>
      </w:r>
      <w:r>
        <w:rPr>
          <w:b/>
          <w:color w:val="000000"/>
          <w:sz w:val="22"/>
          <w:szCs w:val="22"/>
          <w:rFonts w:asciiTheme="minorHAnsi" w:hAnsiTheme="minorHAnsi"/>
        </w:rPr>
        <w:t xml:space="preserve">L'uso di prima linea di carbamazepina, fenitoina, fenobarbital o valproato non è appropriato nel trattamento cronico dell'epilessia (a causa di effetti avversi sulla vitamina D, induzione enzimatica, rischio di caduta; esistono anche alternative più sicure)</w:t>
      </w:r>
    </w:p>
    <w:p w14:paraId="028B148D" w14:textId="77777777" w:rsidR="00316C80" w:rsidRPr="00AE15DA" w:rsidRDefault="00316C80" w:rsidP="0043334F">
      <w:pPr>
        <w:contextualSpacing/>
        <w:jc w:val="both"/>
        <w:rPr>
          <w:i/>
          <w:sz w:val="22"/>
          <w:szCs w:val="22"/>
          <w:rFonts w:asciiTheme="minorHAnsi" w:hAnsiTheme="minorHAnsi"/>
        </w:rPr>
      </w:pPr>
      <w:r>
        <w:rPr>
          <w:i/>
          <w:sz w:val="22"/>
          <w:szCs w:val="22"/>
          <w:rFonts w:asciiTheme="minorHAnsi" w:hAnsiTheme="minorHAnsi"/>
        </w:rPr>
        <w:t xml:space="preserve">*Nuovi agenti come levatiracetam, lamotrigina, gabapentin possono essere preferiti nel trattamento dell'epilessia cronica negli anziani.</w:t>
      </w:r>
    </w:p>
    <w:p w14:paraId="15694B70" w14:textId="77777777" w:rsidR="00C846A1" w:rsidRPr="00AE15DA" w:rsidRDefault="00C846A1" w:rsidP="0043334F">
      <w:pPr>
        <w:tabs>
          <w:tab w:val="left" w:pos="708"/>
        </w:tabs>
        <w:contextualSpacing/>
        <w:rPr>
          <w:rFonts w:asciiTheme="minorHAnsi" w:hAnsiTheme="minorHAnsi" w:cstheme="minorHAnsi"/>
          <w:color w:val="000000" w:themeColor="text1"/>
          <w:sz w:val="22"/>
          <w:szCs w:val="22"/>
        </w:rPr>
      </w:pPr>
    </w:p>
    <w:p w14:paraId="037FB699" w14:textId="77777777" w:rsidR="00C846A1" w:rsidRPr="00AE15DA" w:rsidRDefault="00C846A1" w:rsidP="0043334F">
      <w:pPr>
        <w:tabs>
          <w:tab w:val="left" w:pos="708"/>
        </w:tabs>
        <w:contextualSpacing/>
        <w:rPr>
          <w:rFonts w:asciiTheme="minorHAnsi" w:hAnsiTheme="minorHAnsi" w:cstheme="minorHAnsi"/>
          <w:color w:val="000000" w:themeColor="text1"/>
          <w:sz w:val="22"/>
          <w:szCs w:val="22"/>
        </w:rPr>
      </w:pPr>
    </w:p>
    <w:p w14:paraId="558CB3D1" w14:textId="77777777" w:rsidR="00C846A1" w:rsidRPr="00AE15DA" w:rsidRDefault="006C24B0" w:rsidP="0043334F">
      <w:pPr>
        <w:tabs>
          <w:tab w:val="left" w:pos="708"/>
        </w:tabs>
        <w:contextualSpacing/>
        <w:rPr>
          <w:b/>
          <w:color w:val="000000" w:themeColor="text1"/>
          <w:sz w:val="22"/>
          <w:szCs w:val="22"/>
          <w:rFonts w:asciiTheme="minorHAnsi" w:hAnsiTheme="minorHAnsi"/>
        </w:rPr>
      </w:pPr>
      <w:r>
        <w:rPr>
          <w:b/>
          <w:color w:val="000000" w:themeColor="text1"/>
          <w:sz w:val="22"/>
          <w:szCs w:val="22"/>
          <w:rFonts w:asciiTheme="minorHAnsi" w:hAnsiTheme="minorHAnsi"/>
        </w:rPr>
        <w:t xml:space="preserve">B22.</w:t>
      </w:r>
      <w:r>
        <w:rPr>
          <w:b/>
          <w:color w:val="000000" w:themeColor="text1"/>
          <w:sz w:val="22"/>
          <w:szCs w:val="22"/>
          <w:rFonts w:asciiTheme="minorHAnsi" w:hAnsiTheme="minorHAnsi"/>
        </w:rPr>
        <w:t xml:space="preserve"> </w:t>
      </w:r>
      <w:r>
        <w:rPr>
          <w:b/>
          <w:color w:val="000000" w:themeColor="text1"/>
          <w:sz w:val="22"/>
          <w:szCs w:val="22"/>
          <w:rFonts w:asciiTheme="minorHAnsi" w:hAnsiTheme="minorHAnsi"/>
        </w:rPr>
        <w:t xml:space="preserve">Tramadolo, neurolettici/antipsicotici (clozapina, olanzapina, clorpromazina, tioridazina), bupropione e maprotilina non sono adatti per i pazienti con epilessia.</w:t>
      </w:r>
      <w:r>
        <w:rPr>
          <w:b/>
          <w:color w:val="000000" w:themeColor="text1"/>
          <w:sz w:val="22"/>
          <w:szCs w:val="22"/>
          <w:rFonts w:asciiTheme="minorHAnsi" w:hAnsiTheme="minorHAnsi"/>
        </w:rPr>
        <w:t xml:space="preserve"> </w:t>
      </w:r>
    </w:p>
    <w:p w14:paraId="2C3EA5ED" w14:textId="1038A049" w:rsidR="00C846A1" w:rsidRDefault="00C846A1" w:rsidP="0043334F">
      <w:pPr>
        <w:pStyle w:val="HTMLncedenBiimlendirilmi"/>
        <w:contextualSpacing/>
        <w:jc w:val="both"/>
        <w:rPr>
          <w:rFonts w:asciiTheme="minorHAnsi" w:hAnsiTheme="minorHAnsi" w:cstheme="minorHAnsi"/>
          <w:color w:val="000000"/>
          <w:sz w:val="22"/>
          <w:szCs w:val="22"/>
        </w:rPr>
      </w:pPr>
    </w:p>
    <w:p w14:paraId="6769BAB4" w14:textId="77777777" w:rsidR="00E85274" w:rsidRPr="00AE15DA" w:rsidRDefault="00E85274" w:rsidP="0043334F">
      <w:pPr>
        <w:pStyle w:val="HTMLncedenBiimlendirilmi"/>
        <w:contextualSpacing/>
        <w:jc w:val="both"/>
        <w:rPr>
          <w:rFonts w:asciiTheme="minorHAnsi" w:hAnsiTheme="minorHAnsi" w:cstheme="minorHAnsi"/>
          <w:color w:val="000000"/>
          <w:sz w:val="22"/>
          <w:szCs w:val="22"/>
        </w:rPr>
      </w:pPr>
    </w:p>
    <w:p w14:paraId="7248D813" w14:textId="5E2C6F58" w:rsidR="00EE065C" w:rsidRPr="00E85274" w:rsidRDefault="006C24B0" w:rsidP="00E85274">
      <w:pPr>
        <w:pStyle w:val="HTMLncedenBiimlendirilmi"/>
        <w:contextualSpacing/>
        <w:jc w:val="both"/>
        <w:rPr>
          <w:color w:val="000000"/>
          <w:sz w:val="22"/>
          <w:szCs w:val="22"/>
          <w:rFonts w:asciiTheme="minorHAnsi" w:hAnsiTheme="minorHAnsi" w:cstheme="minorHAnsi"/>
        </w:rPr>
      </w:pPr>
      <w:r>
        <w:rPr>
          <w:b/>
          <w:color w:val="000000"/>
          <w:sz w:val="22"/>
          <w:szCs w:val="22"/>
          <w:rFonts w:asciiTheme="minorHAnsi" w:hAnsiTheme="minorHAnsi"/>
        </w:rPr>
        <w:t xml:space="preserve">B23.</w:t>
      </w:r>
      <w:r>
        <w:rPr>
          <w:b/>
          <w:color w:val="000000"/>
          <w:sz w:val="22"/>
          <w:szCs w:val="22"/>
          <w:rFonts w:asciiTheme="minorHAnsi" w:hAnsiTheme="minorHAnsi"/>
        </w:rPr>
        <w:t xml:space="preserve"> </w:t>
      </w:r>
      <w:r>
        <w:rPr>
          <w:b/>
          <w:color w:val="000000"/>
          <w:sz w:val="22"/>
          <w:szCs w:val="22"/>
          <w:rFonts w:asciiTheme="minorHAnsi" w:hAnsiTheme="minorHAnsi"/>
        </w:rPr>
        <w:t xml:space="preserve">La terapia antiepilettica non è appropriata per la profilassi delle crisi a causa della presenza di ictus ischemico/emorragico in un paziente che non ha avuto precedenti convulsioni.</w:t>
      </w:r>
    </w:p>
    <w:p w14:paraId="6F963514" w14:textId="77777777" w:rsidR="00C846A1" w:rsidRPr="00AE15DA" w:rsidRDefault="00260D35"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B24.</w:t>
      </w:r>
      <w:r>
        <w:rPr>
          <w:b/>
          <w:sz w:val="22"/>
          <w:szCs w:val="22"/>
          <w:rFonts w:asciiTheme="minorHAnsi" w:hAnsiTheme="minorHAnsi"/>
        </w:rPr>
        <w:t xml:space="preserve"> </w:t>
      </w:r>
      <w:r>
        <w:rPr>
          <w:b/>
          <w:sz w:val="22"/>
          <w:szCs w:val="22"/>
          <w:rFonts w:asciiTheme="minorHAnsi" w:hAnsiTheme="minorHAnsi"/>
        </w:rPr>
        <w:t xml:space="preserve">L'uso di citalopram a dosi superiori a 20 mg/die e di escitalopram superiori a 10 mg/die negli anziani non è appropriato (a causa del rischio di prolungamento dell'intervallo QTc)</w:t>
      </w:r>
    </w:p>
    <w:p w14:paraId="3D3CB174" w14:textId="77777777" w:rsidR="00C846A1" w:rsidRPr="00AE15DA" w:rsidRDefault="00C846A1" w:rsidP="0043334F">
      <w:pPr>
        <w:spacing w:before="100" w:beforeAutospacing="1" w:after="100" w:afterAutospacing="1"/>
        <w:contextualSpacing/>
        <w:jc w:val="both"/>
        <w:rPr>
          <w:rFonts w:asciiTheme="minorHAnsi" w:hAnsiTheme="minorHAnsi"/>
          <w:sz w:val="22"/>
          <w:szCs w:val="22"/>
          <w:vertAlign w:val="superscript"/>
        </w:rPr>
      </w:pPr>
    </w:p>
    <w:p w14:paraId="5C709498" w14:textId="77777777" w:rsidR="00C846A1" w:rsidRPr="00AE15DA" w:rsidRDefault="00C846A1" w:rsidP="0043334F">
      <w:pPr>
        <w:spacing w:before="100" w:beforeAutospacing="1" w:after="100" w:afterAutospacing="1"/>
        <w:contextualSpacing/>
        <w:jc w:val="both"/>
        <w:rPr>
          <w:rFonts w:asciiTheme="minorHAnsi" w:hAnsiTheme="minorHAnsi"/>
          <w:sz w:val="22"/>
          <w:szCs w:val="22"/>
          <w:vertAlign w:val="superscript"/>
        </w:rPr>
      </w:pPr>
    </w:p>
    <w:p w14:paraId="660162CF" w14:textId="77777777" w:rsidR="00C846A1" w:rsidRPr="00AE15DA" w:rsidRDefault="00C846A1" w:rsidP="0043334F">
      <w:pPr>
        <w:spacing w:before="100" w:beforeAutospacing="1" w:after="100" w:afterAutospacing="1"/>
        <w:contextualSpacing/>
        <w:jc w:val="both"/>
        <w:rPr>
          <w:rFonts w:asciiTheme="minorHAnsi" w:hAnsiTheme="minorHAnsi"/>
          <w:sz w:val="22"/>
          <w:szCs w:val="22"/>
          <w:vertAlign w:val="superscript"/>
        </w:rPr>
      </w:pPr>
    </w:p>
    <w:p w14:paraId="5E388600" w14:textId="77777777" w:rsidR="004816D3" w:rsidRPr="00AE15DA" w:rsidRDefault="00EE065C" w:rsidP="0043334F">
      <w:pPr>
        <w:spacing w:before="100" w:beforeAutospacing="1" w:after="100" w:afterAutospacing="1"/>
        <w:contextualSpacing/>
        <w:jc w:val="both"/>
        <w:rPr>
          <w:b/>
          <w:sz w:val="28"/>
          <w:szCs w:val="28"/>
          <w:rFonts w:asciiTheme="minorHAnsi" w:hAnsiTheme="minorHAnsi"/>
        </w:rPr>
      </w:pPr>
      <w:r>
        <w:rPr>
          <w:b/>
          <w:sz w:val="28"/>
          <w:szCs w:val="28"/>
          <w:rFonts w:asciiTheme="minorHAnsi" w:hAnsiTheme="minorHAnsi"/>
        </w:rPr>
        <w:t xml:space="preserve">C:</w:t>
      </w:r>
      <w:r>
        <w:rPr>
          <w:b/>
          <w:sz w:val="28"/>
          <w:szCs w:val="28"/>
          <w:rFonts w:asciiTheme="minorHAnsi" w:hAnsiTheme="minorHAnsi"/>
        </w:rPr>
        <w:t xml:space="preserve"> </w:t>
      </w:r>
      <w:r>
        <w:rPr>
          <w:b/>
          <w:sz w:val="28"/>
          <w:szCs w:val="28"/>
          <w:rFonts w:asciiTheme="minorHAnsi" w:hAnsiTheme="minorHAnsi"/>
        </w:rPr>
        <w:t xml:space="preserve">Criteri del sistema gastrointestinale.</w:t>
      </w:r>
      <w:r>
        <w:rPr>
          <w:b/>
          <w:sz w:val="28"/>
          <w:szCs w:val="28"/>
          <w:rFonts w:asciiTheme="minorHAnsi" w:hAnsiTheme="minorHAnsi"/>
        </w:rPr>
        <w:t xml:space="preserve"> </w:t>
      </w:r>
    </w:p>
    <w:p w14:paraId="39798FEF" w14:textId="77777777" w:rsidR="00EE065C" w:rsidRPr="00AE15DA" w:rsidRDefault="00EE065C" w:rsidP="0043334F">
      <w:pPr>
        <w:spacing w:before="100" w:beforeAutospacing="1" w:after="100" w:afterAutospacing="1"/>
        <w:contextualSpacing/>
        <w:jc w:val="both"/>
        <w:rPr>
          <w:rFonts w:asciiTheme="minorHAnsi" w:hAnsiTheme="minorHAnsi"/>
          <w:b/>
          <w:sz w:val="22"/>
          <w:szCs w:val="22"/>
        </w:rPr>
      </w:pPr>
    </w:p>
    <w:p w14:paraId="079386D0" w14:textId="77777777" w:rsidR="00EE065C" w:rsidRPr="00AE15DA" w:rsidRDefault="00EE065C" w:rsidP="0043334F">
      <w:pPr>
        <w:spacing w:before="100" w:beforeAutospacing="1" w:after="100" w:afterAutospacing="1"/>
        <w:contextualSpacing/>
        <w:jc w:val="both"/>
        <w:rPr>
          <w:rFonts w:asciiTheme="minorHAnsi" w:hAnsiTheme="minorHAnsi"/>
          <w:b/>
          <w:sz w:val="22"/>
          <w:szCs w:val="22"/>
        </w:rPr>
      </w:pPr>
    </w:p>
    <w:p w14:paraId="41A79BE0" w14:textId="77777777" w:rsidR="005D469F" w:rsidRPr="00AE15DA" w:rsidRDefault="005D469F" w:rsidP="0043334F">
      <w:pPr>
        <w:spacing w:before="100" w:beforeAutospacing="1" w:after="100" w:afterAutospacing="1"/>
        <w:contextualSpacing/>
        <w:jc w:val="both"/>
        <w:rPr>
          <w:rFonts w:asciiTheme="minorHAnsi" w:hAnsiTheme="minorHAnsi"/>
          <w:b/>
          <w:sz w:val="22"/>
          <w:szCs w:val="22"/>
        </w:rPr>
      </w:pPr>
    </w:p>
    <w:p w14:paraId="5613B0B2" w14:textId="77777777" w:rsidR="007A7469" w:rsidRPr="00AE15DA" w:rsidRDefault="007A7469"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C1.</w:t>
      </w:r>
      <w:r>
        <w:rPr>
          <w:b/>
          <w:sz w:val="22"/>
          <w:szCs w:val="22"/>
          <w:rFonts w:asciiTheme="minorHAnsi" w:hAnsiTheme="minorHAnsi"/>
        </w:rPr>
        <w:t xml:space="preserve"> </w:t>
      </w:r>
      <w:r>
        <w:rPr>
          <w:b/>
          <w:sz w:val="22"/>
          <w:szCs w:val="22"/>
          <w:rFonts w:asciiTheme="minorHAnsi" w:hAnsiTheme="minorHAnsi"/>
        </w:rPr>
        <w:t xml:space="preserve">L'uso concomitante di NSAİİ con OAK (antagonisti della vitamina K, inibitori diretti della trombina, inibitori del fattore Xa) non è appropriato (rischio di sanguinamento gastrointestinale)</w:t>
      </w:r>
    </w:p>
    <w:p w14:paraId="4C6E9214" w14:textId="77777777" w:rsidR="00EE065C" w:rsidRPr="00AE15DA" w:rsidRDefault="00EE065C"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53ABB89D" w14:textId="77777777" w:rsidR="00C846A1" w:rsidRPr="00AE15DA" w:rsidRDefault="00C846A1" w:rsidP="0043334F">
      <w:pPr>
        <w:tabs>
          <w:tab w:val="left" w:pos="708"/>
        </w:tabs>
        <w:contextualSpacing/>
        <w:jc w:val="both"/>
        <w:rPr>
          <w:rFonts w:asciiTheme="minorHAnsi" w:hAnsiTheme="minorHAnsi" w:cstheme="minorHAnsi"/>
          <w:sz w:val="22"/>
          <w:szCs w:val="22"/>
        </w:rPr>
      </w:pPr>
    </w:p>
    <w:p w14:paraId="7DD64B01" w14:textId="77777777" w:rsidR="007A7469" w:rsidRPr="00AE15DA" w:rsidRDefault="007A7469" w:rsidP="0043334F">
      <w:pPr>
        <w:tabs>
          <w:tab w:val="left" w:pos="708"/>
        </w:tabs>
        <w:contextualSpacing/>
        <w:jc w:val="both"/>
        <w:rPr>
          <w:sz w:val="22"/>
          <w:szCs w:val="22"/>
          <w:rFonts w:asciiTheme="minorHAnsi" w:hAnsiTheme="minorHAnsi" w:cstheme="minorHAnsi"/>
        </w:rPr>
      </w:pPr>
      <w:r>
        <w:rPr>
          <w:b/>
          <w:sz w:val="22"/>
          <w:szCs w:val="22"/>
          <w:rFonts w:asciiTheme="minorHAnsi" w:hAnsiTheme="minorHAnsi"/>
        </w:rPr>
        <w:t xml:space="preserve">C2.</w:t>
      </w:r>
      <w:r>
        <w:rPr>
          <w:b/>
          <w:sz w:val="22"/>
          <w:szCs w:val="22"/>
          <w:rFonts w:asciiTheme="minorHAnsi" w:hAnsiTheme="minorHAnsi"/>
        </w:rPr>
        <w:t xml:space="preserve"> </w:t>
      </w:r>
      <w:r>
        <w:rPr>
          <w:b/>
          <w:sz w:val="22"/>
          <w:szCs w:val="22"/>
          <w:rFonts w:asciiTheme="minorHAnsi" w:hAnsiTheme="minorHAnsi"/>
        </w:rPr>
        <w:t xml:space="preserve">Aspirina, clopidogrel, NSAİİ o steroidi; Non è adatto per l'uso senza PPİ in pazienti con anamnesi di ulcera, in pazienti che ricevono una terapia antiaggregante aggiuntiva, in pazienti che ricevono anticoagulanti concomitanti, in pazienti che usano steroidi e in pazienti con sintomi di dispepsia-GÖR.</w:t>
      </w:r>
    </w:p>
    <w:p w14:paraId="21085BC1" w14:textId="77777777" w:rsidR="00416085" w:rsidRPr="00AE15DA" w:rsidRDefault="00F80E7F" w:rsidP="0043334F">
      <w:pPr>
        <w:contextualSpacing/>
        <w:jc w:val="both"/>
        <w:rPr>
          <w:i/>
          <w:sz w:val="22"/>
          <w:szCs w:val="22"/>
          <w:rFonts w:asciiTheme="minorHAnsi" w:hAnsiTheme="minorHAnsi"/>
        </w:rPr>
      </w:pPr>
      <w:r>
        <w:rPr>
          <w:i/>
          <w:sz w:val="22"/>
          <w:szCs w:val="22"/>
          <w:rFonts w:asciiTheme="minorHAnsi" w:hAnsiTheme="minorHAnsi"/>
        </w:rPr>
        <w:t xml:space="preserve">*La dose raccomandata di PPI nell'uso di PPI per la profilassi è la dose elevata di PPI preferita una volta al giorno sul mercato.</w:t>
      </w:r>
      <w:r>
        <w:rPr>
          <w:i/>
          <w:sz w:val="22"/>
          <w:szCs w:val="22"/>
          <w:rFonts w:asciiTheme="minorHAnsi" w:hAnsiTheme="minorHAnsi"/>
        </w:rPr>
        <w:t xml:space="preserve"> </w:t>
      </w:r>
    </w:p>
    <w:p w14:paraId="58B4AE4A" w14:textId="77777777" w:rsidR="00416085" w:rsidRPr="00AE15DA" w:rsidRDefault="007D40DC" w:rsidP="0043334F">
      <w:pPr>
        <w:contextualSpacing/>
        <w:jc w:val="both"/>
        <w:rPr>
          <w:i/>
          <w:color w:val="222222"/>
          <w:sz w:val="22"/>
          <w:szCs w:val="22"/>
          <w:shd w:val="clear" w:color="auto" w:fill="F8F9FA"/>
          <w:rFonts w:asciiTheme="minorHAnsi" w:hAnsiTheme="minorHAnsi" w:cs="Arial"/>
        </w:rPr>
      </w:pPr>
      <w:r>
        <w:rPr>
          <w:i/>
          <w:color w:val="222222"/>
          <w:sz w:val="22"/>
          <w:szCs w:val="22"/>
          <w:shd w:val="clear" w:color="auto" w:fill="F8F9FA"/>
          <w:rFonts w:asciiTheme="minorHAnsi" w:hAnsiTheme="minorHAnsi"/>
        </w:rPr>
        <w:t xml:space="preserve">*In condizioni di comorbidità diverse dalla dispepsia, è opportuno continuare con una dose elevata di PPI.</w:t>
      </w:r>
    </w:p>
    <w:p w14:paraId="268F290C" w14:textId="77777777" w:rsidR="00416085" w:rsidRPr="00AE15DA" w:rsidRDefault="00CD36C1" w:rsidP="0043334F">
      <w:pPr>
        <w:contextualSpacing/>
        <w:jc w:val="both"/>
        <w:rPr>
          <w:i/>
          <w:sz w:val="22"/>
          <w:szCs w:val="22"/>
          <w:rFonts w:asciiTheme="minorHAnsi" w:hAnsiTheme="minorHAnsi"/>
        </w:rPr>
      </w:pPr>
      <w:r>
        <w:rPr>
          <w:i/>
          <w:sz w:val="22"/>
          <w:szCs w:val="22"/>
          <w:rFonts w:asciiTheme="minorHAnsi" w:hAnsiTheme="minorHAnsi"/>
        </w:rPr>
        <w:t xml:space="preserve">*A causa della presenza di dispepsia che accompagna l'uso dei suddetti farmaci, nei casi con indicazione PPI, può essere appropriato utilizzare una dose elevata di PPI per un po' e diminuire alla dose PPI più bassa in cui i sintomi del paziente non si ripresentano nel azione supplementare.</w:t>
      </w:r>
    </w:p>
    <w:p w14:paraId="5D2674DE" w14:textId="77777777" w:rsidR="00416085" w:rsidRPr="00AE15DA" w:rsidRDefault="00677D79" w:rsidP="0043334F">
      <w:pPr>
        <w:contextualSpacing/>
        <w:jc w:val="both"/>
        <w:rPr>
          <w:i/>
          <w:sz w:val="22"/>
          <w:szCs w:val="22"/>
          <w:rFonts w:asciiTheme="minorHAnsi" w:hAnsiTheme="minorHAnsi"/>
        </w:rPr>
      </w:pPr>
      <w:r>
        <w:rPr>
          <w:i/>
          <w:sz w:val="22"/>
          <w:szCs w:val="22"/>
          <w:color w:val="000000" w:themeColor="text1"/>
          <w:rFonts w:asciiTheme="minorHAnsi" w:hAnsiTheme="minorHAnsi"/>
        </w:rPr>
        <w:t xml:space="preserve">* L'uso di PPI è richiesto negli anziani che usano NSAİİ  cronici.</w:t>
      </w:r>
      <w:r>
        <w:rPr>
          <w:i/>
          <w:sz w:val="22"/>
          <w:szCs w:val="22"/>
          <w:color w:val="000000" w:themeColor="text1"/>
          <w:rFonts w:asciiTheme="minorHAnsi" w:hAnsiTheme="minorHAnsi"/>
        </w:rPr>
        <w:t xml:space="preserve">  </w:t>
      </w:r>
      <w:r>
        <w:rPr>
          <w:i/>
          <w:sz w:val="22"/>
          <w:szCs w:val="22"/>
          <w:rFonts w:asciiTheme="minorHAnsi" w:hAnsiTheme="minorHAnsi"/>
        </w:rPr>
        <w:t xml:space="preserve">Nell'uso cronico di NSAİİ  negli anziani, deve essere somministrato PPI/misoprostolo, anche in assenza dei suddetti fattori di rischio.</w:t>
      </w:r>
    </w:p>
    <w:p w14:paraId="275E5BBD" w14:textId="77777777" w:rsidR="00416085" w:rsidRPr="00AE15DA" w:rsidRDefault="00B22D0E" w:rsidP="0043334F">
      <w:pPr>
        <w:contextualSpacing/>
        <w:jc w:val="both"/>
        <w:rPr>
          <w:i/>
          <w:sz w:val="22"/>
          <w:szCs w:val="22"/>
          <w:rFonts w:asciiTheme="minorHAnsi" w:hAnsiTheme="minorHAnsi"/>
        </w:rPr>
      </w:pPr>
      <w:r>
        <w:rPr>
          <w:i/>
          <w:sz w:val="22"/>
          <w:szCs w:val="22"/>
          <w:rFonts w:asciiTheme="minorHAnsi" w:hAnsiTheme="minorHAnsi"/>
        </w:rPr>
        <w:t xml:space="preserve">*Negli anziani che utilizzano NSAİİ  a breve termine, può essere appropriato somministrare PPI concomitanti anche se i suddetti fattori di rischio non sono presenti.</w:t>
      </w:r>
      <w:r>
        <w:rPr>
          <w:i/>
          <w:sz w:val="22"/>
          <w:szCs w:val="22"/>
          <w:rFonts w:asciiTheme="minorHAnsi" w:hAnsiTheme="minorHAnsi"/>
        </w:rPr>
        <w:t xml:space="preserve">  </w:t>
      </w:r>
    </w:p>
    <w:p w14:paraId="69F23B7F" w14:textId="77777777" w:rsidR="00416085" w:rsidRPr="00AE15DA" w:rsidRDefault="00964679" w:rsidP="0043334F">
      <w:pPr>
        <w:contextualSpacing/>
        <w:jc w:val="both"/>
        <w:rPr>
          <w:i/>
          <w:sz w:val="22"/>
          <w:szCs w:val="22"/>
          <w:rFonts w:asciiTheme="minorHAnsi" w:hAnsiTheme="minorHAnsi"/>
        </w:rPr>
      </w:pPr>
      <w:r>
        <w:rPr>
          <w:i/>
          <w:sz w:val="22"/>
          <w:szCs w:val="22"/>
          <w:rFonts w:asciiTheme="minorHAnsi" w:hAnsiTheme="minorHAnsi"/>
        </w:rPr>
        <w:t xml:space="preserve">*Negli anziani che utilizzano dosi antiaggreganti di aspirina o clopidogrel da soli, probabilmente non è necessario utilizzare PPI se nessuno dei suddetti fattori di rischio è presente.</w:t>
      </w:r>
      <w:r>
        <w:rPr>
          <w:i/>
          <w:sz w:val="22"/>
          <w:szCs w:val="22"/>
          <w:rFonts w:asciiTheme="minorHAnsi" w:hAnsiTheme="minorHAnsi"/>
        </w:rPr>
        <w:t xml:space="preserve"> </w:t>
      </w:r>
    </w:p>
    <w:p w14:paraId="0CE16F2D" w14:textId="77777777" w:rsidR="00416085" w:rsidRPr="00AE15DA" w:rsidRDefault="005207E3" w:rsidP="0043334F">
      <w:pPr>
        <w:contextualSpacing/>
        <w:jc w:val="both"/>
        <w:rPr>
          <w:i/>
          <w:color w:val="000000" w:themeColor="text1"/>
          <w:sz w:val="22"/>
          <w:szCs w:val="22"/>
          <w:rFonts w:asciiTheme="minorHAnsi" w:hAnsiTheme="minorHAnsi"/>
        </w:rPr>
      </w:pPr>
      <w:r>
        <w:rPr>
          <w:i/>
          <w:color w:val="000000" w:themeColor="text1"/>
          <w:sz w:val="22"/>
          <w:szCs w:val="22"/>
          <w:rFonts w:asciiTheme="minorHAnsi" w:hAnsiTheme="minorHAnsi"/>
        </w:rPr>
        <w:t xml:space="preserve">*Esistono studi che dimostrano che l'efficacia degli PPI è ridotta se usati insieme a clopidogrel.</w:t>
      </w:r>
      <w:r>
        <w:rPr>
          <w:i/>
          <w:color w:val="000000" w:themeColor="text1"/>
          <w:sz w:val="22"/>
          <w:szCs w:val="22"/>
          <w:rFonts w:asciiTheme="minorHAnsi" w:hAnsiTheme="minorHAnsi"/>
        </w:rPr>
        <w:t xml:space="preserve"> </w:t>
      </w:r>
      <w:r>
        <w:rPr>
          <w:i/>
          <w:color w:val="000000" w:themeColor="text1"/>
          <w:sz w:val="22"/>
          <w:szCs w:val="22"/>
          <w:rFonts w:asciiTheme="minorHAnsi" w:hAnsiTheme="minorHAnsi"/>
        </w:rPr>
        <w:t xml:space="preserve">Tuttavia, non è possibile formulare alcuna raccomandazione chiara al riguardo.</w:t>
      </w:r>
    </w:p>
    <w:p w14:paraId="3F72C460" w14:textId="77777777" w:rsidR="00416085" w:rsidRPr="00AE15DA" w:rsidRDefault="007933ED" w:rsidP="0043334F">
      <w:pPr>
        <w:contextualSpacing/>
        <w:jc w:val="both"/>
        <w:rPr>
          <w:i/>
          <w:color w:val="000000" w:themeColor="text1"/>
          <w:sz w:val="22"/>
          <w:szCs w:val="22"/>
          <w:rFonts w:asciiTheme="minorHAnsi" w:hAnsiTheme="minorHAnsi"/>
        </w:rPr>
      </w:pPr>
      <w:r>
        <w:rPr>
          <w:i/>
          <w:color w:val="000000" w:themeColor="text1"/>
          <w:sz w:val="22"/>
          <w:szCs w:val="22"/>
          <w:rFonts w:asciiTheme="minorHAnsi" w:hAnsiTheme="minorHAnsi"/>
        </w:rPr>
        <w:t xml:space="preserve">*Se esiste un'indicazione per l'uso di PPI in pazienti che usano warfarin, dovrebbe essere preferito un PPI diverso da omeprazolo (l'omeprazolo aumenta il livello di warfarin).</w:t>
      </w:r>
    </w:p>
    <w:p w14:paraId="30E4651A" w14:textId="77777777" w:rsidR="007933ED" w:rsidRPr="00AE15DA" w:rsidRDefault="007933ED" w:rsidP="0043334F">
      <w:pPr>
        <w:contextualSpacing/>
        <w:jc w:val="both"/>
        <w:rPr>
          <w:i/>
          <w:color w:val="000000" w:themeColor="text1"/>
          <w:sz w:val="22"/>
          <w:szCs w:val="22"/>
          <w:rFonts w:asciiTheme="minorHAnsi" w:hAnsiTheme="minorHAnsi"/>
        </w:rPr>
      </w:pPr>
      <w:r>
        <w:rPr>
          <w:i/>
          <w:sz w:val="22"/>
          <w:szCs w:val="22"/>
          <w:rFonts w:asciiTheme="minorHAnsi" w:hAnsiTheme="minorHAnsi"/>
        </w:rPr>
        <w:t xml:space="preserve">* Al posto del trattamento con PPI possono essere preferiti anche misoprostolo o bloccanti del recettore H2 ad alte dosi.</w:t>
      </w:r>
      <w:r>
        <w:rPr>
          <w:i/>
          <w:sz w:val="22"/>
          <w:szCs w:val="22"/>
          <w:color w:val="000000" w:themeColor="text1"/>
          <w:rFonts w:asciiTheme="minorHAnsi" w:hAnsiTheme="minorHAnsi"/>
        </w:rPr>
        <w:t xml:space="preserve"> </w:t>
      </w:r>
    </w:p>
    <w:p w14:paraId="45076233" w14:textId="77777777" w:rsidR="00263917" w:rsidRPr="00AE15DA" w:rsidRDefault="00263917" w:rsidP="0043334F">
      <w:pPr>
        <w:spacing w:before="100" w:beforeAutospacing="1" w:after="100" w:afterAutospacing="1"/>
        <w:contextualSpacing/>
        <w:jc w:val="both"/>
        <w:rPr>
          <w:rFonts w:asciiTheme="minorHAnsi" w:hAnsiTheme="minorHAnsi" w:cstheme="minorHAnsi"/>
          <w:sz w:val="22"/>
          <w:szCs w:val="22"/>
          <w:lang w:eastAsia="en-GB"/>
        </w:rPr>
      </w:pPr>
    </w:p>
    <w:p w14:paraId="55744D21" w14:textId="77777777" w:rsidR="00C846A1" w:rsidRPr="00AE15DA" w:rsidRDefault="00C846A1" w:rsidP="0043334F">
      <w:pPr>
        <w:contextualSpacing/>
        <w:rPr>
          <w:rFonts w:asciiTheme="minorHAnsi" w:hAnsiTheme="minorHAnsi" w:cstheme="minorHAnsi"/>
          <w:sz w:val="22"/>
          <w:szCs w:val="22"/>
          <w:lang w:eastAsia="en-GB"/>
        </w:rPr>
      </w:pPr>
    </w:p>
    <w:p w14:paraId="69BFD4DC" w14:textId="77777777" w:rsidR="00C846A1" w:rsidRPr="00AE15DA" w:rsidRDefault="00C846A1" w:rsidP="0043334F">
      <w:pPr>
        <w:contextualSpacing/>
        <w:rPr>
          <w:rFonts w:asciiTheme="minorHAnsi" w:hAnsiTheme="minorHAnsi" w:cstheme="minorHAnsi"/>
          <w:sz w:val="22"/>
          <w:szCs w:val="22"/>
          <w:lang w:eastAsia="en-GB"/>
        </w:rPr>
      </w:pPr>
    </w:p>
    <w:p w14:paraId="7F55EF02" w14:textId="6863B492" w:rsidR="007A7469" w:rsidRPr="00AE15DA" w:rsidRDefault="00E66E29" w:rsidP="0043334F">
      <w:pPr>
        <w:spacing w:before="100" w:beforeAutospacing="1"/>
        <w:contextualSpacing/>
        <w:jc w:val="both"/>
        <w:rPr>
          <w:sz w:val="22"/>
          <w:szCs w:val="22"/>
          <w:rFonts w:asciiTheme="minorHAnsi" w:hAnsiTheme="minorHAnsi"/>
        </w:rPr>
      </w:pPr>
      <w:r>
        <w:rPr>
          <w:b/>
          <w:sz w:val="22"/>
          <w:szCs w:val="22"/>
          <w:rFonts w:ascii="Calibri" w:hAnsi="Calibri"/>
        </w:rPr>
        <w:t xml:space="preserve">#</w:t>
      </w:r>
      <w:r>
        <w:rPr>
          <w:b/>
          <w:sz w:val="22"/>
          <w:szCs w:val="22"/>
          <w:rFonts w:asciiTheme="minorHAnsi" w:hAnsiTheme="minorHAnsi"/>
        </w:rPr>
        <w:t xml:space="preserve">C3.</w:t>
      </w:r>
      <w:r>
        <w:rPr>
          <w:b/>
          <w:sz w:val="22"/>
          <w:szCs w:val="22"/>
          <w:rFonts w:asciiTheme="minorHAnsi" w:hAnsiTheme="minorHAnsi"/>
        </w:rPr>
        <w:t xml:space="preserve"> </w:t>
      </w:r>
      <w:r>
        <w:rPr>
          <w:b/>
          <w:sz w:val="22"/>
          <w:szCs w:val="22"/>
          <w:rFonts w:asciiTheme="minorHAnsi" w:hAnsiTheme="minorHAnsi"/>
        </w:rPr>
        <w:t xml:space="preserve">Aspirina o NSAİİ; I pazienti con una storia di ulcera peptica (complicata o non complicata, gastrica o duodenale) non sono idonei all'uso cronico senza test per l'Helicobacter pylori.</w:t>
      </w:r>
    </w:p>
    <w:p w14:paraId="1EBF1FEE" w14:textId="77777777" w:rsidR="007A7469" w:rsidRPr="00AE15DA" w:rsidRDefault="008A0522" w:rsidP="0043334F">
      <w:pPr>
        <w:contextualSpacing/>
        <w:jc w:val="both"/>
        <w:rPr>
          <w:i/>
          <w:sz w:val="22"/>
          <w:szCs w:val="22"/>
          <w:rFonts w:asciiTheme="minorHAnsi" w:hAnsiTheme="minorHAnsi"/>
        </w:rPr>
      </w:pPr>
      <w:r>
        <w:rPr>
          <w:i/>
          <w:sz w:val="22"/>
          <w:szCs w:val="22"/>
          <w:rFonts w:asciiTheme="minorHAnsi" w:hAnsiTheme="minorHAnsi"/>
        </w:rPr>
        <w:t xml:space="preserve">*H. pylori (+), deve essere somministrata una terapia di eradicazione.</w:t>
      </w:r>
      <w:r>
        <w:rPr>
          <w:i/>
          <w:sz w:val="22"/>
          <w:szCs w:val="22"/>
          <w:rFonts w:asciiTheme="minorHAnsi" w:hAnsiTheme="minorHAnsi"/>
        </w:rPr>
        <w:t xml:space="preserve"> </w:t>
      </w:r>
    </w:p>
    <w:p w14:paraId="2538BF36" w14:textId="77777777" w:rsidR="00D16308" w:rsidRPr="00AE15DA" w:rsidRDefault="008A0522" w:rsidP="0043334F">
      <w:pPr>
        <w:contextualSpacing/>
        <w:jc w:val="both"/>
        <w:rPr>
          <w:i/>
          <w:color w:val="000000" w:themeColor="text1"/>
          <w:sz w:val="22"/>
          <w:szCs w:val="22"/>
          <w:rFonts w:asciiTheme="minorHAnsi" w:hAnsiTheme="minorHAnsi"/>
        </w:rPr>
      </w:pPr>
      <w:r>
        <w:rPr>
          <w:i/>
          <w:color w:val="000000" w:themeColor="text1"/>
          <w:sz w:val="22"/>
          <w:szCs w:val="22"/>
          <w:rFonts w:asciiTheme="minorHAnsi" w:hAnsiTheme="minorHAnsi"/>
        </w:rPr>
        <w:t xml:space="preserve">*Se il paziente sta assumendo aspirina/NSAİİ  da un po' di tempo, il beneficio atteso dalla terapia di eradicazione dell'H. pylori è basso, ma l'eradicazione è generalmente preferita se viene esaminata e trovata positiva nella pratica.</w:t>
      </w:r>
    </w:p>
    <w:p w14:paraId="0D0C349D" w14:textId="77777777" w:rsidR="007A7469" w:rsidRPr="00AE15DA" w:rsidRDefault="00D16308" w:rsidP="0043334F">
      <w:pPr>
        <w:contextualSpacing/>
        <w:jc w:val="both"/>
        <w:rPr>
          <w:i/>
          <w:color w:val="44546A" w:themeColor="text2"/>
          <w:sz w:val="22"/>
          <w:szCs w:val="22"/>
          <w:rFonts w:asciiTheme="minorHAnsi" w:hAnsiTheme="minorHAnsi"/>
        </w:rPr>
      </w:pPr>
      <w:r>
        <w:rPr>
          <w:i/>
          <w:color w:val="000000" w:themeColor="text1"/>
          <w:sz w:val="22"/>
          <w:szCs w:val="22"/>
          <w:rFonts w:asciiTheme="minorHAnsi" w:hAnsiTheme="minorHAnsi"/>
        </w:rPr>
        <w:t xml:space="preserve">*H. pylori nelle popolazioni, e nei casi senza anamnesi di ulcera peptica nell'anamnesi, prima di iniziare l'uso cronico di aspirina/NSAİİ per H. pylori, può essere appropriato un approccio "test-treat".,</w:t>
      </w:r>
    </w:p>
    <w:p w14:paraId="284B3524" w14:textId="77777777" w:rsidR="00316C80" w:rsidRPr="00AE15DA" w:rsidRDefault="00316C80" w:rsidP="0043334F">
      <w:pPr>
        <w:contextualSpacing/>
        <w:jc w:val="both"/>
        <w:rPr>
          <w:i/>
          <w:sz w:val="22"/>
          <w:szCs w:val="22"/>
          <w:rFonts w:asciiTheme="minorHAnsi" w:hAnsiTheme="minorHAnsi"/>
        </w:rPr>
      </w:pPr>
      <w:r>
        <w:rPr>
          <w:i/>
          <w:sz w:val="22"/>
          <w:szCs w:val="22"/>
          <w:rFonts w:asciiTheme="minorHAnsi" w:hAnsiTheme="minorHAnsi"/>
        </w:rPr>
        <w:t xml:space="preserve">*Nei pazienti che inizieranno l'uso cronico di clopidogrel; anche se c'è una storia di ulcera peptica (complicata o non complicata, gastrica o duodenale) nell'anamnesi, il test dell'H. pylori e/o il trattamento di eradicazione dell'H. pylori non sono raccomandati (applicazione teorica o pratica).</w:t>
      </w:r>
      <w:r>
        <w:rPr>
          <w:i/>
          <w:sz w:val="22"/>
          <w:szCs w:val="22"/>
          <w:rFonts w:asciiTheme="minorHAnsi" w:hAnsiTheme="minorHAnsi"/>
        </w:rPr>
        <w:t xml:space="preserve"> </w:t>
      </w:r>
    </w:p>
    <w:p w14:paraId="0DC883D3" w14:textId="77777777" w:rsidR="0043334F" w:rsidRPr="00AE15DA" w:rsidRDefault="0043334F" w:rsidP="0043334F">
      <w:pPr>
        <w:contextualSpacing/>
        <w:jc w:val="both"/>
        <w:rPr>
          <w:rFonts w:asciiTheme="minorHAnsi" w:hAnsiTheme="minorHAnsi" w:cstheme="minorHAnsi"/>
          <w:color w:val="000000"/>
          <w:sz w:val="22"/>
          <w:szCs w:val="22"/>
        </w:rPr>
      </w:pPr>
    </w:p>
    <w:p w14:paraId="6075E3F5" w14:textId="77777777" w:rsidR="0043334F" w:rsidRPr="00AE15DA" w:rsidRDefault="0043334F" w:rsidP="0043334F">
      <w:pPr>
        <w:contextualSpacing/>
        <w:jc w:val="both"/>
        <w:rPr>
          <w:rFonts w:asciiTheme="minorHAnsi" w:hAnsiTheme="minorHAnsi" w:cstheme="minorHAnsi"/>
          <w:color w:val="000000"/>
          <w:sz w:val="22"/>
          <w:szCs w:val="22"/>
        </w:rPr>
      </w:pPr>
    </w:p>
    <w:p w14:paraId="25B71196" w14:textId="77777777" w:rsidR="006658FF" w:rsidRPr="00AE15DA" w:rsidRDefault="007A7469" w:rsidP="0043334F">
      <w:pPr>
        <w:contextualSpacing/>
        <w:jc w:val="both"/>
        <w:rPr>
          <w:color w:val="000000"/>
          <w:sz w:val="22"/>
          <w:szCs w:val="22"/>
          <w:rFonts w:asciiTheme="minorHAnsi" w:hAnsiTheme="minorHAnsi" w:cstheme="minorHAnsi"/>
        </w:rPr>
      </w:pPr>
      <w:r>
        <w:rPr>
          <w:b/>
          <w:sz w:val="22"/>
          <w:szCs w:val="22"/>
          <w:rFonts w:asciiTheme="minorHAnsi" w:hAnsiTheme="minorHAnsi"/>
        </w:rPr>
        <w:t xml:space="preserve">C4.</w:t>
      </w:r>
      <w:r>
        <w:rPr>
          <w:b/>
          <w:sz w:val="22"/>
          <w:szCs w:val="22"/>
          <w:rFonts w:asciiTheme="minorHAnsi" w:hAnsiTheme="minorHAnsi"/>
        </w:rPr>
        <w:t xml:space="preserve"> </w:t>
      </w:r>
      <w:r>
        <w:rPr>
          <w:b/>
          <w:sz w:val="22"/>
          <w:szCs w:val="22"/>
          <w:rFonts w:asciiTheme="minorHAnsi" w:hAnsiTheme="minorHAnsi"/>
        </w:rPr>
        <w:t xml:space="preserve">L'uso di PPI alla dose terapeutica completa per più di 8-12 settimane non è appropriato nel trattamento dell'ulcera peptica non complicata o dell'esofagite peptica erosiva (è indicata una riduzione della dose o un'interruzione più breve).</w:t>
      </w:r>
    </w:p>
    <w:p w14:paraId="7B2A6A53" w14:textId="77777777" w:rsidR="007A7469" w:rsidRPr="00AE15DA" w:rsidRDefault="007A7469" w:rsidP="0043334F">
      <w:pPr>
        <w:pStyle w:val="NormalWeb"/>
        <w:spacing w:before="0" w:beforeAutospacing="0" w:after="0" w:afterAutospacing="0"/>
        <w:contextualSpacing/>
        <w:jc w:val="both"/>
        <w:rPr>
          <w:i/>
          <w:color w:val="000000"/>
          <w:sz w:val="22"/>
          <w:szCs w:val="22"/>
          <w:rFonts w:asciiTheme="minorHAnsi" w:hAnsiTheme="minorHAnsi"/>
        </w:rPr>
      </w:pPr>
      <w:r>
        <w:rPr>
          <w:i/>
          <w:color w:val="000000"/>
          <w:sz w:val="22"/>
          <w:szCs w:val="22"/>
          <w:rFonts w:asciiTheme="minorHAnsi" w:hAnsiTheme="minorHAnsi"/>
        </w:rPr>
        <w:t xml:space="preserve">*Il periodo di dosaggio terapeutico di 8-12 settimane non include la durata della terapia con PPI per l'eradicazione dell'H. pylori.</w:t>
      </w:r>
    </w:p>
    <w:p w14:paraId="253DF341" w14:textId="77777777" w:rsidR="00C846A1" w:rsidRPr="00AE15DA" w:rsidRDefault="00316C80" w:rsidP="0043334F">
      <w:pPr>
        <w:spacing w:after="200"/>
        <w:contextualSpacing/>
        <w:jc w:val="both"/>
        <w:rPr>
          <w:i/>
          <w:sz w:val="22"/>
          <w:szCs w:val="22"/>
          <w:rFonts w:asciiTheme="minorHAnsi" w:hAnsiTheme="minorHAnsi"/>
        </w:rPr>
      </w:pPr>
      <w:r>
        <w:rPr>
          <w:i/>
          <w:sz w:val="22"/>
          <w:szCs w:val="22"/>
          <w:rFonts w:asciiTheme="minorHAnsi" w:hAnsiTheme="minorHAnsi"/>
        </w:rPr>
        <w:t xml:space="preserve">*Per evitare l'effetto rimbalzo durante il periodo di sospensione, è opportuno ridurre gli PPI riducendoli.</w:t>
      </w:r>
      <w:r>
        <w:rPr>
          <w:i/>
          <w:sz w:val="22"/>
          <w:szCs w:val="22"/>
          <w:rFonts w:asciiTheme="minorHAnsi" w:hAnsiTheme="minorHAnsi"/>
        </w:rPr>
        <w:t xml:space="preserve"> </w:t>
      </w:r>
      <w:r>
        <w:rPr>
          <w:i/>
          <w:sz w:val="22"/>
          <w:szCs w:val="22"/>
          <w:rFonts w:asciiTheme="minorHAnsi" w:hAnsiTheme="minorHAnsi"/>
        </w:rPr>
        <w:t xml:space="preserve">(ad esempio, mezza dose per 1 settimana, sovradosaggio per 1 settimana, quindi viene interrotto)</w:t>
      </w:r>
    </w:p>
    <w:p w14:paraId="1E6FE7E5" w14:textId="77777777" w:rsidR="0043334F" w:rsidRPr="00AE15DA" w:rsidRDefault="0043334F" w:rsidP="0043334F">
      <w:pPr>
        <w:pStyle w:val="HTMLncedenBiimlendirilmi"/>
        <w:contextualSpacing/>
        <w:jc w:val="both"/>
        <w:rPr>
          <w:rFonts w:asciiTheme="minorHAnsi" w:hAnsiTheme="minorHAnsi" w:cs="Times New Roman"/>
          <w:b/>
          <w:color w:val="000000"/>
          <w:sz w:val="22"/>
          <w:szCs w:val="22"/>
        </w:rPr>
      </w:pPr>
    </w:p>
    <w:p w14:paraId="461FFF1A" w14:textId="77777777" w:rsidR="00441B80" w:rsidRPr="00AE15DA" w:rsidRDefault="007A7469" w:rsidP="0043334F">
      <w:pPr>
        <w:pStyle w:val="HTMLncedenBiimlendirilmi"/>
        <w:contextualSpacing/>
        <w:jc w:val="both"/>
        <w:rPr>
          <w:b/>
          <w:color w:val="000000"/>
          <w:sz w:val="22"/>
          <w:szCs w:val="22"/>
          <w:rFonts w:asciiTheme="minorHAnsi" w:hAnsiTheme="minorHAnsi" w:cs="Times New Roman"/>
        </w:rPr>
      </w:pPr>
      <w:r>
        <w:rPr>
          <w:b/>
          <w:color w:val="000000"/>
          <w:sz w:val="22"/>
          <w:szCs w:val="22"/>
          <w:rFonts w:asciiTheme="minorHAnsi" w:hAnsiTheme="minorHAnsi"/>
        </w:rPr>
        <w:t xml:space="preserve">C5.</w:t>
      </w:r>
      <w:r>
        <w:rPr>
          <w:b/>
          <w:color w:val="000000"/>
          <w:sz w:val="22"/>
          <w:szCs w:val="22"/>
          <w:rFonts w:asciiTheme="minorHAnsi" w:hAnsiTheme="minorHAnsi"/>
        </w:rPr>
        <w:t xml:space="preserve"> </w:t>
      </w:r>
      <w:r>
        <w:rPr>
          <w:b/>
          <w:color w:val="000000"/>
          <w:sz w:val="22"/>
          <w:szCs w:val="22"/>
          <w:rFonts w:asciiTheme="minorHAnsi" w:hAnsiTheme="minorHAnsi"/>
        </w:rPr>
        <w:t xml:space="preserve">L'uso di PPI non è appropriato a causa dell'uso di più farmaci (nessun beneficio, potenziale danno)</w:t>
      </w:r>
    </w:p>
    <w:p w14:paraId="548A6A27" w14:textId="77777777" w:rsidR="007A7469" w:rsidRPr="00AE15DA" w:rsidRDefault="00441B80" w:rsidP="0043334F">
      <w:pPr>
        <w:pStyle w:val="HTMLncedenBiimlendirilmi"/>
        <w:contextualSpacing/>
        <w:jc w:val="both"/>
        <w:rPr>
          <w:i/>
          <w:color w:val="000000"/>
          <w:sz w:val="22"/>
          <w:szCs w:val="22"/>
          <w:rFonts w:asciiTheme="minorHAnsi" w:hAnsiTheme="minorHAnsi" w:cs="Times New Roman"/>
        </w:rPr>
      </w:pPr>
      <w:r>
        <w:rPr>
          <w:color w:val="000000"/>
          <w:sz w:val="22"/>
          <w:szCs w:val="22"/>
          <w:rFonts w:asciiTheme="minorHAnsi" w:hAnsiTheme="minorHAnsi"/>
        </w:rPr>
        <w:t xml:space="preserve">*Non vi è alcuna indicazione di "uso multiplo di droghe" tra le indicazioni per l'uso di PPI.</w:t>
      </w:r>
      <w:r>
        <w:rPr>
          <w:color w:val="000000"/>
          <w:sz w:val="22"/>
          <w:szCs w:val="22"/>
          <w:i/>
          <w:rFonts w:asciiTheme="minorHAnsi" w:hAnsiTheme="minorHAnsi"/>
        </w:rPr>
        <w:t xml:space="preserve"> </w:t>
      </w:r>
      <w:r>
        <w:rPr>
          <w:color w:val="000000"/>
          <w:sz w:val="22"/>
          <w:szCs w:val="22"/>
          <w:i/>
          <w:rFonts w:asciiTheme="minorHAnsi" w:hAnsiTheme="minorHAnsi"/>
        </w:rPr>
        <w:t xml:space="preserve">D'altra parte, l'uso cronico di PPI è un fattore di rischio per insufficienza renale cronica, fratture, aumento del rischio di demenza, aumento della frequenza di infezione da C. difficile, carenza di vitamina B12, ipomagnesemia, infezioni enteriche - proliferazione batterica.</w:t>
      </w:r>
    </w:p>
    <w:p w14:paraId="5C7B6D1B" w14:textId="77777777" w:rsidR="00FF4066" w:rsidRPr="00AE15DA" w:rsidRDefault="00FF4066" w:rsidP="0043334F">
      <w:pPr>
        <w:spacing w:before="100" w:beforeAutospacing="1" w:after="100" w:afterAutospacing="1"/>
        <w:contextualSpacing/>
        <w:jc w:val="both"/>
        <w:rPr>
          <w:rFonts w:asciiTheme="minorHAnsi" w:hAnsiTheme="minorHAnsi"/>
          <w:b/>
          <w:sz w:val="22"/>
          <w:szCs w:val="22"/>
          <w:shd w:val="clear" w:color="auto" w:fill="FFFFFF"/>
        </w:rPr>
      </w:pPr>
    </w:p>
    <w:p w14:paraId="0615883E" w14:textId="77777777" w:rsidR="00A97094" w:rsidRPr="00AE15DA" w:rsidRDefault="007A7469" w:rsidP="0043334F">
      <w:pPr>
        <w:spacing w:before="100" w:beforeAutospacing="1" w:after="100" w:afterAutospacing="1"/>
        <w:contextualSpacing/>
        <w:jc w:val="both"/>
        <w:rPr>
          <w:b/>
          <w:sz w:val="22"/>
          <w:szCs w:val="22"/>
          <w:rFonts w:asciiTheme="minorHAnsi" w:hAnsiTheme="minorHAnsi"/>
        </w:rPr>
      </w:pPr>
      <w:r>
        <w:rPr>
          <w:b/>
          <w:sz w:val="22"/>
          <w:szCs w:val="22"/>
          <w:shd w:val="clear" w:color="auto" w:fill="FFFFFF"/>
          <w:rFonts w:asciiTheme="minorHAnsi" w:hAnsiTheme="minorHAnsi"/>
        </w:rPr>
        <w:t xml:space="preserve">C6.</w:t>
      </w:r>
      <w:r>
        <w:rPr>
          <w:b/>
          <w:sz w:val="22"/>
          <w:szCs w:val="22"/>
          <w:shd w:val="clear" w:color="auto" w:fill="FFFFFF"/>
          <w:rFonts w:asciiTheme="minorHAnsi" w:hAnsiTheme="minorHAnsi"/>
        </w:rPr>
        <w:t xml:space="preserve"> </w:t>
      </w:r>
      <w:r>
        <w:rPr>
          <w:b/>
          <w:sz w:val="22"/>
          <w:szCs w:val="22"/>
          <w:rFonts w:asciiTheme="minorHAnsi" w:hAnsiTheme="minorHAnsi"/>
        </w:rPr>
        <w:t xml:space="preserve">L'uso di antispastici gastrointestinali con effetti anticolinergici (es. iosciamina) non è appropriato Aumento degli effetti collaterali anticolinergici (vertigini, diminuzione delle capacità cognitive, visione offuscata, aritmia, gonfiore-stipsi) e utilità limitata negli anziani</w:t>
      </w:r>
    </w:p>
    <w:p w14:paraId="39AC0902" w14:textId="77777777" w:rsidR="00A97094" w:rsidRPr="00AE15DA" w:rsidRDefault="00A97094" w:rsidP="0043334F">
      <w:pPr>
        <w:spacing w:before="100" w:beforeAutospacing="1" w:after="100" w:afterAutospacing="1"/>
        <w:contextualSpacing/>
        <w:rPr>
          <w:rFonts w:asciiTheme="minorHAnsi" w:hAnsiTheme="minorHAnsi"/>
          <w:b/>
          <w:sz w:val="22"/>
          <w:szCs w:val="22"/>
        </w:rPr>
      </w:pPr>
    </w:p>
    <w:p w14:paraId="17E256AA" w14:textId="77777777" w:rsidR="00A97094" w:rsidRPr="00AE15DA" w:rsidRDefault="00A97094" w:rsidP="0043334F">
      <w:pPr>
        <w:spacing w:before="100" w:beforeAutospacing="1" w:after="100" w:afterAutospacing="1"/>
        <w:contextualSpacing/>
        <w:rPr>
          <w:rFonts w:asciiTheme="minorHAnsi" w:hAnsiTheme="minorHAnsi"/>
          <w:b/>
          <w:sz w:val="22"/>
          <w:szCs w:val="22"/>
        </w:rPr>
      </w:pPr>
    </w:p>
    <w:p w14:paraId="61236F6E" w14:textId="77777777" w:rsidR="007B6ECF" w:rsidRPr="00AE15DA" w:rsidRDefault="007A7469" w:rsidP="0043334F">
      <w:pPr>
        <w:spacing w:before="100" w:beforeAutospacing="1" w:after="100" w:afterAutospacing="1"/>
        <w:contextualSpacing/>
        <w:rPr>
          <w:color w:val="000000" w:themeColor="text1"/>
          <w:sz w:val="22"/>
          <w:szCs w:val="22"/>
          <w:rFonts w:asciiTheme="minorHAnsi" w:hAnsiTheme="minorHAnsi" w:cstheme="minorHAnsi"/>
        </w:rPr>
      </w:pPr>
      <w:r>
        <w:rPr>
          <w:b/>
          <w:sz w:val="22"/>
          <w:szCs w:val="22"/>
          <w:rFonts w:asciiTheme="minorHAnsi" w:hAnsiTheme="minorHAnsi"/>
        </w:rPr>
        <w:t xml:space="preserve">C7.</w:t>
      </w:r>
      <w:r>
        <w:rPr>
          <w:b/>
          <w:sz w:val="22"/>
          <w:szCs w:val="22"/>
          <w:rFonts w:asciiTheme="minorHAnsi" w:hAnsiTheme="minorHAnsi"/>
        </w:rPr>
        <w:t xml:space="preserve"> </w:t>
      </w:r>
      <w:r>
        <w:rPr>
          <w:b/>
          <w:sz w:val="22"/>
          <w:szCs w:val="22"/>
          <w:rFonts w:asciiTheme="minorHAnsi" w:hAnsiTheme="minorHAnsi"/>
        </w:rPr>
        <w:t xml:space="preserve">Nei pazienti con costipazione cronica, se esistono alternative che non hanno questo effetto collaterale, l'uso di farmaci che possono causare stitichezza (farmaci con elevati effetti anticolinergici, ferro orale, oppioidi, verapamil, antiacidi a base di alluminio) non è appropriato (rischio di aumento della stitichezza).</w:t>
      </w:r>
    </w:p>
    <w:p w14:paraId="2776A73A" w14:textId="77777777" w:rsidR="00A97094" w:rsidRPr="00AE15DA" w:rsidRDefault="00316C80" w:rsidP="0043334F">
      <w:pPr>
        <w:spacing w:after="100" w:afterAutospacing="1"/>
        <w:contextualSpacing/>
        <w:jc w:val="both"/>
        <w:rPr>
          <w:i/>
          <w:sz w:val="22"/>
          <w:szCs w:val="22"/>
          <w:rFonts w:asciiTheme="minorHAnsi" w:hAnsiTheme="minorHAnsi"/>
        </w:rPr>
      </w:pPr>
      <w:r>
        <w:rPr>
          <w:i/>
          <w:sz w:val="22"/>
          <w:szCs w:val="22"/>
          <w:rFonts w:asciiTheme="minorHAnsi" w:hAnsiTheme="minorHAnsi"/>
        </w:rPr>
        <w:t xml:space="preserve">*Anche gli antipertensivi calcioantagonisti diversi dal verapamil possono causare stitichezza.</w:t>
      </w:r>
      <w:r>
        <w:rPr>
          <w:i/>
          <w:sz w:val="22"/>
          <w:szCs w:val="22"/>
          <w:rFonts w:asciiTheme="minorHAnsi" w:hAnsiTheme="minorHAnsi"/>
        </w:rPr>
        <w:t xml:space="preserve"> </w:t>
      </w:r>
      <w:r>
        <w:rPr>
          <w:i/>
          <w:sz w:val="22"/>
          <w:szCs w:val="22"/>
          <w:rFonts w:asciiTheme="minorHAnsi" w:hAnsiTheme="minorHAnsi"/>
        </w:rPr>
        <w:t xml:space="preserve">Tuttavia, questo effetto è più pronunciato rispettivamente nel verapamil e nella nifedipina.</w:t>
      </w:r>
    </w:p>
    <w:p w14:paraId="0DFA34DD" w14:textId="77777777" w:rsidR="0043334F" w:rsidRPr="00AE15DA" w:rsidRDefault="0043334F" w:rsidP="0043334F">
      <w:pPr>
        <w:spacing w:after="100" w:afterAutospacing="1"/>
        <w:contextualSpacing/>
        <w:jc w:val="both"/>
        <w:rPr>
          <w:rFonts w:asciiTheme="minorHAnsi" w:hAnsiTheme="minorHAnsi" w:cstheme="minorHAnsi"/>
          <w:sz w:val="22"/>
          <w:szCs w:val="22"/>
          <w:lang w:eastAsia="en-GB"/>
        </w:rPr>
      </w:pPr>
    </w:p>
    <w:p w14:paraId="352D7D81" w14:textId="77777777" w:rsidR="00364C7E" w:rsidRPr="00AE15DA" w:rsidRDefault="00364C7E" w:rsidP="0043334F">
      <w:pPr>
        <w:spacing w:before="100" w:beforeAutospacing="1" w:after="100" w:afterAutospacing="1"/>
        <w:contextualSpacing/>
        <w:jc w:val="both"/>
        <w:rPr>
          <w:rFonts w:asciiTheme="minorHAnsi" w:hAnsiTheme="minorHAnsi" w:cstheme="minorHAnsi"/>
          <w:color w:val="000000"/>
          <w:sz w:val="22"/>
          <w:szCs w:val="22"/>
        </w:rPr>
      </w:pPr>
    </w:p>
    <w:p w14:paraId="2D348053" w14:textId="77777777" w:rsidR="007A7469" w:rsidRPr="00AE15DA" w:rsidRDefault="007A7469" w:rsidP="0043334F">
      <w:pPr>
        <w:spacing w:before="100" w:beforeAutospacing="1" w:after="100" w:afterAutospacing="1"/>
        <w:contextualSpacing/>
        <w:jc w:val="both"/>
        <w:rPr>
          <w:color w:val="000000"/>
          <w:sz w:val="22"/>
          <w:szCs w:val="22"/>
          <w:rFonts w:asciiTheme="minorHAnsi" w:hAnsiTheme="minorHAnsi" w:cstheme="minorHAnsi"/>
        </w:rPr>
      </w:pPr>
      <w:r>
        <w:rPr>
          <w:b/>
          <w:sz w:val="22"/>
          <w:szCs w:val="22"/>
          <w:color w:val="000000"/>
          <w:rFonts w:asciiTheme="minorHAnsi" w:hAnsiTheme="minorHAnsi"/>
        </w:rPr>
        <w:t xml:space="preserve">C8.</w:t>
      </w:r>
      <w:r>
        <w:rPr>
          <w:b/>
          <w:sz w:val="22"/>
          <w:szCs w:val="22"/>
          <w:color w:val="000000"/>
          <w:rFonts w:asciiTheme="minorHAnsi" w:hAnsiTheme="minorHAnsi"/>
        </w:rPr>
        <w:t xml:space="preserve"> </w:t>
      </w:r>
      <w:r>
        <w:rPr>
          <w:b/>
          <w:sz w:val="22"/>
          <w:szCs w:val="22"/>
          <w:rFonts w:asciiTheme="minorHAnsi" w:hAnsiTheme="minorHAnsi"/>
        </w:rPr>
        <w:t xml:space="preserve">L'uso di metoclopramide o trimethobenzamide nella prima linea di trattamento antiemetico negli anziani non è appropriato (a causa di effetti collaterali extrapiramidali, effetti collaterali di irrequietezza)</w:t>
      </w:r>
      <w:r>
        <w:rPr>
          <w:b/>
          <w:sz w:val="22"/>
          <w:szCs w:val="22"/>
          <w:rFonts w:asciiTheme="minorHAnsi" w:hAnsiTheme="minorHAnsi"/>
        </w:rPr>
        <w:t xml:space="preserve"> </w:t>
      </w:r>
    </w:p>
    <w:p w14:paraId="522BCE69" w14:textId="77777777" w:rsidR="005E391F" w:rsidRPr="00AE15DA" w:rsidRDefault="005E391F" w:rsidP="0043334F">
      <w:pPr>
        <w:shd w:val="clear" w:color="auto" w:fill="FFFFFF"/>
        <w:contextualSpacing/>
        <w:jc w:val="both"/>
        <w:textAlignment w:val="top"/>
        <w:rPr>
          <w:i/>
          <w:sz w:val="22"/>
          <w:szCs w:val="22"/>
          <w:shd w:val="clear" w:color="auto" w:fill="FFFFFF"/>
          <w:rFonts w:asciiTheme="minorHAnsi" w:hAnsiTheme="minorHAnsi"/>
        </w:rPr>
      </w:pPr>
      <w:r>
        <w:rPr>
          <w:i/>
          <w:sz w:val="22"/>
          <w:szCs w:val="22"/>
          <w:rFonts w:asciiTheme="minorHAnsi" w:hAnsiTheme="minorHAnsi"/>
        </w:rPr>
        <w:t xml:space="preserve">*Come antiemetico, gli antagonisti del recettore della serotonina 5HT3 sono gli agenti più sicuri negli anziani.</w:t>
      </w:r>
      <w:r>
        <w:rPr>
          <w:i/>
          <w:sz w:val="22"/>
          <w:szCs w:val="22"/>
          <w:shd w:val="clear" w:color="auto" w:fill="FFFFFF"/>
          <w:rFonts w:asciiTheme="minorHAnsi" w:hAnsiTheme="minorHAnsi"/>
        </w:rPr>
        <w:t xml:space="preserve"> </w:t>
      </w:r>
    </w:p>
    <w:p w14:paraId="759A7F50" w14:textId="77777777" w:rsidR="00316C80" w:rsidRPr="00AE15DA" w:rsidRDefault="00316C80" w:rsidP="0043334F">
      <w:pPr>
        <w:shd w:val="clear" w:color="auto" w:fill="FFFFFF"/>
        <w:contextualSpacing/>
        <w:jc w:val="both"/>
        <w:textAlignment w:val="top"/>
        <w:rPr>
          <w:i/>
          <w:sz w:val="22"/>
          <w:szCs w:val="22"/>
          <w:rFonts w:asciiTheme="minorHAnsi" w:hAnsiTheme="minorHAnsi"/>
        </w:rPr>
      </w:pPr>
      <w:r>
        <w:rPr>
          <w:i/>
          <w:sz w:val="22"/>
          <w:szCs w:val="22"/>
          <w:rFonts w:asciiTheme="minorHAnsi" w:hAnsiTheme="minorHAnsi"/>
        </w:rPr>
        <w:t xml:space="preserve">*Metoclopramide e trimetobenzamide sono controindicati nei pazienti con parkinsonismo.</w:t>
      </w:r>
    </w:p>
    <w:p w14:paraId="431312DA" w14:textId="77777777" w:rsidR="00567CAF" w:rsidRPr="00AE15DA" w:rsidRDefault="00567CAF" w:rsidP="0043334F">
      <w:pPr>
        <w:shd w:val="clear" w:color="auto" w:fill="FFFFFF"/>
        <w:contextualSpacing/>
        <w:jc w:val="both"/>
        <w:textAlignment w:val="top"/>
        <w:rPr>
          <w:rFonts w:asciiTheme="minorHAnsi" w:hAnsiTheme="minorHAnsi"/>
          <w:i/>
          <w:sz w:val="22"/>
          <w:szCs w:val="22"/>
        </w:rPr>
      </w:pPr>
    </w:p>
    <w:p w14:paraId="4B83C59E" w14:textId="77777777" w:rsidR="001D5654" w:rsidRPr="00AE15DA" w:rsidRDefault="001D5654" w:rsidP="0043334F">
      <w:pPr>
        <w:spacing w:before="100" w:beforeAutospacing="1" w:after="100" w:afterAutospacing="1"/>
        <w:contextualSpacing/>
        <w:jc w:val="both"/>
        <w:rPr>
          <w:rFonts w:asciiTheme="minorHAnsi" w:hAnsiTheme="minorHAnsi"/>
          <w:b/>
          <w:color w:val="000000"/>
          <w:sz w:val="22"/>
          <w:szCs w:val="22"/>
        </w:rPr>
      </w:pPr>
    </w:p>
    <w:p w14:paraId="19412B46" w14:textId="77777777" w:rsidR="00642443" w:rsidRPr="00AE15DA" w:rsidRDefault="00642443" w:rsidP="0043334F">
      <w:pPr>
        <w:spacing w:before="100" w:beforeAutospacing="1" w:after="100" w:afterAutospacing="1"/>
        <w:contextualSpacing/>
        <w:jc w:val="both"/>
        <w:rPr>
          <w:rFonts w:asciiTheme="minorHAnsi" w:hAnsiTheme="minorHAnsi"/>
          <w:b/>
          <w:color w:val="000000"/>
          <w:sz w:val="22"/>
          <w:szCs w:val="22"/>
        </w:rPr>
      </w:pPr>
    </w:p>
    <w:p w14:paraId="7425CCFB" w14:textId="77777777" w:rsidR="007A7469" w:rsidRPr="00AE15DA" w:rsidRDefault="007A7469" w:rsidP="0043334F">
      <w:pPr>
        <w:spacing w:before="100" w:beforeAutospacing="1" w:after="100" w:afterAutospacing="1"/>
        <w:contextualSpacing/>
        <w:jc w:val="both"/>
        <w:rPr>
          <w:b/>
          <w:color w:val="000000"/>
          <w:sz w:val="22"/>
          <w:szCs w:val="22"/>
          <w:rFonts w:asciiTheme="minorHAnsi" w:hAnsiTheme="minorHAnsi"/>
        </w:rPr>
      </w:pPr>
      <w:r>
        <w:rPr>
          <w:b/>
          <w:color w:val="000000"/>
          <w:sz w:val="22"/>
          <w:szCs w:val="22"/>
          <w:rFonts w:asciiTheme="minorHAnsi" w:hAnsiTheme="minorHAnsi"/>
        </w:rPr>
        <w:t xml:space="preserve">C9.</w:t>
      </w:r>
      <w:r>
        <w:rPr>
          <w:b/>
          <w:color w:val="000000"/>
          <w:sz w:val="22"/>
          <w:szCs w:val="22"/>
          <w:rFonts w:asciiTheme="minorHAnsi" w:hAnsiTheme="minorHAnsi"/>
        </w:rPr>
        <w:t xml:space="preserve"> </w:t>
      </w:r>
      <w:r>
        <w:rPr>
          <w:b/>
          <w:color w:val="000000"/>
          <w:sz w:val="22"/>
          <w:szCs w:val="22"/>
          <w:rFonts w:asciiTheme="minorHAnsi" w:hAnsiTheme="minorHAnsi"/>
        </w:rPr>
        <w:t xml:space="preserve">L'uso di preparati a base di magnesio come lassativi o antiacidi non è appropriato nei pazienti con GFR &lt; 30 ml/min/1,73 m2 (rischio di ipermagnesemia)</w:t>
      </w:r>
      <w:r>
        <w:rPr>
          <w:b/>
          <w:color w:val="000000"/>
          <w:sz w:val="22"/>
          <w:szCs w:val="22"/>
          <w:rFonts w:asciiTheme="minorHAnsi" w:hAnsiTheme="minorHAnsi"/>
        </w:rPr>
        <w:t xml:space="preserve"> </w:t>
      </w:r>
    </w:p>
    <w:p w14:paraId="05D40360" w14:textId="77777777" w:rsidR="00316725" w:rsidRPr="00AE15DA" w:rsidRDefault="007A7469" w:rsidP="0043334F">
      <w:pPr>
        <w:spacing w:before="100" w:beforeAutospacing="1" w:after="100" w:afterAutospacing="1"/>
        <w:contextualSpacing/>
        <w:jc w:val="both"/>
        <w:rPr>
          <w:color w:val="000000" w:themeColor="text1"/>
          <w:sz w:val="22"/>
          <w:szCs w:val="22"/>
          <w:vertAlign w:val="superscript"/>
          <w:rFonts w:asciiTheme="minorHAnsi" w:hAnsiTheme="minorHAnsi"/>
        </w:rPr>
      </w:pPr>
      <w:r>
        <w:rPr>
          <w:color w:val="000000" w:themeColor="text1"/>
          <w:sz w:val="22"/>
          <w:szCs w:val="22"/>
          <w:vertAlign w:val="superscript"/>
          <w:rFonts w:asciiTheme="minorHAnsi" w:hAnsiTheme="minorHAnsi"/>
        </w:rPr>
        <w:t xml:space="preserve"> </w:t>
      </w:r>
    </w:p>
    <w:p w14:paraId="31921F57" w14:textId="77777777" w:rsidR="00642443" w:rsidRPr="00AE15DA" w:rsidRDefault="00642443" w:rsidP="0043334F">
      <w:pPr>
        <w:spacing w:before="100" w:beforeAutospacing="1" w:after="100" w:afterAutospacing="1"/>
        <w:contextualSpacing/>
        <w:jc w:val="both"/>
        <w:rPr>
          <w:rFonts w:asciiTheme="minorHAnsi" w:eastAsiaTheme="majorEastAsia" w:hAnsiTheme="minorHAnsi" w:cstheme="minorHAnsi"/>
          <w:i/>
          <w:color w:val="000000"/>
          <w:sz w:val="22"/>
          <w:szCs w:val="22"/>
        </w:rPr>
      </w:pPr>
    </w:p>
    <w:p w14:paraId="4DC92B0C" w14:textId="77777777" w:rsidR="004816D3" w:rsidRPr="00AE15DA" w:rsidRDefault="00642443" w:rsidP="0043334F">
      <w:pPr>
        <w:contextualSpacing/>
        <w:jc w:val="both"/>
        <w:rPr>
          <w:b/>
          <w:sz w:val="28"/>
          <w:szCs w:val="28"/>
          <w:rFonts w:asciiTheme="minorHAnsi" w:hAnsiTheme="minorHAnsi"/>
        </w:rPr>
      </w:pPr>
      <w:r>
        <w:rPr>
          <w:b/>
          <w:sz w:val="28"/>
          <w:szCs w:val="28"/>
          <w:rFonts w:asciiTheme="minorHAnsi" w:hAnsiTheme="minorHAnsi"/>
        </w:rPr>
        <w:t xml:space="preserve">D:</w:t>
      </w:r>
      <w:r>
        <w:rPr>
          <w:b/>
          <w:sz w:val="28"/>
          <w:szCs w:val="28"/>
          <w:rFonts w:asciiTheme="minorHAnsi" w:hAnsiTheme="minorHAnsi"/>
        </w:rPr>
        <w:t xml:space="preserve"> </w:t>
      </w:r>
      <w:r>
        <w:rPr>
          <w:b/>
          <w:sz w:val="28"/>
          <w:szCs w:val="28"/>
          <w:rFonts w:asciiTheme="minorHAnsi" w:hAnsiTheme="minorHAnsi"/>
        </w:rPr>
        <w:t xml:space="preserve">Criteri dell'apparato respiratorio.</w:t>
      </w:r>
    </w:p>
    <w:p w14:paraId="170BE77F" w14:textId="77777777" w:rsidR="00A97094" w:rsidRPr="00AE15DA" w:rsidRDefault="00A97094" w:rsidP="0043334F">
      <w:pPr>
        <w:spacing w:before="100" w:beforeAutospacing="1" w:after="100" w:afterAutospacing="1"/>
        <w:contextualSpacing/>
        <w:jc w:val="both"/>
        <w:rPr>
          <w:rFonts w:asciiTheme="minorHAnsi" w:hAnsiTheme="minorHAnsi"/>
          <w:b/>
          <w:sz w:val="22"/>
          <w:szCs w:val="22"/>
        </w:rPr>
      </w:pPr>
    </w:p>
    <w:p w14:paraId="3EBCBB85" w14:textId="77777777" w:rsidR="00112690" w:rsidRPr="00AE15DA" w:rsidRDefault="0096255B"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D1.</w:t>
      </w:r>
      <w:r>
        <w:rPr>
          <w:b/>
          <w:sz w:val="22"/>
          <w:szCs w:val="22"/>
          <w:rFonts w:asciiTheme="minorHAnsi" w:hAnsiTheme="minorHAnsi"/>
        </w:rPr>
        <w:t xml:space="preserve"> </w:t>
      </w:r>
      <w:r>
        <w:rPr>
          <w:b/>
          <w:sz w:val="22"/>
          <w:szCs w:val="22"/>
          <w:rFonts w:asciiTheme="minorHAnsi" w:hAnsiTheme="minorHAnsi"/>
        </w:rPr>
        <w:t xml:space="preserve">L'uso di farmaci broncodilatatori antimuscarinici (ipratropio, tiotropio) non è appropriato nei pazienti con glaucoma ad angolo chiuso o ostruzione del deflusso urinario (rischio di peggioramento del glaucoma e ritenzione urinaria)</w:t>
      </w:r>
      <w:r>
        <w:rPr>
          <w:b/>
          <w:sz w:val="22"/>
          <w:szCs w:val="22"/>
          <w:rFonts w:asciiTheme="minorHAnsi" w:hAnsiTheme="minorHAnsi"/>
        </w:rPr>
        <w:t xml:space="preserve"> </w:t>
      </w:r>
    </w:p>
    <w:p w14:paraId="6972A29F" w14:textId="77777777" w:rsidR="00B46CF1" w:rsidRPr="00AE15DA" w:rsidRDefault="00B46CF1" w:rsidP="0043334F">
      <w:pPr>
        <w:spacing w:before="100" w:beforeAutospacing="1" w:after="100" w:afterAutospacing="1"/>
        <w:contextualSpacing/>
        <w:jc w:val="both"/>
        <w:rPr>
          <w:bCs/>
          <w:i/>
          <w:color w:val="000000" w:themeColor="text1"/>
          <w:sz w:val="22"/>
          <w:szCs w:val="22"/>
          <w:rFonts w:asciiTheme="minorHAnsi" w:hAnsiTheme="minorHAnsi"/>
        </w:rPr>
      </w:pPr>
      <w:r>
        <w:rPr>
          <w:bCs/>
          <w:i/>
          <w:sz w:val="22"/>
          <w:szCs w:val="22"/>
          <w:color w:val="000000" w:themeColor="text1"/>
          <w:rFonts w:asciiTheme="minorHAnsi" w:hAnsiTheme="minorHAnsi"/>
        </w:rPr>
        <w:t xml:space="preserve">*I sintomi LUTS ostruttivi (sintomi del tratto urinario inferiore) che accompagnano l'iperplasia prostatica benigna sono comuni negli uomini più anziani.</w:t>
      </w:r>
      <w:r>
        <w:rPr>
          <w:bCs/>
          <w:i/>
          <w:sz w:val="22"/>
          <w:szCs w:val="22"/>
          <w:color w:val="000000" w:themeColor="text1"/>
          <w:rFonts w:asciiTheme="minorHAnsi" w:hAnsiTheme="minorHAnsi"/>
        </w:rPr>
        <w:t xml:space="preserve"> </w:t>
      </w:r>
      <w:r>
        <w:rPr>
          <w:bCs/>
          <w:i/>
          <w:sz w:val="22"/>
          <w:szCs w:val="22"/>
          <w:rFonts w:asciiTheme="minorHAnsi" w:hAnsiTheme="minorHAnsi"/>
        </w:rPr>
        <w:t xml:space="preserve">Nei casi con sintomi ostruttivi lievi, il medico può utilizzare farmaci broncodilatatori antimuscarinici con uno stretto seguito clinico.</w:t>
      </w:r>
      <w:r>
        <w:rPr>
          <w:bCs/>
          <w:i/>
          <w:sz w:val="22"/>
          <w:szCs w:val="22"/>
          <w:color w:val="000000" w:themeColor="text1"/>
          <w:rFonts w:asciiTheme="minorHAnsi" w:hAnsiTheme="minorHAnsi"/>
        </w:rPr>
        <w:t xml:space="preserve"> </w:t>
      </w:r>
      <w:r>
        <w:rPr>
          <w:bCs/>
          <w:i/>
          <w:sz w:val="22"/>
          <w:szCs w:val="22"/>
          <w:color w:val="000000" w:themeColor="text1"/>
          <w:rFonts w:asciiTheme="minorHAnsi" w:hAnsiTheme="minorHAnsi"/>
        </w:rPr>
        <w:t xml:space="preserve">In termini di effetti collaterali della ritenzione urinaria, i casi con PMR &gt;150 ml sono particolarmente rischiosi.</w:t>
      </w:r>
      <w:r>
        <w:rPr>
          <w:bCs/>
          <w:i/>
          <w:sz w:val="22"/>
          <w:szCs w:val="22"/>
          <w:color w:val="000000" w:themeColor="text1"/>
          <w:rFonts w:asciiTheme="minorHAnsi" w:hAnsiTheme="minorHAnsi"/>
        </w:rPr>
        <w:t xml:space="preserve"> </w:t>
      </w:r>
      <w:r>
        <w:rPr>
          <w:bCs/>
          <w:i/>
          <w:sz w:val="22"/>
          <w:szCs w:val="22"/>
          <w:color w:val="000000" w:themeColor="text1"/>
          <w:rFonts w:asciiTheme="minorHAnsi" w:hAnsiTheme="minorHAnsi"/>
        </w:rPr>
        <w:t xml:space="preserve">(Non adatto per l'uso in casi con &gt;150 ml)</w:t>
      </w:r>
    </w:p>
    <w:p w14:paraId="6DD5AEA3" w14:textId="77777777" w:rsidR="00642443" w:rsidRPr="00AE15DA" w:rsidRDefault="0064244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5AA263E7" w14:textId="77777777" w:rsidR="00A97094" w:rsidRPr="00AE15DA" w:rsidRDefault="00A97094" w:rsidP="0043334F">
      <w:pPr>
        <w:contextualSpacing/>
        <w:rPr>
          <w:rFonts w:asciiTheme="minorHAnsi" w:hAnsiTheme="minorHAnsi" w:cstheme="minorHAnsi"/>
          <w:sz w:val="22"/>
          <w:szCs w:val="22"/>
        </w:rPr>
      </w:pPr>
    </w:p>
    <w:p w14:paraId="22DF858A" w14:textId="77777777" w:rsidR="00112690" w:rsidRPr="00AE15DA" w:rsidRDefault="00112690" w:rsidP="0043334F">
      <w:pPr>
        <w:contextualSpacing/>
        <w:rPr>
          <w:sz w:val="22"/>
          <w:szCs w:val="22"/>
          <w:rFonts w:asciiTheme="minorHAnsi" w:hAnsiTheme="minorHAnsi" w:cstheme="minorHAnsi"/>
        </w:rPr>
      </w:pPr>
      <w:r>
        <w:rPr>
          <w:b/>
          <w:color w:val="000000"/>
          <w:sz w:val="22"/>
          <w:szCs w:val="22"/>
          <w:rFonts w:asciiTheme="minorHAnsi" w:hAnsiTheme="minorHAnsi"/>
        </w:rPr>
        <w:t xml:space="preserve">D2.</w:t>
      </w:r>
      <w:r>
        <w:rPr>
          <w:b/>
          <w:color w:val="000000"/>
          <w:sz w:val="22"/>
          <w:szCs w:val="22"/>
          <w:rFonts w:asciiTheme="minorHAnsi" w:hAnsiTheme="minorHAnsi"/>
        </w:rPr>
        <w:t xml:space="preserve"> </w:t>
      </w:r>
      <w:r>
        <w:rPr>
          <w:b/>
          <w:color w:val="000000"/>
          <w:sz w:val="22"/>
          <w:szCs w:val="22"/>
          <w:rFonts w:asciiTheme="minorHAnsi" w:hAnsiTheme="minorHAnsi"/>
        </w:rPr>
        <w:t xml:space="preserve">La teofillina non è adatta per il trattamento di mantenimento della KOAH o dell'asma bronchialenico (a causa dello stretto indice terapeutico e dell'alto rischio di insonnia, aritmia negli anziani).</w:t>
      </w:r>
      <w:r>
        <w:rPr>
          <w:b/>
          <w:color w:val="000000"/>
          <w:sz w:val="22"/>
          <w:szCs w:val="22"/>
          <w:rFonts w:asciiTheme="minorHAnsi" w:hAnsiTheme="minorHAnsi"/>
        </w:rPr>
        <w:t xml:space="preserve"> </w:t>
      </w:r>
    </w:p>
    <w:p w14:paraId="45B05150" w14:textId="77777777" w:rsidR="00FA22B8" w:rsidRPr="00AE15DA" w:rsidRDefault="00FA22B8" w:rsidP="0043334F">
      <w:pPr>
        <w:pStyle w:val="HTMLncedenBiimlendirilmi"/>
        <w:contextualSpacing/>
        <w:jc w:val="both"/>
        <w:rPr>
          <w:rFonts w:asciiTheme="minorHAnsi" w:hAnsiTheme="minorHAnsi" w:cstheme="minorHAnsi"/>
          <w:color w:val="000000"/>
          <w:sz w:val="22"/>
          <w:szCs w:val="22"/>
        </w:rPr>
      </w:pPr>
    </w:p>
    <w:p w14:paraId="182C41F5" w14:textId="77777777" w:rsidR="007B4B4E" w:rsidRPr="00AE15DA" w:rsidRDefault="007B4B4E" w:rsidP="0043334F">
      <w:pPr>
        <w:pStyle w:val="HTMLncedenBiimlendirilmi"/>
        <w:contextualSpacing/>
        <w:jc w:val="both"/>
        <w:rPr>
          <w:rFonts w:asciiTheme="minorHAnsi" w:hAnsiTheme="minorHAnsi" w:cstheme="minorHAnsi"/>
          <w:color w:val="000000"/>
          <w:sz w:val="22"/>
          <w:szCs w:val="22"/>
        </w:rPr>
      </w:pPr>
    </w:p>
    <w:p w14:paraId="74EB09F3" w14:textId="77777777" w:rsidR="00112690" w:rsidRPr="00AE15DA" w:rsidRDefault="00112690" w:rsidP="0043334F">
      <w:pPr>
        <w:contextualSpacing/>
        <w:jc w:val="both"/>
        <w:rPr>
          <w:b/>
          <w:sz w:val="22"/>
          <w:szCs w:val="22"/>
          <w:rFonts w:asciiTheme="minorHAnsi" w:hAnsiTheme="minorHAnsi"/>
        </w:rPr>
      </w:pPr>
      <w:r>
        <w:rPr>
          <w:b/>
          <w:sz w:val="22"/>
          <w:szCs w:val="22"/>
          <w:rFonts w:asciiTheme="minorHAnsi" w:hAnsiTheme="minorHAnsi"/>
        </w:rPr>
        <w:t xml:space="preserve">D3.</w:t>
      </w:r>
      <w:r>
        <w:rPr>
          <w:b/>
          <w:sz w:val="22"/>
          <w:szCs w:val="22"/>
          <w:rFonts w:asciiTheme="minorHAnsi" w:hAnsiTheme="minorHAnsi"/>
        </w:rPr>
        <w:t xml:space="preserve"> </w:t>
      </w:r>
      <w:r>
        <w:rPr>
          <w:b/>
          <w:sz w:val="22"/>
          <w:szCs w:val="22"/>
          <w:rFonts w:asciiTheme="minorHAnsi" w:hAnsiTheme="minorHAnsi"/>
        </w:rPr>
        <w:t xml:space="preserve">I corticosteroidi sistemici piuttosto che i corticosteroidi per via inalatoria non sono adatti per la terapia di mantenimento nella KOAH da moderata a grave (lunga esposizione non necessaria ai corticosteroidi sistemici; sono disponibili terapie inalatorie efficaci)</w:t>
      </w:r>
    </w:p>
    <w:p w14:paraId="77E9A716" w14:textId="77777777" w:rsidR="00642443" w:rsidRPr="00AE15DA" w:rsidRDefault="00642443" w:rsidP="0043334F">
      <w:pPr>
        <w:pStyle w:val="HTMLncedenBiimlendirilmi"/>
        <w:contextualSpacing/>
        <w:rPr>
          <w:rFonts w:asciiTheme="minorHAnsi" w:hAnsiTheme="minorHAnsi" w:cstheme="minorHAnsi"/>
          <w:sz w:val="22"/>
          <w:szCs w:val="22"/>
          <w:lang w:eastAsia="en-GB"/>
        </w:rPr>
      </w:pPr>
    </w:p>
    <w:p w14:paraId="6513243B" w14:textId="77777777" w:rsidR="00364C7E" w:rsidRPr="00AE15DA" w:rsidRDefault="00364C7E" w:rsidP="0043334F">
      <w:pPr>
        <w:contextualSpacing/>
        <w:jc w:val="both"/>
        <w:rPr>
          <w:rFonts w:asciiTheme="minorHAnsi" w:hAnsiTheme="minorHAnsi"/>
          <w:b/>
          <w:i/>
          <w:color w:val="4472C4" w:themeColor="accent5"/>
          <w:sz w:val="22"/>
          <w:szCs w:val="22"/>
          <w:u w:val="single"/>
        </w:rPr>
      </w:pPr>
    </w:p>
    <w:p w14:paraId="2A61E32C" w14:textId="77777777" w:rsidR="004816D3" w:rsidRPr="00AE15DA" w:rsidRDefault="00642443" w:rsidP="0043334F">
      <w:pPr>
        <w:contextualSpacing/>
        <w:jc w:val="both"/>
        <w:rPr>
          <w:b/>
          <w:sz w:val="28"/>
          <w:szCs w:val="28"/>
          <w:rFonts w:asciiTheme="minorHAnsi" w:hAnsiTheme="minorHAnsi"/>
        </w:rPr>
      </w:pPr>
      <w:r>
        <w:rPr>
          <w:b/>
          <w:sz w:val="28"/>
          <w:szCs w:val="28"/>
          <w:rFonts w:asciiTheme="minorHAnsi" w:hAnsiTheme="minorHAnsi"/>
        </w:rPr>
        <w:t xml:space="preserve">E:</w:t>
      </w:r>
      <w:r>
        <w:rPr>
          <w:b/>
          <w:sz w:val="28"/>
          <w:szCs w:val="28"/>
          <w:rFonts w:asciiTheme="minorHAnsi" w:hAnsiTheme="minorHAnsi"/>
        </w:rPr>
        <w:t xml:space="preserve"> </w:t>
      </w:r>
      <w:r>
        <w:rPr>
          <w:b/>
          <w:sz w:val="28"/>
          <w:szCs w:val="28"/>
          <w:rFonts w:asciiTheme="minorHAnsi" w:hAnsiTheme="minorHAnsi"/>
        </w:rPr>
        <w:t xml:space="preserve">Criteri dell'apparato locomotore e farmaci analgesici.</w:t>
      </w:r>
    </w:p>
    <w:p w14:paraId="10D7C6E0" w14:textId="77777777" w:rsidR="00A97094" w:rsidRPr="00AE15DA" w:rsidRDefault="00A97094" w:rsidP="0043334F">
      <w:pPr>
        <w:contextualSpacing/>
        <w:jc w:val="both"/>
        <w:rPr>
          <w:rFonts w:asciiTheme="minorHAnsi" w:hAnsiTheme="minorHAnsi"/>
          <w:b/>
          <w:sz w:val="28"/>
          <w:szCs w:val="28"/>
        </w:rPr>
      </w:pPr>
    </w:p>
    <w:p w14:paraId="40F53313" w14:textId="77777777" w:rsidR="004816D3" w:rsidRPr="00AE15DA" w:rsidRDefault="004816D3" w:rsidP="0043334F">
      <w:pPr>
        <w:spacing w:before="100" w:beforeAutospacing="1"/>
        <w:contextualSpacing/>
        <w:jc w:val="both"/>
        <w:rPr>
          <w:b/>
          <w:sz w:val="22"/>
          <w:szCs w:val="22"/>
          <w:rFonts w:asciiTheme="minorHAnsi" w:hAnsiTheme="minorHAnsi"/>
        </w:rPr>
      </w:pPr>
      <w:r>
        <w:rPr>
          <w:b/>
          <w:sz w:val="22"/>
          <w:szCs w:val="22"/>
          <w:rFonts w:asciiTheme="minorHAnsi" w:hAnsiTheme="minorHAnsi"/>
        </w:rPr>
        <w:t xml:space="preserve">E1.</w:t>
      </w:r>
      <w:r>
        <w:rPr>
          <w:b/>
          <w:sz w:val="22"/>
          <w:szCs w:val="22"/>
          <w:rFonts w:asciiTheme="minorHAnsi" w:hAnsiTheme="minorHAnsi"/>
        </w:rPr>
        <w:t xml:space="preserve"> </w:t>
      </w:r>
      <w:r>
        <w:rPr>
          <w:b/>
          <w:sz w:val="22"/>
          <w:szCs w:val="22"/>
          <w:rFonts w:asciiTheme="minorHAnsi" w:hAnsiTheme="minorHAnsi"/>
        </w:rPr>
        <w:t xml:space="preserve">Non è appropriato usare i NSAİİ per più di 3 mesi in presenza di un trattamento alternativo.</w:t>
      </w:r>
      <w:r>
        <w:rPr>
          <w:b/>
          <w:sz w:val="22"/>
          <w:szCs w:val="22"/>
          <w:rFonts w:asciiTheme="minorHAnsi" w:hAnsiTheme="minorHAnsi"/>
        </w:rPr>
        <w:t xml:space="preserve"> </w:t>
      </w:r>
    </w:p>
    <w:p w14:paraId="19B5467B" w14:textId="77777777" w:rsidR="00994461" w:rsidRPr="00AE15DA" w:rsidRDefault="004816D3" w:rsidP="0043334F">
      <w:pPr>
        <w:contextualSpacing/>
        <w:jc w:val="both"/>
        <w:rPr>
          <w:i/>
          <w:sz w:val="22"/>
          <w:szCs w:val="22"/>
          <w:rFonts w:asciiTheme="minorHAnsi" w:hAnsiTheme="minorHAnsi"/>
        </w:rPr>
      </w:pPr>
      <w:r>
        <w:rPr>
          <w:sz w:val="22"/>
          <w:szCs w:val="22"/>
          <w:rFonts w:asciiTheme="minorHAnsi" w:hAnsiTheme="minorHAnsi"/>
        </w:rPr>
        <w:t xml:space="preserve">*Il trattamento con paracetamolo deve essere applicato prima nel dolore da osteoartrite e nel dolore semplice (sistema muscoloscheletrico, cefalea, ecc.) (si può prendere in considerazione la combinazione del trattamento con paracetamolo con metamizolo, codeina/tramadolo a basso dosaggio).</w:t>
      </w:r>
    </w:p>
    <w:p w14:paraId="5A5DA9B5" w14:textId="77777777" w:rsidR="004D50E2" w:rsidRPr="00AE15DA" w:rsidRDefault="00AE67BB" w:rsidP="0043334F">
      <w:pPr>
        <w:contextualSpacing/>
        <w:jc w:val="both"/>
        <w:rPr>
          <w:sz w:val="22"/>
          <w:szCs w:val="22"/>
          <w:rFonts w:asciiTheme="minorHAnsi" w:hAnsiTheme="minorHAnsi"/>
        </w:rPr>
      </w:pPr>
      <w:r>
        <w:rPr>
          <w:sz w:val="22"/>
          <w:szCs w:val="22"/>
          <w:rFonts w:asciiTheme="minorHAnsi" w:hAnsiTheme="minorHAnsi"/>
        </w:rPr>
        <w:t xml:space="preserve">*I pazienti che utilizzano NSAİİ  devono essere seguiti attentamente in termini di effetti collaterali (nefropatia, HT, insufficienza cardiaca, evento CV).</w:t>
      </w:r>
      <w:r>
        <w:rPr>
          <w:sz w:val="22"/>
          <w:szCs w:val="22"/>
          <w:rFonts w:asciiTheme="minorHAnsi" w:hAnsiTheme="minorHAnsi"/>
        </w:rPr>
        <w:t xml:space="preserve"> </w:t>
      </w:r>
    </w:p>
    <w:p w14:paraId="56447A77" w14:textId="77777777" w:rsidR="00AE67BB" w:rsidRPr="00AE15DA" w:rsidRDefault="00AE67BB" w:rsidP="0043334F">
      <w:pPr>
        <w:contextualSpacing/>
        <w:jc w:val="both"/>
        <w:rPr>
          <w:i/>
          <w:sz w:val="22"/>
          <w:szCs w:val="22"/>
          <w:rFonts w:asciiTheme="minorHAnsi" w:hAnsiTheme="minorHAnsi"/>
        </w:rPr>
      </w:pPr>
      <w:r>
        <w:rPr>
          <w:sz w:val="22"/>
          <w:szCs w:val="22"/>
          <w:rFonts w:asciiTheme="minorHAnsi" w:hAnsiTheme="minorHAnsi"/>
        </w:rPr>
        <w:t xml:space="preserve">*L'indometacina non dovrebbe essere preferita in caso di uso di </w:t>
      </w:r>
      <w:r>
        <w:rPr>
          <w:sz w:val="22"/>
          <w:szCs w:val="22"/>
          <w:i/>
          <w:rFonts w:asciiTheme="minorHAnsi" w:hAnsiTheme="minorHAnsi"/>
        </w:rPr>
        <w:t xml:space="preserve">NSAİİ </w:t>
      </w:r>
      <w:r>
        <w:rPr>
          <w:sz w:val="22"/>
          <w:szCs w:val="22"/>
          <w:rFonts w:asciiTheme="minorHAnsi" w:hAnsiTheme="minorHAnsi"/>
        </w:rPr>
        <w:t xml:space="preserve"> (più SNC e altri effetti collaterali del sistema negli anziani rispetto ad altri </w:t>
      </w:r>
      <w:r>
        <w:rPr>
          <w:sz w:val="22"/>
          <w:szCs w:val="22"/>
          <w:i/>
          <w:rFonts w:asciiTheme="minorHAnsi" w:hAnsiTheme="minorHAnsi"/>
        </w:rPr>
        <w:t xml:space="preserve">NSAİİ</w:t>
      </w:r>
      <w:r>
        <w:rPr>
          <w:sz w:val="22"/>
          <w:szCs w:val="22"/>
          <w:rFonts w:asciiTheme="minorHAnsi" w:hAnsiTheme="minorHAnsi"/>
        </w:rPr>
        <w:t xml:space="preserve">)</w:t>
      </w:r>
    </w:p>
    <w:p w14:paraId="1C1B0EC9" w14:textId="77777777" w:rsidR="002544BF" w:rsidRPr="00AE15DA" w:rsidRDefault="004D36A2" w:rsidP="0043334F">
      <w:pPr>
        <w:contextualSpacing/>
        <w:jc w:val="both"/>
        <w:rPr>
          <w:i/>
          <w:sz w:val="22"/>
          <w:szCs w:val="22"/>
          <w:rFonts w:asciiTheme="minorHAnsi" w:hAnsiTheme="minorHAnsi"/>
        </w:rPr>
      </w:pPr>
      <w:r>
        <w:rPr>
          <w:i/>
          <w:sz w:val="22"/>
          <w:szCs w:val="22"/>
          <w:rFonts w:asciiTheme="minorHAnsi" w:hAnsiTheme="minorHAnsi"/>
        </w:rPr>
        <w:t xml:space="preserve">*Nei casi in cui è richiesto l'uso cronico di NSAİİ, i PPI/misoprostolo devono essere usati in aggiunta ai NSAİİ.</w:t>
      </w:r>
      <w:r>
        <w:rPr>
          <w:i/>
          <w:sz w:val="22"/>
          <w:szCs w:val="22"/>
          <w:rFonts w:asciiTheme="minorHAnsi" w:hAnsiTheme="minorHAnsi"/>
        </w:rPr>
        <w:t xml:space="preserve"> </w:t>
      </w:r>
    </w:p>
    <w:p w14:paraId="5512E98B" w14:textId="77777777" w:rsidR="004D50E2" w:rsidRPr="00AE15DA" w:rsidRDefault="004D50E2" w:rsidP="0043334F">
      <w:pPr>
        <w:contextualSpacing/>
        <w:jc w:val="both"/>
        <w:rPr>
          <w:rFonts w:asciiTheme="minorHAnsi" w:hAnsiTheme="minorHAnsi"/>
          <w:i/>
          <w:sz w:val="22"/>
          <w:szCs w:val="22"/>
        </w:rPr>
      </w:pPr>
    </w:p>
    <w:p w14:paraId="10B06ED0" w14:textId="77777777" w:rsidR="00B40EEF" w:rsidRPr="00AE15DA" w:rsidRDefault="00B40EEF"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6D55B576" w14:textId="77777777" w:rsidR="004816D3" w:rsidRPr="00AE15DA" w:rsidRDefault="004816D3"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E2.</w:t>
      </w:r>
      <w:r>
        <w:rPr>
          <w:b/>
          <w:sz w:val="22"/>
          <w:szCs w:val="22"/>
          <w:rFonts w:asciiTheme="minorHAnsi" w:hAnsiTheme="minorHAnsi"/>
        </w:rPr>
        <w:t xml:space="preserve"> </w:t>
      </w:r>
      <w:r>
        <w:rPr>
          <w:b/>
          <w:sz w:val="22"/>
          <w:szCs w:val="22"/>
          <w:rFonts w:asciiTheme="minorHAnsi" w:hAnsiTheme="minorHAnsi"/>
        </w:rPr>
        <w:t xml:space="preserve">I NSAİİ non sono adatti per l'uso in pazienti con GFR &lt; 50 ml/min/1,73 m2 (rischio di peggioramento della funzionalità renale)</w:t>
      </w:r>
      <w:r>
        <w:rPr>
          <w:b/>
          <w:sz w:val="22"/>
          <w:szCs w:val="22"/>
          <w:rFonts w:asciiTheme="minorHAnsi" w:hAnsiTheme="minorHAnsi"/>
        </w:rPr>
        <w:t xml:space="preserve"> </w:t>
      </w:r>
    </w:p>
    <w:p w14:paraId="0C1F7159" w14:textId="77777777" w:rsidR="0050241C" w:rsidRPr="00AE15DA" w:rsidRDefault="0050241C"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39CA5F14" w14:textId="77777777" w:rsidR="00642443" w:rsidRPr="00AE15DA" w:rsidRDefault="00642443" w:rsidP="0043334F">
      <w:pPr>
        <w:spacing w:before="100" w:beforeAutospacing="1" w:after="100" w:afterAutospacing="1"/>
        <w:contextualSpacing/>
        <w:jc w:val="both"/>
        <w:rPr>
          <w:rFonts w:asciiTheme="minorHAnsi" w:hAnsiTheme="minorHAnsi"/>
          <w:b/>
          <w:sz w:val="22"/>
          <w:szCs w:val="22"/>
        </w:rPr>
      </w:pPr>
    </w:p>
    <w:p w14:paraId="23AE5CA2" w14:textId="77777777" w:rsidR="00642443" w:rsidRPr="00AE15DA" w:rsidRDefault="0096255B"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E3.</w:t>
      </w:r>
      <w:r>
        <w:rPr>
          <w:b/>
          <w:sz w:val="22"/>
          <w:szCs w:val="22"/>
          <w:rFonts w:asciiTheme="minorHAnsi" w:hAnsiTheme="minorHAnsi"/>
        </w:rPr>
        <w:t xml:space="preserve"> </w:t>
      </w:r>
      <w:r>
        <w:rPr>
          <w:b/>
          <w:sz w:val="22"/>
          <w:szCs w:val="22"/>
          <w:rFonts w:asciiTheme="minorHAnsi" w:hAnsiTheme="minorHAnsi"/>
        </w:rPr>
        <w:t xml:space="preserve">L'uso di steroidi sistemici non è appropriato nel trattamento dell'osteoartrite (rischio di effetti collaterali con corticosteroidi sistemici)</w:t>
      </w:r>
      <w:r>
        <w:rPr>
          <w:b/>
          <w:sz w:val="22"/>
          <w:szCs w:val="22"/>
          <w:rFonts w:asciiTheme="minorHAnsi" w:hAnsiTheme="minorHAnsi"/>
        </w:rPr>
        <w:t xml:space="preserve"> </w:t>
      </w:r>
    </w:p>
    <w:p w14:paraId="0E4837F8" w14:textId="77777777" w:rsidR="00642443" w:rsidRPr="00AE15DA" w:rsidRDefault="00642443" w:rsidP="0043334F">
      <w:pPr>
        <w:spacing w:before="100" w:beforeAutospacing="1" w:after="100" w:afterAutospacing="1"/>
        <w:contextualSpacing/>
        <w:jc w:val="both"/>
        <w:rPr>
          <w:rFonts w:asciiTheme="minorHAnsi" w:hAnsiTheme="minorHAnsi"/>
          <w:b/>
          <w:sz w:val="22"/>
          <w:szCs w:val="22"/>
        </w:rPr>
      </w:pPr>
    </w:p>
    <w:p w14:paraId="0397CB16" w14:textId="77777777" w:rsidR="0036490F" w:rsidRPr="00AE15DA" w:rsidRDefault="0096255B" w:rsidP="0043334F">
      <w:pPr>
        <w:spacing w:before="100" w:beforeAutospacing="1"/>
        <w:contextualSpacing/>
        <w:jc w:val="both"/>
        <w:rPr>
          <w:b/>
          <w:sz w:val="22"/>
          <w:szCs w:val="22"/>
          <w:rFonts w:asciiTheme="minorHAnsi" w:hAnsiTheme="minorHAnsi"/>
        </w:rPr>
      </w:pPr>
      <w:r>
        <w:rPr>
          <w:b/>
          <w:sz w:val="22"/>
          <w:szCs w:val="22"/>
          <w:rFonts w:asciiTheme="minorHAnsi" w:hAnsiTheme="minorHAnsi"/>
        </w:rPr>
        <w:t xml:space="preserve">E4.</w:t>
      </w:r>
      <w:r>
        <w:rPr>
          <w:b/>
          <w:sz w:val="22"/>
          <w:szCs w:val="22"/>
          <w:rFonts w:asciiTheme="minorHAnsi" w:hAnsiTheme="minorHAnsi"/>
        </w:rPr>
        <w:t xml:space="preserve"> </w:t>
      </w:r>
      <w:r>
        <w:rPr>
          <w:b/>
          <w:sz w:val="22"/>
          <w:szCs w:val="22"/>
          <w:rFonts w:asciiTheme="minorHAnsi" w:hAnsiTheme="minorHAnsi"/>
        </w:rPr>
        <w:t xml:space="preserve">L'uso della monoterapia con corticosteroidi per più di 3 mesi nell'artrite reumatoide non è appropriato (rischio di effetti collaterali con corticosteroidi sistemici)</w:t>
      </w:r>
      <w:r>
        <w:rPr>
          <w:b/>
          <w:sz w:val="22"/>
          <w:szCs w:val="22"/>
          <w:rFonts w:asciiTheme="minorHAnsi" w:hAnsiTheme="minorHAnsi"/>
        </w:rPr>
        <w:t xml:space="preserve"> </w:t>
      </w:r>
    </w:p>
    <w:p w14:paraId="7156C1FD" w14:textId="77777777" w:rsidR="0036490F" w:rsidRPr="00AE15DA" w:rsidRDefault="0036490F"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6F219748" w14:textId="77777777" w:rsidR="0036490F" w:rsidRPr="00AE15DA" w:rsidRDefault="0036490F" w:rsidP="0043334F">
      <w:pPr>
        <w:contextualSpacing/>
        <w:rPr>
          <w:rFonts w:asciiTheme="minorHAnsi" w:hAnsiTheme="minorHAnsi"/>
          <w:sz w:val="22"/>
          <w:szCs w:val="22"/>
        </w:rPr>
      </w:pPr>
    </w:p>
    <w:p w14:paraId="76B59279" w14:textId="77777777" w:rsidR="00B40EEF" w:rsidRPr="00AE15DA" w:rsidRDefault="00B40EEF" w:rsidP="0043334F">
      <w:pPr>
        <w:contextualSpacing/>
        <w:rPr>
          <w:rFonts w:asciiTheme="minorHAnsi" w:hAnsiTheme="minorHAnsi"/>
          <w:sz w:val="22"/>
          <w:szCs w:val="22"/>
        </w:rPr>
      </w:pPr>
    </w:p>
    <w:p w14:paraId="6EEAEC64" w14:textId="69B868A5" w:rsidR="00884CE4" w:rsidRPr="00AE15DA" w:rsidRDefault="00DA3647" w:rsidP="0043334F">
      <w:pPr>
        <w:spacing w:before="100" w:beforeAutospacing="1" w:after="100" w:afterAutospacing="1"/>
        <w:contextualSpacing/>
        <w:jc w:val="both"/>
        <w:rPr>
          <w:b/>
          <w:sz w:val="22"/>
          <w:szCs w:val="22"/>
          <w:rFonts w:asciiTheme="minorHAnsi" w:hAnsiTheme="minorHAnsi"/>
        </w:rPr>
      </w:pPr>
      <w:r>
        <w:rPr>
          <w:b/>
          <w:sz w:val="22"/>
          <w:szCs w:val="22"/>
          <w:color w:val="000000"/>
          <w:rFonts w:asciiTheme="minorHAnsi" w:hAnsiTheme="minorHAnsi"/>
        </w:rPr>
        <w:t xml:space="preserve">E5.</w:t>
      </w:r>
      <w:r>
        <w:rPr>
          <w:b/>
          <w:sz w:val="22"/>
          <w:szCs w:val="22"/>
          <w:color w:val="000000"/>
          <w:rFonts w:asciiTheme="minorHAnsi" w:hAnsiTheme="minorHAnsi"/>
        </w:rPr>
        <w:t xml:space="preserve"> </w:t>
      </w:r>
      <w:r>
        <w:rPr>
          <w:b/>
          <w:sz w:val="22"/>
          <w:szCs w:val="22"/>
          <w:rFonts w:asciiTheme="minorHAnsi" w:hAnsiTheme="minorHAnsi"/>
        </w:rPr>
        <w:t xml:space="preserve">L'uso a lungo termine di  NSAİİ o colchicina non è appropriato per il trattamento cronico della gotta, a meno che l'uso di inibitori della xantina ossidasi (p. es., allopurinolo, febuxostat) sia controindicato (gli inibitori della xantina ossidasi sono farmaci di prima scelta per la profilassi della gotta).</w:t>
      </w:r>
    </w:p>
    <w:p w14:paraId="457B9B4F" w14:textId="77777777" w:rsidR="00642443" w:rsidRPr="00AE15DA" w:rsidRDefault="00642443" w:rsidP="0043334F">
      <w:pPr>
        <w:spacing w:before="100" w:beforeAutospacing="1" w:after="100" w:afterAutospacing="1"/>
        <w:contextualSpacing/>
        <w:jc w:val="both"/>
        <w:rPr>
          <w:rFonts w:asciiTheme="minorHAnsi" w:hAnsiTheme="minorHAnsi"/>
          <w:b/>
          <w:sz w:val="22"/>
          <w:szCs w:val="22"/>
        </w:rPr>
      </w:pPr>
    </w:p>
    <w:p w14:paraId="3201FD97" w14:textId="77777777" w:rsidR="00DA3647" w:rsidRPr="00AE15DA" w:rsidRDefault="0096255B"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E6.</w:t>
      </w:r>
      <w:r>
        <w:rPr>
          <w:b/>
          <w:sz w:val="22"/>
          <w:szCs w:val="22"/>
          <w:rFonts w:asciiTheme="minorHAnsi" w:hAnsiTheme="minorHAnsi"/>
        </w:rPr>
        <w:t xml:space="preserve"> </w:t>
      </w:r>
      <w:r>
        <w:rPr>
          <w:b/>
          <w:sz w:val="22"/>
          <w:szCs w:val="22"/>
          <w:rFonts w:asciiTheme="minorHAnsi" w:hAnsiTheme="minorHAnsi"/>
        </w:rPr>
        <w:t xml:space="preserve">La colchicina non è adatta per l'uso in pazienti con GFR &lt; 10 ml/min/1,73 m2 (rischio di tossicità da colchicina)</w:t>
      </w:r>
      <w:r>
        <w:rPr>
          <w:b/>
          <w:sz w:val="22"/>
          <w:szCs w:val="22"/>
          <w:rFonts w:asciiTheme="minorHAnsi" w:hAnsiTheme="minorHAnsi"/>
        </w:rPr>
        <w:t xml:space="preserve">  </w:t>
      </w:r>
    </w:p>
    <w:p w14:paraId="515E29BA" w14:textId="77777777" w:rsidR="00B40EEF" w:rsidRPr="00AE15DA" w:rsidRDefault="00B40EEF" w:rsidP="0043334F">
      <w:pPr>
        <w:contextualSpacing/>
        <w:jc w:val="both"/>
        <w:rPr>
          <w:rFonts w:asciiTheme="minorHAnsi" w:hAnsiTheme="minorHAnsi"/>
          <w:b/>
          <w:sz w:val="22"/>
          <w:szCs w:val="22"/>
        </w:rPr>
      </w:pPr>
    </w:p>
    <w:p w14:paraId="2473A1DC" w14:textId="77777777" w:rsidR="00EE6325" w:rsidRPr="00AE15DA" w:rsidRDefault="00994461" w:rsidP="0043334F">
      <w:pPr>
        <w:contextualSpacing/>
        <w:jc w:val="both"/>
        <w:rPr>
          <w:b/>
          <w:sz w:val="22"/>
          <w:szCs w:val="22"/>
          <w:rFonts w:asciiTheme="minorHAnsi" w:hAnsiTheme="minorHAnsi"/>
        </w:rPr>
      </w:pPr>
      <w:r>
        <w:rPr>
          <w:b/>
          <w:sz w:val="22"/>
          <w:szCs w:val="22"/>
          <w:rFonts w:asciiTheme="minorHAnsi" w:hAnsiTheme="minorHAnsi"/>
        </w:rPr>
        <w:t xml:space="preserve">E7.</w:t>
      </w:r>
      <w:r>
        <w:rPr>
          <w:b/>
          <w:sz w:val="22"/>
          <w:szCs w:val="22"/>
          <w:rFonts w:asciiTheme="minorHAnsi" w:hAnsiTheme="minorHAnsi"/>
        </w:rPr>
        <w:t xml:space="preserve"> </w:t>
      </w:r>
      <w:r>
        <w:rPr>
          <w:b/>
          <w:sz w:val="22"/>
          <w:szCs w:val="22"/>
          <w:rFonts w:asciiTheme="minorHAnsi" w:hAnsiTheme="minorHAnsi"/>
        </w:rPr>
        <w:t xml:space="preserve">Il metotrexato non è adatto per l'uso in pazienti con GFR &lt; 30 ml/min/1,73 m2</w:t>
      </w:r>
    </w:p>
    <w:p w14:paraId="03152DDF" w14:textId="77777777" w:rsidR="00D536CC" w:rsidRPr="00AE15DA" w:rsidRDefault="00D536CC" w:rsidP="0043334F">
      <w:pPr>
        <w:contextualSpacing/>
        <w:jc w:val="both"/>
        <w:rPr>
          <w:rFonts w:asciiTheme="minorHAnsi" w:hAnsiTheme="minorHAnsi"/>
          <w:b/>
          <w:sz w:val="22"/>
          <w:szCs w:val="22"/>
        </w:rPr>
      </w:pPr>
    </w:p>
    <w:p w14:paraId="008B541E" w14:textId="77777777" w:rsidR="004816D3" w:rsidRPr="00AE15DA" w:rsidRDefault="004816D3" w:rsidP="0043334F">
      <w:pPr>
        <w:contextualSpacing/>
        <w:jc w:val="both"/>
        <w:rPr>
          <w:b/>
          <w:color w:val="000000"/>
          <w:sz w:val="22"/>
          <w:szCs w:val="22"/>
          <w:rFonts w:asciiTheme="minorHAnsi" w:hAnsiTheme="minorHAnsi"/>
        </w:rPr>
      </w:pPr>
      <w:r>
        <w:rPr>
          <w:b/>
          <w:color w:val="000000"/>
          <w:sz w:val="22"/>
          <w:szCs w:val="22"/>
          <w:rFonts w:asciiTheme="minorHAnsi" w:hAnsiTheme="minorHAnsi"/>
        </w:rPr>
        <w:t xml:space="preserve">E8.</w:t>
      </w:r>
      <w:r>
        <w:rPr>
          <w:b/>
          <w:color w:val="000000"/>
          <w:sz w:val="22"/>
          <w:szCs w:val="22"/>
          <w:rFonts w:asciiTheme="minorHAnsi" w:hAnsiTheme="minorHAnsi"/>
        </w:rPr>
        <w:t xml:space="preserve"> </w:t>
      </w:r>
      <w:r>
        <w:rPr>
          <w:b/>
          <w:color w:val="000000"/>
          <w:sz w:val="22"/>
          <w:szCs w:val="22"/>
          <w:rFonts w:asciiTheme="minorHAnsi" w:hAnsiTheme="minorHAnsi"/>
        </w:rPr>
        <w:t xml:space="preserve">L'uso della meperidina nel trattamento del dolore non è appropriato (aumento della neurotossicità, rischio di delirio rispetto ad altri oppioidi; esistono alternative più affidabili.</w:t>
      </w:r>
      <w:r>
        <w:rPr>
          <w:b/>
          <w:color w:val="000000"/>
          <w:sz w:val="22"/>
          <w:szCs w:val="22"/>
          <w:rFonts w:asciiTheme="minorHAnsi" w:hAnsiTheme="minorHAnsi"/>
        </w:rPr>
        <w:t xml:space="preserve"> </w:t>
      </w:r>
      <w:r>
        <w:rPr>
          <w:b/>
          <w:color w:val="000000"/>
          <w:sz w:val="22"/>
          <w:szCs w:val="22"/>
          <w:rFonts w:asciiTheme="minorHAnsi" w:hAnsiTheme="minorHAnsi"/>
        </w:rPr>
        <w:t xml:space="preserve">Il suo uso è rischioso, soprattutto in presenza di insufficienza renale)</w:t>
      </w:r>
      <w:r>
        <w:rPr>
          <w:b/>
          <w:color w:val="000000"/>
          <w:sz w:val="22"/>
          <w:szCs w:val="22"/>
          <w:rFonts w:asciiTheme="minorHAnsi" w:hAnsiTheme="minorHAnsi"/>
        </w:rPr>
        <w:t xml:space="preserve"> </w:t>
      </w:r>
    </w:p>
    <w:p w14:paraId="5AB5AF58" w14:textId="77777777" w:rsidR="00071CA0" w:rsidRPr="00AE15DA" w:rsidRDefault="00071CA0" w:rsidP="0043334F">
      <w:pPr>
        <w:pStyle w:val="HTMLncedenBiimlendirilmi"/>
        <w:contextualSpacing/>
        <w:jc w:val="both"/>
        <w:rPr>
          <w:rFonts w:asciiTheme="minorHAnsi" w:hAnsiTheme="minorHAnsi" w:cstheme="minorHAnsi"/>
          <w:sz w:val="22"/>
          <w:szCs w:val="22"/>
        </w:rPr>
      </w:pPr>
    </w:p>
    <w:p w14:paraId="071499AA" w14:textId="77777777" w:rsidR="00991613" w:rsidRPr="00AE15DA" w:rsidRDefault="00991613" w:rsidP="0043334F">
      <w:pPr>
        <w:pStyle w:val="HTMLncedenBiimlendirilmi"/>
        <w:contextualSpacing/>
        <w:jc w:val="both"/>
        <w:rPr>
          <w:color w:val="000000"/>
          <w:sz w:val="22"/>
          <w:szCs w:val="22"/>
          <w:rFonts w:asciiTheme="minorHAnsi" w:hAnsiTheme="minorHAnsi" w:cstheme="minorHAnsi"/>
        </w:rPr>
      </w:pPr>
      <w:r>
        <w:rPr>
          <w:b/>
          <w:color w:val="000000"/>
          <w:sz w:val="22"/>
          <w:szCs w:val="22"/>
          <w:rFonts w:asciiTheme="minorHAnsi" w:hAnsiTheme="minorHAnsi"/>
        </w:rPr>
        <w:t xml:space="preserve">E9.</w:t>
      </w:r>
      <w:r>
        <w:rPr>
          <w:b/>
          <w:color w:val="000000"/>
          <w:sz w:val="22"/>
          <w:szCs w:val="22"/>
          <w:rFonts w:asciiTheme="minorHAnsi" w:hAnsiTheme="minorHAnsi"/>
        </w:rPr>
        <w:t xml:space="preserve"> </w:t>
      </w:r>
      <w:r>
        <w:rPr>
          <w:b/>
          <w:color w:val="000000"/>
          <w:sz w:val="22"/>
          <w:szCs w:val="22"/>
          <w:rFonts w:asciiTheme="minorHAnsi" w:hAnsiTheme="minorHAnsi"/>
        </w:rPr>
        <w:t xml:space="preserve">Tramadolo a rilascio prolungato non è adatto per l'uso in pazienti con GFR &lt; 30 ml/min/1,7 m2</w:t>
      </w:r>
      <w:r>
        <w:rPr>
          <w:b/>
          <w:color w:val="000000"/>
          <w:sz w:val="22"/>
          <w:szCs w:val="22"/>
          <w:rFonts w:asciiTheme="minorHAnsi" w:hAnsiTheme="minorHAnsi"/>
        </w:rPr>
        <w:t xml:space="preserve"> </w:t>
      </w:r>
    </w:p>
    <w:p w14:paraId="3C57C84E" w14:textId="77777777" w:rsidR="00642443" w:rsidRPr="00AE15DA" w:rsidRDefault="00991613" w:rsidP="0043334F">
      <w:pPr>
        <w:spacing w:after="100" w:afterAutospacing="1"/>
        <w:contextualSpacing/>
        <w:jc w:val="both"/>
        <w:rPr>
          <w:i/>
          <w:sz w:val="22"/>
          <w:szCs w:val="22"/>
          <w:rFonts w:asciiTheme="minorHAnsi" w:hAnsiTheme="minorHAnsi"/>
        </w:rPr>
      </w:pPr>
      <w:r>
        <w:rPr>
          <w:i/>
          <w:sz w:val="22"/>
          <w:szCs w:val="22"/>
          <w:rFonts w:asciiTheme="minorHAnsi" w:hAnsiTheme="minorHAnsi"/>
        </w:rPr>
        <w:t xml:space="preserve">*La riduzione della dose deve essere effettuata per il tramadolo a rilascio immediato.</w:t>
      </w:r>
    </w:p>
    <w:p w14:paraId="063C4733" w14:textId="77777777" w:rsidR="00071CA0" w:rsidRPr="00AE15DA" w:rsidRDefault="00071CA0" w:rsidP="0043334F">
      <w:pPr>
        <w:pStyle w:val="HTMLncedenBiimlendirilmi"/>
        <w:contextualSpacing/>
        <w:jc w:val="both"/>
        <w:rPr>
          <w:rFonts w:asciiTheme="minorHAnsi" w:hAnsiTheme="minorHAnsi" w:cstheme="minorHAnsi"/>
          <w:sz w:val="22"/>
          <w:szCs w:val="22"/>
        </w:rPr>
      </w:pPr>
    </w:p>
    <w:p w14:paraId="5664E1D8" w14:textId="77777777" w:rsidR="00991613" w:rsidRPr="00AE15DA" w:rsidRDefault="0096255B" w:rsidP="0043334F">
      <w:pPr>
        <w:pStyle w:val="HTMLncedenBiimlendirilmi"/>
        <w:contextualSpacing/>
        <w:jc w:val="both"/>
        <w:rPr>
          <w:color w:val="000000"/>
          <w:sz w:val="22"/>
          <w:szCs w:val="22"/>
          <w:rFonts w:asciiTheme="minorHAnsi" w:hAnsiTheme="minorHAnsi" w:cstheme="minorHAnsi"/>
        </w:rPr>
      </w:pPr>
      <w:r>
        <w:rPr>
          <w:b/>
          <w:sz w:val="22"/>
          <w:szCs w:val="22"/>
          <w:color w:val="000000"/>
          <w:rFonts w:asciiTheme="minorHAnsi" w:hAnsiTheme="minorHAnsi"/>
        </w:rPr>
        <w:t xml:space="preserve">E10.</w:t>
      </w:r>
      <w:r>
        <w:rPr>
          <w:b/>
          <w:sz w:val="22"/>
          <w:szCs w:val="22"/>
          <w:color w:val="000000"/>
          <w:rFonts w:asciiTheme="minorHAnsi" w:hAnsiTheme="minorHAnsi"/>
        </w:rPr>
        <w:t xml:space="preserve"> </w:t>
      </w:r>
      <w:r>
        <w:rPr>
          <w:b/>
          <w:sz w:val="22"/>
          <w:szCs w:val="22"/>
          <w:rFonts w:asciiTheme="minorHAnsi" w:hAnsiTheme="minorHAnsi"/>
        </w:rPr>
        <w:t xml:space="preserve">Gli oppioidi non sono adatti per l'uso cronico senza la somministrazione concomitante di lassativi (rischio di stitichezza grave)</w:t>
      </w:r>
      <w:r>
        <w:rPr>
          <w:b/>
          <w:sz w:val="22"/>
          <w:szCs w:val="22"/>
          <w:rFonts w:asciiTheme="minorHAnsi" w:hAnsiTheme="minorHAnsi"/>
        </w:rPr>
        <w:t xml:space="preserve"> </w:t>
      </w:r>
    </w:p>
    <w:p w14:paraId="7738F681" w14:textId="77777777" w:rsidR="00642443" w:rsidRPr="00AE15DA" w:rsidRDefault="0064244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68F1A1CA" w14:textId="77777777" w:rsidR="00071CA0" w:rsidRPr="00AE15DA" w:rsidRDefault="00071CA0" w:rsidP="0043334F">
      <w:pPr>
        <w:contextualSpacing/>
        <w:rPr>
          <w:rFonts w:asciiTheme="minorHAnsi" w:hAnsiTheme="minorHAnsi"/>
          <w:b/>
          <w:sz w:val="22"/>
          <w:szCs w:val="22"/>
        </w:rPr>
      </w:pPr>
    </w:p>
    <w:p w14:paraId="4C2FA2E0" w14:textId="77777777" w:rsidR="001633D3" w:rsidRPr="00AE15DA" w:rsidRDefault="0096255B" w:rsidP="0043334F">
      <w:pPr>
        <w:contextualSpacing/>
        <w:rPr>
          <w:b/>
          <w:sz w:val="22"/>
          <w:szCs w:val="22"/>
          <w:rFonts w:asciiTheme="minorHAnsi" w:hAnsiTheme="minorHAnsi"/>
        </w:rPr>
      </w:pPr>
      <w:r>
        <w:rPr>
          <w:b/>
          <w:sz w:val="22"/>
          <w:szCs w:val="22"/>
          <w:rFonts w:asciiTheme="minorHAnsi" w:hAnsiTheme="minorHAnsi"/>
        </w:rPr>
        <w:t xml:space="preserve">E11.</w:t>
      </w:r>
      <w:r>
        <w:rPr>
          <w:b/>
          <w:sz w:val="22"/>
          <w:szCs w:val="22"/>
          <w:rFonts w:asciiTheme="minorHAnsi" w:hAnsiTheme="minorHAnsi"/>
        </w:rPr>
        <w:t xml:space="preserve"> </w:t>
      </w:r>
      <w:r>
        <w:rPr>
          <w:b/>
          <w:sz w:val="22"/>
          <w:szCs w:val="22"/>
          <w:rFonts w:asciiTheme="minorHAnsi" w:hAnsiTheme="minorHAnsi"/>
        </w:rPr>
        <w:t xml:space="preserve">L'uso di miorilassanti sistemici (muscolo scheletrico) (tiocolchicoside, tizanidina, clorzoxazone, carisoprodol, clorfenezina carbammato, ciclobenzaprina, metaxalone, metocarbamolo e orfenadrina … ecc.) non è adatto per dolori muscoloscheletrici (sedazione, sonnolenza, secchezza delle fauci, .stitichezza, a causa di effetti collaterali cognitivi)</w:t>
      </w:r>
      <w:r>
        <w:rPr>
          <w:b/>
          <w:sz w:val="22"/>
          <w:szCs w:val="22"/>
          <w:rFonts w:asciiTheme="minorHAnsi" w:hAnsiTheme="minorHAnsi"/>
        </w:rPr>
        <w:t xml:space="preserve">  </w:t>
      </w:r>
    </w:p>
    <w:p w14:paraId="5A883EEB" w14:textId="77777777" w:rsidR="00071CA0" w:rsidRPr="00AE15DA" w:rsidRDefault="005E45E4" w:rsidP="0043334F">
      <w:pPr>
        <w:spacing w:after="100" w:afterAutospacing="1"/>
        <w:contextualSpacing/>
        <w:jc w:val="both"/>
        <w:rPr>
          <w:i/>
          <w:color w:val="000000" w:themeColor="text1"/>
          <w:sz w:val="22"/>
          <w:szCs w:val="22"/>
          <w:rFonts w:asciiTheme="minorHAnsi" w:hAnsiTheme="minorHAnsi"/>
        </w:rPr>
      </w:pPr>
      <w:r>
        <w:rPr>
          <w:color w:val="000000" w:themeColor="text1"/>
          <w:sz w:val="22"/>
          <w:szCs w:val="22"/>
          <w:rFonts w:asciiTheme="minorHAnsi" w:hAnsiTheme="minorHAnsi"/>
        </w:rPr>
        <w:t xml:space="preserve">*Il rischio di ipotensione è molto evidente anche con la tizanidina.</w:t>
      </w:r>
    </w:p>
    <w:p w14:paraId="22226DA5" w14:textId="77777777" w:rsidR="00071CA0" w:rsidRPr="00AE15DA" w:rsidRDefault="00071CA0" w:rsidP="0043334F">
      <w:pPr>
        <w:contextualSpacing/>
        <w:jc w:val="both"/>
        <w:rPr>
          <w:rFonts w:asciiTheme="minorHAnsi" w:hAnsiTheme="minorHAnsi" w:cstheme="minorHAnsi"/>
          <w:sz w:val="22"/>
          <w:szCs w:val="22"/>
        </w:rPr>
      </w:pPr>
    </w:p>
    <w:p w14:paraId="12C85880" w14:textId="7E94F9AF" w:rsidR="00415CD8" w:rsidRPr="00AE15DA" w:rsidRDefault="00C6392A" w:rsidP="0043334F">
      <w:pPr>
        <w:contextualSpacing/>
        <w:jc w:val="both"/>
        <w:rPr>
          <w:b/>
          <w:color w:val="000000"/>
          <w:sz w:val="22"/>
          <w:szCs w:val="22"/>
          <w:rFonts w:asciiTheme="minorHAnsi" w:hAnsiTheme="minorHAnsi"/>
        </w:rPr>
      </w:pPr>
      <w:r>
        <w:rPr>
          <w:b/>
          <w:sz w:val="22"/>
          <w:szCs w:val="22"/>
          <w:rFonts w:ascii="Calibri" w:hAnsi="Calibri"/>
        </w:rPr>
        <w:t xml:space="preserve">#</w:t>
      </w:r>
      <w:r>
        <w:rPr>
          <w:b/>
          <w:sz w:val="22"/>
          <w:szCs w:val="22"/>
          <w:color w:val="000000"/>
          <w:rFonts w:asciiTheme="minorHAnsi" w:hAnsiTheme="minorHAnsi"/>
        </w:rPr>
        <w:t xml:space="preserve">E12.</w:t>
      </w:r>
      <w:r>
        <w:rPr>
          <w:b/>
          <w:sz w:val="22"/>
          <w:szCs w:val="22"/>
          <w:color w:val="000000"/>
          <w:rFonts w:asciiTheme="minorHAnsi" w:hAnsiTheme="minorHAnsi"/>
        </w:rPr>
        <w:t xml:space="preserve"> </w:t>
      </w:r>
      <w:r>
        <w:rPr>
          <w:b/>
          <w:sz w:val="22"/>
          <w:szCs w:val="22"/>
          <w:color w:val="000000"/>
          <w:rFonts w:asciiTheme="minorHAnsi" w:hAnsiTheme="minorHAnsi"/>
        </w:rPr>
        <w:t xml:space="preserve">Non è appropriato iniziare il trattamento dell'osteoporosi senza escludere la diagnosi di osteomalacia.</w:t>
      </w:r>
      <w:r>
        <w:rPr>
          <w:b/>
          <w:sz w:val="22"/>
          <w:szCs w:val="22"/>
          <w:color w:val="000000"/>
          <w:rFonts w:asciiTheme="minorHAnsi" w:hAnsiTheme="minorHAnsi"/>
        </w:rPr>
        <w:t xml:space="preserve">  </w:t>
      </w:r>
    </w:p>
    <w:p w14:paraId="2AF7ECBF" w14:textId="77777777" w:rsidR="003115C2" w:rsidRPr="00AE15DA" w:rsidRDefault="003115C2" w:rsidP="0043334F">
      <w:pPr>
        <w:contextualSpacing/>
        <w:jc w:val="both"/>
        <w:rPr>
          <w:rFonts w:asciiTheme="minorHAnsi" w:hAnsiTheme="minorHAnsi"/>
          <w:b/>
          <w:color w:val="000000"/>
          <w:sz w:val="22"/>
          <w:szCs w:val="22"/>
        </w:rPr>
      </w:pPr>
    </w:p>
    <w:p w14:paraId="2A8A4847" w14:textId="77777777" w:rsidR="00CE7E93" w:rsidRPr="00AE15DA" w:rsidRDefault="00CE7E93" w:rsidP="0043334F">
      <w:pPr>
        <w:contextualSpacing/>
        <w:jc w:val="both"/>
        <w:rPr>
          <w:rFonts w:asciiTheme="minorHAnsi" w:hAnsiTheme="minorHAnsi"/>
          <w:b/>
          <w:color w:val="000000"/>
          <w:sz w:val="22"/>
          <w:szCs w:val="22"/>
        </w:rPr>
      </w:pPr>
    </w:p>
    <w:p w14:paraId="160397D9" w14:textId="77777777" w:rsidR="00415CD8" w:rsidRPr="00AE15DA" w:rsidRDefault="00415CD8" w:rsidP="0043334F">
      <w:pPr>
        <w:contextualSpacing/>
        <w:jc w:val="both"/>
        <w:rPr>
          <w:sz w:val="22"/>
          <w:szCs w:val="22"/>
          <w:rFonts w:asciiTheme="minorHAnsi" w:hAnsiTheme="minorHAnsi"/>
        </w:rPr>
      </w:pPr>
      <w:r>
        <w:rPr>
          <w:b/>
          <w:sz w:val="22"/>
          <w:szCs w:val="22"/>
          <w:color w:val="000000"/>
          <w:rFonts w:asciiTheme="minorHAnsi" w:hAnsiTheme="minorHAnsi"/>
        </w:rPr>
        <w:t xml:space="preserve">E13.</w:t>
      </w:r>
      <w:r>
        <w:rPr>
          <w:b/>
          <w:sz w:val="22"/>
          <w:szCs w:val="22"/>
          <w:color w:val="000000"/>
          <w:rFonts w:asciiTheme="minorHAnsi" w:hAnsiTheme="minorHAnsi"/>
        </w:rPr>
        <w:t xml:space="preserve"> </w:t>
      </w:r>
      <w:r>
        <w:rPr>
          <w:b/>
          <w:sz w:val="22"/>
          <w:szCs w:val="22"/>
          <w:rFonts w:asciiTheme="minorHAnsi" w:hAnsiTheme="minorHAnsi"/>
        </w:rPr>
        <w:t xml:space="preserve">L'uso convenzionale intermittente di vitamina D ad alte dosi (300.000 UI) non è appropriato per la terapia di "mantenimento" della vitamina D (aumento del rischio di cadute, nessun beneficio aggiuntivo sul sistema muscolo-scheletrico)</w:t>
      </w:r>
    </w:p>
    <w:p w14:paraId="22E52152" w14:textId="77777777" w:rsidR="00C139FE" w:rsidRPr="00AE15DA" w:rsidRDefault="00415CD8" w:rsidP="0043334F">
      <w:pPr>
        <w:contextualSpacing/>
        <w:jc w:val="both"/>
        <w:rPr>
          <w:i/>
          <w:sz w:val="22"/>
          <w:szCs w:val="22"/>
          <w:rFonts w:asciiTheme="minorHAnsi" w:hAnsiTheme="minorHAnsi"/>
        </w:rPr>
      </w:pPr>
      <w:r>
        <w:rPr>
          <w:i/>
          <w:sz w:val="22"/>
          <w:szCs w:val="22"/>
          <w:rFonts w:asciiTheme="minorHAnsi" w:hAnsiTheme="minorHAnsi"/>
        </w:rPr>
        <w:t xml:space="preserve">*Sono stati mostrati i risultati negativi della vitamina D convenzionale ad alte dosi utilizzata nella terapia di "mantenimento".</w:t>
      </w:r>
      <w:r>
        <w:rPr>
          <w:i/>
          <w:sz w:val="22"/>
          <w:szCs w:val="22"/>
          <w:rFonts w:asciiTheme="minorHAnsi" w:hAnsiTheme="minorHAnsi"/>
        </w:rPr>
        <w:t xml:space="preserve"> </w:t>
      </w:r>
    </w:p>
    <w:p w14:paraId="4B3C1730" w14:textId="77777777" w:rsidR="00C139FE" w:rsidRPr="00AE15DA" w:rsidRDefault="003115C2" w:rsidP="0043334F">
      <w:pPr>
        <w:spacing w:after="100" w:afterAutospacing="1"/>
        <w:contextualSpacing/>
        <w:jc w:val="both"/>
        <w:rPr>
          <w:i/>
          <w:sz w:val="22"/>
          <w:szCs w:val="22"/>
          <w:rFonts w:asciiTheme="minorHAnsi" w:hAnsiTheme="minorHAnsi"/>
        </w:rPr>
      </w:pPr>
      <w:r>
        <w:rPr>
          <w:i/>
          <w:sz w:val="22"/>
          <w:szCs w:val="22"/>
          <w:rFonts w:asciiTheme="minorHAnsi" w:hAnsiTheme="minorHAnsi"/>
        </w:rPr>
        <w:t xml:space="preserve">*Non sono stati riportati risultati negativi associati alla vitamina D convenzionale ad alte dosi utilizzata nella terapia “sostitutiva”.</w:t>
      </w:r>
      <w:r>
        <w:rPr>
          <w:i/>
          <w:sz w:val="22"/>
          <w:szCs w:val="22"/>
          <w:rFonts w:asciiTheme="minorHAnsi" w:hAnsiTheme="minorHAnsi"/>
        </w:rPr>
        <w:t xml:space="preserve"> </w:t>
      </w:r>
      <w:r>
        <w:rPr>
          <w:i/>
          <w:sz w:val="22"/>
          <w:szCs w:val="22"/>
          <w:rFonts w:asciiTheme="minorHAnsi" w:hAnsiTheme="minorHAnsi"/>
        </w:rPr>
        <w:t xml:space="preserve">Tuttavia, a causa del principio "iniziare lentamente l'aumento basso", che è generalmente valido nell'uso di farmaci negli anziani, può essere opportuno applicare gradualmente la terapia "sostitutiva" della vitamina D.</w:t>
      </w:r>
      <w:r>
        <w:rPr>
          <w:i/>
          <w:sz w:val="22"/>
          <w:szCs w:val="22"/>
          <w:rFonts w:asciiTheme="minorHAnsi" w:hAnsiTheme="minorHAnsi"/>
        </w:rPr>
        <w:t xml:space="preserve"> </w:t>
      </w:r>
    </w:p>
    <w:p w14:paraId="5B526274" w14:textId="77777777" w:rsidR="00642443" w:rsidRPr="00AE15DA" w:rsidRDefault="00642443" w:rsidP="0043334F">
      <w:pPr>
        <w:contextualSpacing/>
        <w:jc w:val="both"/>
        <w:rPr>
          <w:rFonts w:asciiTheme="minorHAnsi" w:hAnsiTheme="minorHAnsi" w:cstheme="minorHAnsi"/>
          <w:sz w:val="22"/>
          <w:szCs w:val="22"/>
        </w:rPr>
      </w:pPr>
    </w:p>
    <w:p w14:paraId="2684CDF3" w14:textId="77777777" w:rsidR="00071CA0" w:rsidRPr="00AE15DA" w:rsidRDefault="00071CA0" w:rsidP="0043334F">
      <w:pPr>
        <w:pStyle w:val="HTMLncedenBiimlendirilmi"/>
        <w:contextualSpacing/>
        <w:jc w:val="both"/>
        <w:rPr>
          <w:rFonts w:asciiTheme="minorHAnsi" w:hAnsiTheme="minorHAnsi" w:cstheme="minorHAnsi"/>
          <w:b/>
          <w:bCs/>
          <w:color w:val="000000" w:themeColor="text1"/>
          <w:sz w:val="22"/>
          <w:szCs w:val="22"/>
        </w:rPr>
      </w:pPr>
    </w:p>
    <w:p w14:paraId="4FDDA49D" w14:textId="77777777" w:rsidR="00994461" w:rsidRPr="00AE15DA" w:rsidRDefault="00994461" w:rsidP="0043334F">
      <w:pPr>
        <w:pStyle w:val="HTMLncedenBiimlendirilmi"/>
        <w:contextualSpacing/>
        <w:jc w:val="both"/>
        <w:rPr>
          <w:b/>
          <w:bCs/>
          <w:color w:val="000000" w:themeColor="text1"/>
          <w:sz w:val="22"/>
          <w:szCs w:val="22"/>
          <w:rFonts w:asciiTheme="minorHAnsi" w:hAnsiTheme="minorHAnsi" w:cstheme="minorHAnsi"/>
        </w:rPr>
      </w:pPr>
      <w:r>
        <w:rPr>
          <w:b/>
          <w:bCs/>
          <w:color w:val="000000" w:themeColor="text1"/>
          <w:sz w:val="22"/>
          <w:szCs w:val="22"/>
          <w:rFonts w:asciiTheme="minorHAnsi" w:hAnsiTheme="minorHAnsi"/>
        </w:rPr>
        <w:t xml:space="preserve">E14.</w:t>
      </w:r>
      <w:r>
        <w:rPr>
          <w:b/>
          <w:bCs/>
          <w:color w:val="000000" w:themeColor="text1"/>
          <w:sz w:val="22"/>
          <w:szCs w:val="22"/>
          <w:rFonts w:asciiTheme="minorHAnsi" w:hAnsiTheme="minorHAnsi"/>
        </w:rPr>
        <w:t xml:space="preserve"> </w:t>
      </w:r>
      <w:r>
        <w:rPr>
          <w:b/>
          <w:bCs/>
          <w:color w:val="000000" w:themeColor="text1"/>
          <w:sz w:val="22"/>
          <w:szCs w:val="22"/>
          <w:rFonts w:asciiTheme="minorHAnsi" w:hAnsiTheme="minorHAnsi"/>
        </w:rPr>
        <w:t xml:space="preserve">In presenza di iperfosfatemia e/o ipercalcemia, l'uso di vitamina D attiva (calcitriolo) (1-25(OH)2colecalciferolo) o convenzionale (25(OH) colecalciferolo) non è appropriato.</w:t>
      </w:r>
    </w:p>
    <w:p w14:paraId="3280EAE2" w14:textId="77777777" w:rsidR="00B40EEF" w:rsidRPr="00AE15DA" w:rsidRDefault="00B40EEF" w:rsidP="0043334F">
      <w:pPr>
        <w:contextualSpacing/>
        <w:jc w:val="both"/>
        <w:rPr>
          <w:rFonts w:asciiTheme="minorHAnsi" w:hAnsiTheme="minorHAnsi"/>
          <w:b/>
          <w:sz w:val="22"/>
          <w:szCs w:val="22"/>
        </w:rPr>
      </w:pPr>
    </w:p>
    <w:p w14:paraId="16BFAC88" w14:textId="77777777" w:rsidR="007C70E3" w:rsidRPr="00AE15DA" w:rsidRDefault="007C70E3" w:rsidP="0043334F">
      <w:pPr>
        <w:contextualSpacing/>
        <w:jc w:val="both"/>
        <w:rPr>
          <w:rFonts w:asciiTheme="minorHAnsi" w:hAnsiTheme="minorHAnsi"/>
          <w:b/>
          <w:sz w:val="22"/>
          <w:szCs w:val="22"/>
        </w:rPr>
      </w:pPr>
    </w:p>
    <w:p w14:paraId="524A9B5F" w14:textId="0587F9FB" w:rsidR="007C09E9" w:rsidRPr="00AE15DA" w:rsidRDefault="00415CD8" w:rsidP="0043334F">
      <w:pPr>
        <w:contextualSpacing/>
        <w:jc w:val="both"/>
        <w:rPr>
          <w:b/>
          <w:sz w:val="22"/>
          <w:szCs w:val="22"/>
          <w:rFonts w:asciiTheme="minorHAnsi" w:hAnsiTheme="minorHAnsi"/>
        </w:rPr>
      </w:pPr>
      <w:r>
        <w:rPr>
          <w:b/>
          <w:sz w:val="22"/>
          <w:szCs w:val="22"/>
          <w:rFonts w:asciiTheme="minorHAnsi" w:hAnsiTheme="minorHAnsi"/>
        </w:rPr>
        <w:t xml:space="preserve">E15.</w:t>
      </w:r>
      <w:r>
        <w:rPr>
          <w:b/>
          <w:sz w:val="22"/>
          <w:szCs w:val="22"/>
          <w:rFonts w:asciiTheme="minorHAnsi" w:hAnsiTheme="minorHAnsi"/>
        </w:rPr>
        <w:t xml:space="preserve"> </w:t>
      </w:r>
      <w:r>
        <w:rPr>
          <w:b/>
          <w:sz w:val="22"/>
          <w:szCs w:val="22"/>
        </w:rPr>
        <w:t xml:space="preserve">L'uso di bifosfonati orali non è appropriato in pazienti con anamnesi di malattia del tratto gastrointestinale superiore (ad es. disfagia, esofagite, ulcera peptica, sanguinamento del tratto gastrointestinale superiore o GÖR non controllato dal trattamento) e/o in pazienti che non sono fisicamente in grado di stare in piedi (esofagite, ulcera, recidiva della struttura esofagea/rischio di esacerbazione)</w:t>
      </w:r>
    </w:p>
    <w:p w14:paraId="13376DAC" w14:textId="77777777" w:rsidR="00F11DEE" w:rsidRPr="00AE15DA" w:rsidRDefault="00F11DEE" w:rsidP="0043334F">
      <w:pPr>
        <w:contextualSpacing/>
        <w:jc w:val="both"/>
        <w:rPr>
          <w:i/>
          <w:sz w:val="22"/>
          <w:szCs w:val="22"/>
          <w:rFonts w:asciiTheme="minorHAnsi" w:hAnsiTheme="minorHAnsi"/>
        </w:rPr>
      </w:pPr>
      <w:r>
        <w:rPr>
          <w:i/>
          <w:sz w:val="22"/>
          <w:szCs w:val="22"/>
          <w:rFonts w:asciiTheme="minorHAnsi" w:hAnsiTheme="minorHAnsi"/>
        </w:rPr>
        <w:t xml:space="preserve">*I bifosfonati orali possono essere usati con cautela in presenza di GÖR ben controllato.</w:t>
      </w:r>
    </w:p>
    <w:p w14:paraId="16A752F5" w14:textId="5356D9B6" w:rsidR="00B40EEF" w:rsidRPr="00AE15DA" w:rsidRDefault="00B40EEF" w:rsidP="0043334F">
      <w:pPr>
        <w:tabs>
          <w:tab w:val="left" w:pos="708"/>
        </w:tabs>
        <w:contextualSpacing/>
        <w:jc w:val="both"/>
        <w:rPr>
          <w:rFonts w:asciiTheme="minorHAnsi" w:hAnsiTheme="minorHAnsi" w:cstheme="minorHAnsi"/>
          <w:sz w:val="22"/>
          <w:szCs w:val="22"/>
        </w:rPr>
      </w:pPr>
    </w:p>
    <w:p w14:paraId="2C264C4F" w14:textId="77777777" w:rsidR="00364C7E" w:rsidRPr="00AE15DA" w:rsidRDefault="00364C7E" w:rsidP="0043334F">
      <w:pPr>
        <w:contextualSpacing/>
        <w:jc w:val="both"/>
        <w:rPr>
          <w:rFonts w:asciiTheme="minorHAnsi" w:hAnsiTheme="minorHAnsi"/>
          <w:b/>
          <w:sz w:val="22"/>
          <w:szCs w:val="22"/>
        </w:rPr>
      </w:pPr>
    </w:p>
    <w:p w14:paraId="544A3B3B" w14:textId="77777777" w:rsidR="00F11DEE" w:rsidRPr="00AE15DA" w:rsidRDefault="00415CD8" w:rsidP="0043334F">
      <w:pPr>
        <w:contextualSpacing/>
        <w:jc w:val="both"/>
        <w:rPr>
          <w:color w:val="000000"/>
          <w:sz w:val="22"/>
          <w:szCs w:val="22"/>
          <w:vertAlign w:val="superscript"/>
          <w:rFonts w:asciiTheme="minorHAnsi" w:hAnsiTheme="minorHAnsi"/>
        </w:rPr>
      </w:pPr>
      <w:r>
        <w:rPr>
          <w:b/>
          <w:sz w:val="22"/>
          <w:szCs w:val="22"/>
          <w:rFonts w:asciiTheme="minorHAnsi" w:hAnsiTheme="minorHAnsi"/>
        </w:rPr>
        <w:t xml:space="preserve">E16.</w:t>
      </w:r>
      <w:r>
        <w:rPr>
          <w:b/>
          <w:sz w:val="22"/>
          <w:szCs w:val="22"/>
          <w:rFonts w:asciiTheme="minorHAnsi" w:hAnsiTheme="minorHAnsi"/>
        </w:rPr>
        <w:t xml:space="preserve"> </w:t>
      </w:r>
      <w:r>
        <w:rPr>
          <w:b/>
          <w:sz w:val="22"/>
          <w:szCs w:val="22"/>
          <w:rFonts w:asciiTheme="minorHAnsi" w:hAnsiTheme="minorHAnsi"/>
        </w:rPr>
        <w:t xml:space="preserve">I bifosfonati non sono adatti per l'uso in pazienti con GFR &lt; 30 ml/min/1,73 m2 (aumento del rischio di insufficienza renale acuta).</w:t>
      </w:r>
    </w:p>
    <w:p w14:paraId="3ECF19AE" w14:textId="77777777" w:rsidR="00F11DEE" w:rsidRPr="00AE15DA" w:rsidRDefault="00F11DEE" w:rsidP="0043334F">
      <w:pPr>
        <w:contextualSpacing/>
        <w:jc w:val="both"/>
        <w:rPr>
          <w:i/>
          <w:sz w:val="22"/>
          <w:szCs w:val="22"/>
          <w:rFonts w:asciiTheme="minorHAnsi" w:hAnsiTheme="minorHAnsi"/>
        </w:rPr>
      </w:pPr>
      <w:r>
        <w:rPr>
          <w:i/>
          <w:sz w:val="22"/>
          <w:szCs w:val="22"/>
          <w:rFonts w:asciiTheme="minorHAnsi" w:hAnsiTheme="minorHAnsi"/>
        </w:rPr>
        <w:t xml:space="preserve">*La soglia GFR è più alta per zoledronato e alendronato (&lt;35 ml/min/1,73 m2).</w:t>
      </w:r>
    </w:p>
    <w:p w14:paraId="2A18FA7C" w14:textId="77777777" w:rsidR="00364C7E" w:rsidRPr="00AE15DA" w:rsidRDefault="00364C7E" w:rsidP="0043334F">
      <w:pPr>
        <w:pStyle w:val="HTMLncedenBiimlendirilmi"/>
        <w:contextualSpacing/>
        <w:rPr>
          <w:rFonts w:asciiTheme="minorHAnsi" w:hAnsiTheme="minorHAnsi" w:cstheme="minorHAnsi"/>
          <w:sz w:val="22"/>
          <w:szCs w:val="22"/>
        </w:rPr>
      </w:pPr>
    </w:p>
    <w:p w14:paraId="03F3021D" w14:textId="77777777" w:rsidR="00C1596E" w:rsidRPr="00AE15DA" w:rsidRDefault="00C1596E" w:rsidP="0043334F">
      <w:pPr>
        <w:contextualSpacing/>
        <w:jc w:val="both"/>
        <w:rPr>
          <w:rFonts w:asciiTheme="minorHAnsi" w:hAnsiTheme="minorHAnsi"/>
          <w:b/>
          <w:color w:val="000000"/>
          <w:sz w:val="22"/>
          <w:szCs w:val="22"/>
        </w:rPr>
      </w:pPr>
    </w:p>
    <w:p w14:paraId="1CA4C6EA" w14:textId="77777777" w:rsidR="00415CD8" w:rsidRPr="00AE15DA" w:rsidRDefault="00415CD8" w:rsidP="0043334F">
      <w:pPr>
        <w:contextualSpacing/>
        <w:jc w:val="both"/>
        <w:rPr>
          <w:b/>
          <w:color w:val="000000"/>
          <w:sz w:val="22"/>
          <w:szCs w:val="22"/>
          <w:rFonts w:asciiTheme="minorHAnsi" w:hAnsiTheme="minorHAnsi"/>
        </w:rPr>
      </w:pPr>
      <w:r>
        <w:rPr>
          <w:b/>
          <w:color w:val="000000"/>
          <w:sz w:val="22"/>
          <w:szCs w:val="22"/>
          <w:rFonts w:asciiTheme="minorHAnsi" w:hAnsiTheme="minorHAnsi"/>
        </w:rPr>
        <w:t xml:space="preserve">E17.</w:t>
      </w:r>
      <w:r>
        <w:rPr>
          <w:b/>
          <w:color w:val="000000"/>
          <w:sz w:val="22"/>
          <w:szCs w:val="22"/>
          <w:rFonts w:asciiTheme="minorHAnsi" w:hAnsiTheme="minorHAnsi"/>
        </w:rPr>
        <w:t xml:space="preserve"> </w:t>
      </w:r>
      <w:r>
        <w:rPr>
          <w:b/>
          <w:color w:val="000000"/>
          <w:sz w:val="22"/>
          <w:szCs w:val="22"/>
          <w:rFonts w:asciiTheme="minorHAnsi" w:hAnsiTheme="minorHAnsi"/>
        </w:rPr>
        <w:t xml:space="preserve">L'uso di zoledronato, denosumab o teriparatide non è appropriato senza determinare il livello sierico di calcio prima del trattamento e fornire un'adeguata assunzione di calcio/vitamina D.</w:t>
      </w:r>
      <w:r>
        <w:rPr>
          <w:b/>
          <w:color w:val="000000"/>
          <w:sz w:val="22"/>
          <w:szCs w:val="22"/>
          <w:rFonts w:asciiTheme="minorHAnsi" w:hAnsiTheme="minorHAnsi"/>
        </w:rPr>
        <w:t xml:space="preserve"> </w:t>
      </w:r>
    </w:p>
    <w:p w14:paraId="17B89B4E" w14:textId="77777777" w:rsidR="00C80C53" w:rsidRPr="00AE15DA" w:rsidRDefault="00C80C53" w:rsidP="0043334F">
      <w:pPr>
        <w:contextualSpacing/>
        <w:jc w:val="both"/>
        <w:rPr>
          <w:rFonts w:asciiTheme="minorHAnsi" w:hAnsiTheme="minorHAnsi"/>
          <w:b/>
          <w:i/>
          <w:color w:val="4472C4" w:themeColor="accent5"/>
          <w:sz w:val="22"/>
          <w:szCs w:val="22"/>
          <w:u w:val="single"/>
        </w:rPr>
      </w:pPr>
    </w:p>
    <w:p w14:paraId="202AB42A" w14:textId="77777777" w:rsidR="004816D3" w:rsidRPr="00AE15DA" w:rsidRDefault="007C70E3" w:rsidP="0043334F">
      <w:pPr>
        <w:contextualSpacing/>
        <w:jc w:val="both"/>
        <w:rPr>
          <w:b/>
          <w:sz w:val="28"/>
          <w:szCs w:val="28"/>
          <w:rFonts w:asciiTheme="minorHAnsi" w:hAnsiTheme="minorHAnsi"/>
        </w:rPr>
      </w:pPr>
      <w:r>
        <w:rPr>
          <w:b/>
          <w:sz w:val="28"/>
          <w:szCs w:val="28"/>
          <w:rFonts w:asciiTheme="minorHAnsi" w:hAnsiTheme="minorHAnsi"/>
        </w:rPr>
        <w:t xml:space="preserve">F:</w:t>
      </w:r>
      <w:r>
        <w:rPr>
          <w:b/>
          <w:sz w:val="28"/>
          <w:szCs w:val="28"/>
          <w:rFonts w:asciiTheme="minorHAnsi" w:hAnsiTheme="minorHAnsi"/>
        </w:rPr>
        <w:t xml:space="preserve"> </w:t>
      </w:r>
      <w:r>
        <w:rPr>
          <w:b/>
          <w:sz w:val="28"/>
          <w:szCs w:val="28"/>
          <w:rFonts w:asciiTheme="minorHAnsi" w:hAnsiTheme="minorHAnsi"/>
        </w:rPr>
        <w:t xml:space="preserve">Criteri del sistema urogenitale.</w:t>
      </w:r>
    </w:p>
    <w:p w14:paraId="2F82DD50" w14:textId="77777777" w:rsidR="00F327A4" w:rsidRPr="00AE15DA" w:rsidRDefault="00F327A4" w:rsidP="0043334F">
      <w:pPr>
        <w:contextualSpacing/>
        <w:jc w:val="both"/>
        <w:rPr>
          <w:rFonts w:asciiTheme="minorHAnsi" w:hAnsiTheme="minorHAnsi"/>
          <w:b/>
          <w:i/>
          <w:color w:val="4472C4" w:themeColor="accent5"/>
          <w:sz w:val="22"/>
          <w:szCs w:val="22"/>
          <w:u w:val="single"/>
        </w:rPr>
      </w:pPr>
    </w:p>
    <w:p w14:paraId="4A711F27" w14:textId="77777777" w:rsidR="00236CC7" w:rsidRPr="00AE15DA" w:rsidRDefault="00415CD8" w:rsidP="0043334F">
      <w:pPr>
        <w:pStyle w:val="AklamaMetni"/>
        <w:spacing w:after="0"/>
        <w:contextualSpacing/>
        <w:jc w:val="both"/>
        <w:rPr>
          <w:rStyle w:val="AklamaBavurusu"/>
          <w:b/>
          <w:sz w:val="22"/>
          <w:szCs w:val="22"/>
          <w:rFonts w:cs="Times New Roman"/>
        </w:rPr>
      </w:pPr>
      <w:r>
        <w:rPr>
          <w:b/>
          <w:sz w:val="22"/>
          <w:szCs w:val="22"/>
        </w:rPr>
        <w:t xml:space="preserve">F1.</w:t>
      </w:r>
      <w:r>
        <w:rPr>
          <w:b/>
          <w:sz w:val="22"/>
          <w:szCs w:val="22"/>
        </w:rPr>
        <w:t xml:space="preserve"> </w:t>
      </w:r>
      <w:r>
        <w:rPr>
          <w:b/>
          <w:sz w:val="22"/>
          <w:szCs w:val="22"/>
        </w:rPr>
        <w:t xml:space="preserve">Negli uomini con sintomi LUTS dovuti a iperplasia prostatica benigna, se la PMR è &gt;150 ml, l'uso di farmaci anticolinergici per la vescica non è appropriato.</w:t>
      </w:r>
    </w:p>
    <w:p w14:paraId="364AA477" w14:textId="4D009920" w:rsidR="00F327A4" w:rsidRDefault="00F11DEE" w:rsidP="00E85274">
      <w:pPr>
        <w:pStyle w:val="AklamaMetni"/>
        <w:contextualSpacing/>
        <w:jc w:val="both"/>
        <w:rPr>
          <w:i/>
          <w:color w:val="000000" w:themeColor="text1"/>
          <w:sz w:val="22"/>
          <w:szCs w:val="22"/>
          <w:rFonts w:eastAsia="Times New Roman" w:cs="Times New Roman"/>
        </w:rPr>
      </w:pPr>
      <w:r>
        <w:rPr>
          <w:i/>
          <w:color w:val="000000" w:themeColor="text1"/>
          <w:sz w:val="22"/>
          <w:szCs w:val="22"/>
        </w:rPr>
        <w:t xml:space="preserve">*Negli uomini più anziani, i sintomi della LUTS devono essere messi in dubbio e la determinazione della PMR deve essere effettuata in tutti i casi prima di prescrivere farmaci anticolinergici diretti alla vescica per il trattamento della vescica iperattiva.</w:t>
      </w:r>
    </w:p>
    <w:p w14:paraId="2AFF43AF" w14:textId="77777777" w:rsidR="00E85274" w:rsidRPr="00E85274" w:rsidRDefault="00E85274" w:rsidP="00E85274">
      <w:pPr>
        <w:pStyle w:val="AklamaMetni"/>
        <w:contextualSpacing/>
        <w:jc w:val="both"/>
        <w:rPr>
          <w:rFonts w:eastAsia="Times New Roman" w:cs="Times New Roman"/>
          <w:i/>
          <w:color w:val="000000" w:themeColor="text1"/>
          <w:sz w:val="22"/>
          <w:szCs w:val="22"/>
        </w:rPr>
      </w:pPr>
    </w:p>
    <w:p w14:paraId="68942A7E" w14:textId="77777777" w:rsidR="006C2A94" w:rsidRPr="00AE15DA" w:rsidRDefault="00415CD8" w:rsidP="0043334F">
      <w:pPr>
        <w:spacing w:before="100" w:beforeAutospacing="1"/>
        <w:contextualSpacing/>
        <w:jc w:val="both"/>
        <w:rPr>
          <w:b/>
          <w:sz w:val="22"/>
          <w:szCs w:val="22"/>
          <w:rFonts w:asciiTheme="minorHAnsi" w:hAnsiTheme="minorHAnsi"/>
        </w:rPr>
      </w:pPr>
      <w:r>
        <w:rPr>
          <w:b/>
          <w:sz w:val="22"/>
          <w:szCs w:val="22"/>
          <w:rFonts w:asciiTheme="minorHAnsi" w:hAnsiTheme="minorHAnsi"/>
        </w:rPr>
        <w:t xml:space="preserve">F2.</w:t>
      </w:r>
      <w:r>
        <w:rPr>
          <w:b/>
          <w:sz w:val="22"/>
          <w:szCs w:val="22"/>
          <w:rFonts w:asciiTheme="minorHAnsi" w:hAnsiTheme="minorHAnsi"/>
        </w:rPr>
        <w:t xml:space="preserve"> </w:t>
      </w:r>
      <w:r>
        <w:rPr>
          <w:b/>
          <w:sz w:val="22"/>
          <w:szCs w:val="22"/>
          <w:rFonts w:asciiTheme="minorHAnsi" w:hAnsiTheme="minorHAnsi"/>
        </w:rPr>
        <w:t xml:space="preserve">I farmaci anticolinergici diretti alla vescica non sono adatti per i pazienti con glaucoma cronico ad angolo chiuso.</w:t>
      </w:r>
      <w:r>
        <w:rPr>
          <w:b/>
          <w:sz w:val="22"/>
          <w:szCs w:val="22"/>
          <w:rFonts w:asciiTheme="minorHAnsi" w:hAnsiTheme="minorHAnsi"/>
        </w:rPr>
        <w:t xml:space="preserve"> </w:t>
      </w:r>
    </w:p>
    <w:p w14:paraId="172F05A2" w14:textId="77777777" w:rsidR="006C2A94" w:rsidRPr="00AE15DA" w:rsidRDefault="00F11DEE" w:rsidP="0043334F">
      <w:pPr>
        <w:contextualSpacing/>
        <w:jc w:val="both"/>
        <w:rPr>
          <w:i/>
          <w:color w:val="000000" w:themeColor="text1"/>
          <w:sz w:val="22"/>
          <w:szCs w:val="22"/>
          <w:rFonts w:asciiTheme="minorHAnsi" w:hAnsiTheme="minorHAnsi"/>
        </w:rPr>
      </w:pPr>
      <w:r>
        <w:rPr>
          <w:i/>
          <w:sz w:val="22"/>
          <w:szCs w:val="22"/>
          <w:rFonts w:asciiTheme="minorHAnsi" w:hAnsiTheme="minorHAnsi"/>
        </w:rPr>
        <w:t xml:space="preserve">*L'anamnesi del glaucoma deve essere interrogata prima di iniziare i farmaci anticolinergici per la vescica.</w:t>
      </w:r>
      <w:r>
        <w:rPr>
          <w:i/>
          <w:sz w:val="22"/>
          <w:szCs w:val="22"/>
          <w:color w:val="000000" w:themeColor="text1"/>
          <w:rFonts w:asciiTheme="minorHAnsi" w:hAnsiTheme="minorHAnsi"/>
        </w:rPr>
        <w:t xml:space="preserve"> </w:t>
      </w:r>
    </w:p>
    <w:p w14:paraId="01F7D3E0" w14:textId="77777777" w:rsidR="006C2A94" w:rsidRPr="00AE15DA" w:rsidRDefault="00F11DEE" w:rsidP="0043334F">
      <w:pPr>
        <w:contextualSpacing/>
        <w:jc w:val="both"/>
        <w:rPr>
          <w:i/>
          <w:color w:val="000000" w:themeColor="text1"/>
          <w:sz w:val="22"/>
          <w:szCs w:val="22"/>
          <w:rFonts w:asciiTheme="minorHAnsi" w:hAnsiTheme="minorHAnsi"/>
        </w:rPr>
      </w:pPr>
      <w:r>
        <w:rPr>
          <w:i/>
          <w:color w:val="000000" w:themeColor="text1"/>
          <w:sz w:val="22"/>
          <w:szCs w:val="22"/>
          <w:rFonts w:asciiTheme="minorHAnsi" w:hAnsiTheme="minorHAnsi"/>
        </w:rPr>
        <w:t xml:space="preserve">* I farmaci anticolinergici diretti alla vescica non sono controindicati se il glaucoma ad angolo chiuso è stato trattato con iridotomia laser.</w:t>
      </w:r>
    </w:p>
    <w:p w14:paraId="1B87D872" w14:textId="77777777" w:rsidR="00F11DEE" w:rsidRPr="00AE15DA" w:rsidRDefault="006C2A94" w:rsidP="0043334F">
      <w:pPr>
        <w:contextualSpacing/>
        <w:jc w:val="both"/>
        <w:rPr>
          <w:i/>
          <w:color w:val="000000" w:themeColor="text1"/>
          <w:sz w:val="22"/>
          <w:szCs w:val="22"/>
          <w:rFonts w:asciiTheme="minorHAnsi" w:hAnsiTheme="minorHAnsi"/>
        </w:rPr>
      </w:pPr>
      <w:r>
        <w:rPr>
          <w:i/>
          <w:sz w:val="22"/>
          <w:szCs w:val="22"/>
          <w:rFonts w:asciiTheme="minorHAnsi" w:hAnsiTheme="minorHAnsi"/>
        </w:rPr>
        <w:t xml:space="preserve">*I farmaci anticolinergici per la vescica non sono controindicati nel glaucoma ad angolo aperto.</w:t>
      </w:r>
    </w:p>
    <w:p w14:paraId="45875D5D" w14:textId="77777777" w:rsidR="006C2A94" w:rsidRPr="00AE15DA" w:rsidRDefault="006C2A9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color w:val="000000" w:themeColor="text1"/>
          <w:sz w:val="22"/>
          <w:szCs w:val="22"/>
        </w:rPr>
      </w:pPr>
    </w:p>
    <w:p w14:paraId="73C951C0" w14:textId="77777777" w:rsidR="00080395" w:rsidRPr="00AE15DA" w:rsidRDefault="0008039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14:paraId="0D52192E" w14:textId="77777777" w:rsidR="00415CD8" w:rsidRPr="00AE15DA" w:rsidRDefault="00415CD8" w:rsidP="0043334F">
      <w:pPr>
        <w:spacing w:before="100" w:beforeAutospacing="1" w:after="100" w:afterAutospacing="1"/>
        <w:contextualSpacing/>
        <w:jc w:val="both"/>
        <w:rPr>
          <w:b/>
          <w:sz w:val="22"/>
          <w:szCs w:val="22"/>
          <w:rFonts w:asciiTheme="minorHAnsi" w:hAnsiTheme="minorHAnsi"/>
        </w:rPr>
      </w:pPr>
      <w:r>
        <w:rPr>
          <w:b/>
          <w:sz w:val="22"/>
          <w:szCs w:val="22"/>
          <w:color w:val="000000"/>
          <w:rFonts w:asciiTheme="minorHAnsi" w:hAnsiTheme="minorHAnsi"/>
        </w:rPr>
        <w:t xml:space="preserve">F3.</w:t>
      </w:r>
      <w:r>
        <w:rPr>
          <w:b/>
          <w:sz w:val="22"/>
          <w:szCs w:val="22"/>
          <w:color w:val="000000"/>
          <w:rFonts w:asciiTheme="minorHAnsi" w:hAnsiTheme="minorHAnsi"/>
        </w:rPr>
        <w:t xml:space="preserve"> </w:t>
      </w:r>
      <w:r>
        <w:rPr>
          <w:b/>
          <w:sz w:val="22"/>
          <w:szCs w:val="22"/>
          <w:rFonts w:asciiTheme="minorHAnsi" w:hAnsiTheme="minorHAnsi"/>
        </w:rPr>
        <w:t xml:space="preserve">L'uso di farmaci anticolinergici per la vescica non è appropriato senza la determinazione della PMR (rischio di ritenzione urinaria e insufficienza renale postrenale) negli anziani con iperplasia prostatica (rischio di ostruzione) o complicanze del diabete mellito (rischio vescicale neurogena) o negli anziani fragili (rischio di contrattilità ridotto con il detrusore iperattività)</w:t>
      </w:r>
    </w:p>
    <w:p w14:paraId="219CB8E1" w14:textId="77777777" w:rsidR="00C1596E" w:rsidRPr="00AE15DA" w:rsidRDefault="00C1596E" w:rsidP="0043334F">
      <w:pPr>
        <w:spacing w:before="100" w:beforeAutospacing="1" w:after="100" w:afterAutospacing="1"/>
        <w:contextualSpacing/>
        <w:jc w:val="both"/>
        <w:rPr>
          <w:rFonts w:asciiTheme="minorHAnsi" w:hAnsiTheme="minorHAnsi" w:cstheme="minorHAnsi"/>
          <w:color w:val="000000" w:themeColor="text1"/>
          <w:sz w:val="22"/>
          <w:szCs w:val="22"/>
        </w:rPr>
      </w:pPr>
    </w:p>
    <w:p w14:paraId="0F884FDA" w14:textId="77777777" w:rsidR="00E456DB" w:rsidRPr="00AE15DA" w:rsidRDefault="00E456DB" w:rsidP="0043334F">
      <w:pPr>
        <w:spacing w:before="100" w:beforeAutospacing="1" w:after="100" w:afterAutospacing="1"/>
        <w:contextualSpacing/>
        <w:jc w:val="both"/>
        <w:rPr>
          <w:rFonts w:asciiTheme="minorHAnsi" w:hAnsiTheme="minorHAnsi" w:cstheme="minorHAnsi"/>
          <w:color w:val="000000"/>
          <w:sz w:val="22"/>
          <w:szCs w:val="22"/>
        </w:rPr>
      </w:pPr>
    </w:p>
    <w:p w14:paraId="7AC99258" w14:textId="77777777" w:rsidR="00316725" w:rsidRPr="00AE15DA" w:rsidRDefault="00415CD8"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F4.</w:t>
      </w:r>
      <w:r>
        <w:rPr>
          <w:b/>
          <w:sz w:val="22"/>
          <w:szCs w:val="22"/>
          <w:rFonts w:asciiTheme="minorHAnsi" w:hAnsiTheme="minorHAnsi"/>
        </w:rPr>
        <w:t xml:space="preserve"> </w:t>
      </w:r>
      <w:r>
        <w:rPr>
          <w:b/>
          <w:sz w:val="22"/>
          <w:szCs w:val="22"/>
          <w:rFonts w:asciiTheme="minorHAnsi" w:hAnsiTheme="minorHAnsi"/>
        </w:rPr>
        <w:t xml:space="preserve">Pressione sanguigna &lt;90/50 mmHg o &gt; 170/100 mmHg/ angina instabile/ angina durante il rapporto sessuale/ insufficienza cardiaca di classe NYHA 4/ terapia con nitrati per angina/ terapia con alfa-1 bloccanti/ precedente infarto miocardico (&lt; 3 L'uso di fosfodiesterasi di tipo- 5 inibitori (ad es. sildenafil, tadalafil, vardenafil) non è appropriato nei pazienti con anamnesi di/con anamnesi di ictus (&lt; 6 mesi)</w:t>
      </w:r>
      <w:r>
        <w:rPr>
          <w:b/>
          <w:sz w:val="22"/>
          <w:szCs w:val="22"/>
          <w:rFonts w:asciiTheme="minorHAnsi" w:hAnsiTheme="minorHAnsi"/>
        </w:rPr>
        <w:t xml:space="preserve"> </w:t>
      </w:r>
    </w:p>
    <w:p w14:paraId="30307983" w14:textId="77777777" w:rsidR="00080395" w:rsidRPr="00AE15DA" w:rsidRDefault="00080395" w:rsidP="0043334F">
      <w:pPr>
        <w:autoSpaceDE w:val="0"/>
        <w:autoSpaceDN w:val="0"/>
        <w:adjustRightInd w:val="0"/>
        <w:contextualSpacing/>
        <w:jc w:val="both"/>
        <w:rPr>
          <w:rStyle w:val="Kpr"/>
          <w:rFonts w:asciiTheme="minorHAnsi" w:eastAsiaTheme="majorEastAsia" w:hAnsiTheme="minorHAnsi" w:cstheme="minorHAnsi"/>
          <w:color w:val="000000" w:themeColor="text1"/>
          <w:sz w:val="22"/>
          <w:szCs w:val="22"/>
          <w:u w:val="none"/>
        </w:rPr>
      </w:pPr>
    </w:p>
    <w:p w14:paraId="4EB25587" w14:textId="77777777" w:rsidR="00967AEF" w:rsidRPr="00AE15DA" w:rsidRDefault="00967AEF" w:rsidP="0043334F">
      <w:pPr>
        <w:autoSpaceDE w:val="0"/>
        <w:autoSpaceDN w:val="0"/>
        <w:adjustRightInd w:val="0"/>
        <w:contextualSpacing/>
        <w:jc w:val="both"/>
        <w:rPr>
          <w:rStyle w:val="Kpr"/>
          <w:rFonts w:asciiTheme="minorHAnsi" w:eastAsiaTheme="majorEastAsia" w:hAnsiTheme="minorHAnsi" w:cstheme="minorHAnsi"/>
          <w:color w:val="000000" w:themeColor="text1"/>
          <w:sz w:val="22"/>
          <w:szCs w:val="22"/>
          <w:u w:val="none"/>
        </w:rPr>
      </w:pPr>
    </w:p>
    <w:p w14:paraId="2A880C10" w14:textId="77777777" w:rsidR="00632179" w:rsidRPr="00AE15DA" w:rsidRDefault="00632179" w:rsidP="0043334F">
      <w:pPr>
        <w:spacing w:before="100" w:beforeAutospacing="1"/>
        <w:contextualSpacing/>
        <w:jc w:val="both"/>
        <w:rPr>
          <w:b/>
          <w:sz w:val="22"/>
          <w:szCs w:val="22"/>
          <w:rFonts w:asciiTheme="minorHAnsi" w:hAnsiTheme="minorHAnsi"/>
        </w:rPr>
      </w:pPr>
      <w:r>
        <w:rPr>
          <w:b/>
          <w:sz w:val="22"/>
          <w:szCs w:val="22"/>
          <w:rFonts w:asciiTheme="minorHAnsi" w:hAnsiTheme="minorHAnsi"/>
        </w:rPr>
        <w:t xml:space="preserve">F5.</w:t>
      </w:r>
      <w:r>
        <w:rPr>
          <w:b/>
          <w:sz w:val="22"/>
          <w:szCs w:val="22"/>
          <w:rFonts w:asciiTheme="minorHAnsi" w:hAnsiTheme="minorHAnsi"/>
        </w:rPr>
        <w:t xml:space="preserve"> </w:t>
      </w:r>
      <w:r>
        <w:rPr>
          <w:b/>
          <w:sz w:val="22"/>
          <w:szCs w:val="22"/>
          <w:rFonts w:asciiTheme="minorHAnsi" w:hAnsiTheme="minorHAnsi"/>
        </w:rPr>
        <w:t xml:space="preserve">Gli alfa 1 bloccanti non uroselettivi (ad es. doxazosina, terazosina) non sono adatti per il trattamento dei sintomi LUTS dovuti all'iperplasia prostatica benigna in pazienti con ipotensione ortostatica (aumento dell'ipotensione ortostatica, sincope e cadute)</w:t>
      </w:r>
      <w:r>
        <w:rPr>
          <w:b/>
          <w:sz w:val="22"/>
          <w:szCs w:val="22"/>
          <w:rFonts w:asciiTheme="minorHAnsi" w:hAnsiTheme="minorHAnsi"/>
        </w:rPr>
        <w:t xml:space="preserve"> </w:t>
      </w:r>
    </w:p>
    <w:p w14:paraId="40438A7E" w14:textId="77777777" w:rsidR="00967AEF" w:rsidRPr="00AE15DA" w:rsidRDefault="00967AEF" w:rsidP="0043334F">
      <w:pPr>
        <w:contextualSpacing/>
        <w:jc w:val="both"/>
        <w:rPr>
          <w:i/>
          <w:color w:val="000000" w:themeColor="text1"/>
          <w:sz w:val="22"/>
          <w:szCs w:val="22"/>
          <w:rFonts w:asciiTheme="minorHAnsi" w:hAnsiTheme="minorHAnsi"/>
        </w:rPr>
      </w:pPr>
      <w:r>
        <w:rPr>
          <w:i/>
          <w:color w:val="000000" w:themeColor="text1"/>
          <w:sz w:val="22"/>
          <w:szCs w:val="22"/>
          <w:rFonts w:asciiTheme="minorHAnsi" w:hAnsiTheme="minorHAnsi"/>
        </w:rPr>
        <w:t xml:space="preserve">*L'agente uroselettivo con il minor rischio di ipotensione ortostatica è la silodosina;</w:t>
      </w:r>
      <w:r>
        <w:rPr>
          <w:i/>
          <w:color w:val="000000" w:themeColor="text1"/>
          <w:sz w:val="22"/>
          <w:szCs w:val="22"/>
          <w:rFonts w:asciiTheme="minorHAnsi" w:hAnsiTheme="minorHAnsi"/>
        </w:rPr>
        <w:t xml:space="preserve"> </w:t>
      </w:r>
    </w:p>
    <w:p w14:paraId="7A24E4F4" w14:textId="77777777" w:rsidR="00F11DEE" w:rsidRPr="00AE15DA" w:rsidRDefault="00F11DEE" w:rsidP="0043334F">
      <w:pPr>
        <w:spacing w:after="100" w:afterAutospacing="1"/>
        <w:contextualSpacing/>
        <w:jc w:val="both"/>
        <w:rPr>
          <w:i/>
          <w:sz w:val="22"/>
          <w:szCs w:val="22"/>
          <w:rFonts w:asciiTheme="minorHAnsi" w:hAnsiTheme="minorHAnsi"/>
        </w:rPr>
      </w:pPr>
      <w:r>
        <w:rPr>
          <w:i/>
          <w:sz w:val="22"/>
          <w:szCs w:val="22"/>
          <w:rFonts w:asciiTheme="minorHAnsi" w:hAnsiTheme="minorHAnsi"/>
        </w:rPr>
        <w:t xml:space="preserve">*I pazienti anziani trattati con alfa-1 bloccanti non uroselettivi devono essere informati del rischio di ipotensione ortostatica.</w:t>
      </w:r>
    </w:p>
    <w:p w14:paraId="1A6B33C2" w14:textId="1DD448FF" w:rsidR="00E456DB" w:rsidRDefault="00E456DB"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14:paraId="74012FDB" w14:textId="77777777" w:rsidR="00E85274" w:rsidRPr="00AE15DA" w:rsidRDefault="00E8527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1DAD61C9" w14:textId="77777777" w:rsidR="00415CD8" w:rsidRPr="00AE15DA" w:rsidRDefault="00415CD8" w:rsidP="0043334F">
      <w:pPr>
        <w:contextualSpacing/>
        <w:jc w:val="both"/>
        <w:rPr>
          <w:b/>
          <w:sz w:val="22"/>
          <w:szCs w:val="22"/>
          <w:rFonts w:asciiTheme="minorHAnsi" w:hAnsiTheme="minorHAnsi"/>
        </w:rPr>
      </w:pPr>
      <w:r>
        <w:rPr>
          <w:b/>
          <w:sz w:val="22"/>
          <w:szCs w:val="22"/>
          <w:rFonts w:asciiTheme="minorHAnsi" w:hAnsiTheme="minorHAnsi"/>
        </w:rPr>
        <w:t xml:space="preserve">F6.</w:t>
      </w:r>
      <w:r>
        <w:rPr>
          <w:b/>
          <w:sz w:val="22"/>
          <w:szCs w:val="22"/>
          <w:rFonts w:asciiTheme="minorHAnsi" w:hAnsiTheme="minorHAnsi"/>
        </w:rPr>
        <w:t xml:space="preserve"> </w:t>
      </w:r>
      <w:r>
        <w:rPr>
          <w:b/>
          <w:sz w:val="22"/>
          <w:szCs w:val="22"/>
          <w:rFonts w:asciiTheme="minorHAnsi" w:hAnsiTheme="minorHAnsi"/>
        </w:rPr>
        <w:t xml:space="preserve">L'uso di antibiotici non è appropriato nella batteriuria asintomatica, ad eccezione di interventi urologici che possono danneggiare la mucosa.</w:t>
      </w:r>
      <w:r>
        <w:rPr>
          <w:b/>
          <w:sz w:val="22"/>
          <w:szCs w:val="22"/>
          <w:rFonts w:asciiTheme="minorHAnsi" w:hAnsiTheme="minorHAnsi"/>
        </w:rPr>
        <w:t xml:space="preserve"> </w:t>
      </w:r>
    </w:p>
    <w:p w14:paraId="1F8D1A5D" w14:textId="77777777" w:rsidR="00F11DEE" w:rsidRPr="00AE15DA" w:rsidRDefault="00F11DEE" w:rsidP="0043334F">
      <w:pPr>
        <w:contextualSpacing/>
        <w:jc w:val="both"/>
        <w:rPr>
          <w:i/>
          <w:sz w:val="22"/>
          <w:szCs w:val="22"/>
          <w:rFonts w:asciiTheme="minorHAnsi" w:hAnsiTheme="minorHAnsi"/>
        </w:rPr>
      </w:pPr>
      <w:r>
        <w:rPr>
          <w:i/>
          <w:sz w:val="22"/>
          <w:szCs w:val="22"/>
          <w:rFonts w:asciiTheme="minorHAnsi" w:hAnsiTheme="minorHAnsi"/>
        </w:rPr>
        <w:t xml:space="preserve">*La batteriuria asintomatica deve essere vagliata e trattata prima di interventi urologici che possono danneggiare la mucosa.</w:t>
      </w:r>
      <w:r>
        <w:rPr>
          <w:i/>
          <w:sz w:val="22"/>
          <w:szCs w:val="22"/>
          <w:rFonts w:asciiTheme="minorHAnsi" w:hAnsiTheme="minorHAnsi"/>
        </w:rPr>
        <w:t xml:space="preserve"> </w:t>
      </w:r>
    </w:p>
    <w:p w14:paraId="03391A0F" w14:textId="77777777" w:rsidR="00F11DEE" w:rsidRPr="00AE15DA" w:rsidRDefault="00F11DEE" w:rsidP="0043334F">
      <w:pPr>
        <w:contextualSpacing/>
        <w:jc w:val="both"/>
        <w:rPr>
          <w:rStyle w:val="nowrap"/>
          <w:i/>
          <w:sz w:val="22"/>
          <w:szCs w:val="22"/>
          <w:shd w:val="clear" w:color="auto" w:fill="FFFFFF"/>
          <w:rFonts w:asciiTheme="minorHAnsi" w:hAnsiTheme="minorHAnsi"/>
        </w:rPr>
      </w:pPr>
      <w:r>
        <w:rPr>
          <w:rStyle w:val="nowrap"/>
          <w:i/>
          <w:sz w:val="22"/>
          <w:szCs w:val="22"/>
          <w:shd w:val="clear" w:color="auto" w:fill="FFFFFF"/>
          <w:rFonts w:asciiTheme="minorHAnsi" w:hAnsiTheme="minorHAnsi"/>
        </w:rPr>
        <w:t xml:space="preserve">*Non è raccomandato lo screening e/o il trattamento della batteriuria asintomatica nei seguenti gruppi di pazienti:</w:t>
      </w:r>
    </w:p>
    <w:p w14:paraId="40A974BC" w14:textId="77777777" w:rsidR="00F11DEE" w:rsidRPr="00AE15DA" w:rsidRDefault="00F11DEE" w:rsidP="0043334F">
      <w:pPr>
        <w:ind w:firstLine="708"/>
        <w:contextualSpacing/>
        <w:jc w:val="both"/>
        <w:rPr>
          <w:rStyle w:val="nowrap"/>
          <w:i/>
          <w:sz w:val="22"/>
          <w:szCs w:val="22"/>
          <w:shd w:val="clear" w:color="auto" w:fill="FFFFFF"/>
          <w:rFonts w:asciiTheme="minorHAnsi" w:hAnsiTheme="minorHAnsi"/>
        </w:rPr>
      </w:pPr>
      <w:r>
        <w:rPr>
          <w:rStyle w:val="nowrap"/>
          <w:i/>
          <w:sz w:val="22"/>
          <w:szCs w:val="22"/>
          <w:shd w:val="clear" w:color="auto" w:fill="FFFFFF"/>
          <w:rFonts w:asciiTheme="minorHAnsi" w:hAnsiTheme="minorHAnsi"/>
        </w:rPr>
        <w:t xml:space="preserve">Pazienti senza fattori di rischio</w:t>
      </w:r>
    </w:p>
    <w:p w14:paraId="3FF02E7C" w14:textId="77777777" w:rsidR="00F11DEE" w:rsidRPr="00AE15DA" w:rsidRDefault="00F11DEE" w:rsidP="0043334F">
      <w:pPr>
        <w:ind w:left="360" w:firstLine="348"/>
        <w:contextualSpacing/>
        <w:jc w:val="both"/>
        <w:rPr>
          <w:rStyle w:val="nowrap"/>
          <w:i/>
          <w:sz w:val="22"/>
          <w:szCs w:val="22"/>
          <w:shd w:val="clear" w:color="auto" w:fill="FFFFFF"/>
          <w:rFonts w:asciiTheme="minorHAnsi" w:hAnsiTheme="minorHAnsi"/>
        </w:rPr>
      </w:pPr>
      <w:r>
        <w:rPr>
          <w:rStyle w:val="nowrap"/>
          <w:i/>
          <w:sz w:val="22"/>
          <w:szCs w:val="22"/>
          <w:shd w:val="clear" w:color="auto" w:fill="FFFFFF"/>
          <w:rFonts w:asciiTheme="minorHAnsi" w:hAnsiTheme="minorHAnsi"/>
        </w:rPr>
        <w:t xml:space="preserve">Pazienti con diabete ben regolato</w:t>
      </w:r>
    </w:p>
    <w:p w14:paraId="7C3421E3" w14:textId="77777777" w:rsidR="00F11DEE" w:rsidRPr="00AE15DA" w:rsidRDefault="00F11DEE" w:rsidP="0043334F">
      <w:pPr>
        <w:ind w:left="360" w:firstLine="348"/>
        <w:contextualSpacing/>
        <w:jc w:val="both"/>
        <w:rPr>
          <w:rStyle w:val="nowrap"/>
          <w:i/>
          <w:sz w:val="22"/>
          <w:szCs w:val="22"/>
          <w:shd w:val="clear" w:color="auto" w:fill="FFFFFF"/>
          <w:rFonts w:asciiTheme="minorHAnsi" w:hAnsiTheme="minorHAnsi"/>
        </w:rPr>
      </w:pPr>
      <w:r>
        <w:rPr>
          <w:rStyle w:val="nowrap"/>
          <w:i/>
          <w:sz w:val="22"/>
          <w:szCs w:val="22"/>
          <w:shd w:val="clear" w:color="auto" w:fill="FFFFFF"/>
          <w:rFonts w:asciiTheme="minorHAnsi" w:hAnsiTheme="minorHAnsi"/>
        </w:rPr>
        <w:t xml:space="preserve">Pazienti che vivono in casa di cura</w:t>
      </w:r>
      <w:r>
        <w:rPr>
          <w:rStyle w:val="nowrap"/>
          <w:i/>
          <w:sz w:val="22"/>
          <w:szCs w:val="22"/>
          <w:shd w:val="clear" w:color="auto" w:fill="FFFFFF"/>
          <w:rFonts w:asciiTheme="minorHAnsi" w:hAnsiTheme="minorHAnsi"/>
        </w:rPr>
        <w:t xml:space="preserve"> </w:t>
      </w:r>
    </w:p>
    <w:p w14:paraId="7704EF4F" w14:textId="77777777" w:rsidR="00F11DEE" w:rsidRPr="00AE15DA" w:rsidRDefault="00F11DEE" w:rsidP="0043334F">
      <w:pPr>
        <w:ind w:firstLine="708"/>
        <w:contextualSpacing/>
        <w:jc w:val="both"/>
        <w:rPr>
          <w:i/>
          <w:sz w:val="22"/>
          <w:szCs w:val="22"/>
          <w:shd w:val="clear" w:color="auto" w:fill="FFFFFF"/>
          <w:rFonts w:asciiTheme="minorHAnsi" w:hAnsiTheme="minorHAnsi"/>
        </w:rPr>
      </w:pPr>
      <w:r>
        <w:rPr>
          <w:i/>
          <w:sz w:val="22"/>
          <w:szCs w:val="22"/>
          <w:shd w:val="clear" w:color="auto" w:fill="FFFFFF"/>
          <w:rFonts w:asciiTheme="minorHAnsi" w:hAnsiTheme="minorHAnsi"/>
        </w:rPr>
        <w:t xml:space="preserve">Pazienti con disfunzione/ricostruzione del tratto urinario inferiore</w:t>
      </w:r>
    </w:p>
    <w:p w14:paraId="135D8EA1" w14:textId="77777777" w:rsidR="00F11DEE" w:rsidRPr="00AE15DA" w:rsidRDefault="00F11DEE" w:rsidP="0043334F">
      <w:pPr>
        <w:ind w:firstLine="708"/>
        <w:contextualSpacing/>
        <w:jc w:val="both"/>
        <w:rPr>
          <w:i/>
          <w:sz w:val="22"/>
          <w:szCs w:val="22"/>
          <w:shd w:val="clear" w:color="auto" w:fill="FFFFFF"/>
          <w:rFonts w:asciiTheme="minorHAnsi" w:hAnsiTheme="minorHAnsi"/>
        </w:rPr>
      </w:pPr>
      <w:r>
        <w:rPr>
          <w:i/>
          <w:sz w:val="22"/>
          <w:szCs w:val="22"/>
          <w:shd w:val="clear" w:color="auto" w:fill="FFFFFF"/>
          <w:rFonts w:asciiTheme="minorHAnsi" w:hAnsiTheme="minorHAnsi"/>
        </w:rPr>
        <w:t xml:space="preserve">Pazienti con infezioni ricorrenti del tratto urinario</w:t>
      </w:r>
      <w:r>
        <w:rPr>
          <w:i/>
          <w:sz w:val="22"/>
          <w:szCs w:val="22"/>
          <w:shd w:val="clear" w:color="auto" w:fill="FFFFFF"/>
          <w:rFonts w:asciiTheme="minorHAnsi" w:hAnsiTheme="minorHAnsi"/>
        </w:rPr>
        <w:t xml:space="preserve"> </w:t>
      </w:r>
    </w:p>
    <w:p w14:paraId="073583BE" w14:textId="77777777" w:rsidR="00F11DEE" w:rsidRPr="00AE15DA" w:rsidRDefault="00F11DEE" w:rsidP="0043334F">
      <w:pPr>
        <w:ind w:firstLine="708"/>
        <w:contextualSpacing/>
        <w:jc w:val="both"/>
        <w:rPr>
          <w:i/>
          <w:sz w:val="22"/>
          <w:szCs w:val="22"/>
          <w:shd w:val="clear" w:color="auto" w:fill="FFFFFF"/>
          <w:rFonts w:asciiTheme="minorHAnsi" w:hAnsiTheme="minorHAnsi"/>
        </w:rPr>
      </w:pPr>
      <w:r>
        <w:rPr>
          <w:i/>
          <w:sz w:val="22"/>
          <w:szCs w:val="22"/>
          <w:shd w:val="clear" w:color="auto" w:fill="FFFFFF"/>
          <w:rFonts w:asciiTheme="minorHAnsi" w:hAnsiTheme="minorHAnsi"/>
        </w:rPr>
        <w:t xml:space="preserve">Prima di interventi di artroplastica</w:t>
      </w:r>
    </w:p>
    <w:p w14:paraId="2B0BCDEA" w14:textId="77777777" w:rsidR="00A11150" w:rsidRPr="00AE15DA" w:rsidRDefault="00A11150" w:rsidP="0043334F">
      <w:pPr>
        <w:ind w:firstLine="708"/>
        <w:contextualSpacing/>
        <w:jc w:val="both"/>
        <w:rPr>
          <w:i/>
          <w:color w:val="3B3838" w:themeColor="background2" w:themeShade="40"/>
          <w:sz w:val="22"/>
          <w:szCs w:val="22"/>
          <w:shd w:val="clear" w:color="auto" w:fill="FFFFFF"/>
          <w:rFonts w:asciiTheme="minorHAnsi" w:hAnsiTheme="minorHAnsi"/>
        </w:rPr>
      </w:pPr>
      <w:r>
        <w:rPr>
          <w:i/>
          <w:sz w:val="22"/>
          <w:szCs w:val="22"/>
          <w:shd w:val="clear" w:color="auto" w:fill="FFFFFF"/>
          <w:rFonts w:asciiTheme="minorHAnsi" w:hAnsiTheme="minorHAnsi"/>
        </w:rPr>
        <w:t xml:space="preserve">Pazienti con catetere urinario</w:t>
      </w:r>
    </w:p>
    <w:p w14:paraId="7EE76531" w14:textId="77777777" w:rsidR="00992E12" w:rsidRPr="00AE15DA" w:rsidRDefault="00992E12" w:rsidP="0043334F">
      <w:pPr>
        <w:contextualSpacing/>
        <w:jc w:val="both"/>
        <w:rPr>
          <w:rFonts w:asciiTheme="minorHAnsi" w:hAnsiTheme="minorHAnsi"/>
          <w:b/>
          <w:sz w:val="22"/>
          <w:szCs w:val="22"/>
        </w:rPr>
      </w:pPr>
    </w:p>
    <w:p w14:paraId="0B584681" w14:textId="77777777" w:rsidR="00F327A4" w:rsidRPr="00AE15DA" w:rsidRDefault="00F327A4" w:rsidP="0043334F">
      <w:pPr>
        <w:contextualSpacing/>
        <w:jc w:val="both"/>
        <w:rPr>
          <w:rFonts w:asciiTheme="minorHAnsi" w:hAnsiTheme="minorHAnsi"/>
          <w:b/>
          <w:color w:val="000000"/>
          <w:sz w:val="22"/>
          <w:szCs w:val="22"/>
        </w:rPr>
      </w:pPr>
    </w:p>
    <w:p w14:paraId="54957537" w14:textId="77777777" w:rsidR="00415CD8" w:rsidRPr="00AE15DA" w:rsidRDefault="00415CD8" w:rsidP="0043334F">
      <w:pPr>
        <w:contextualSpacing/>
        <w:jc w:val="both"/>
        <w:rPr>
          <w:color w:val="000000"/>
          <w:sz w:val="22"/>
          <w:szCs w:val="22"/>
          <w:rFonts w:asciiTheme="minorHAnsi" w:hAnsiTheme="minorHAnsi"/>
        </w:rPr>
      </w:pPr>
      <w:r>
        <w:rPr>
          <w:b/>
          <w:color w:val="000000"/>
          <w:sz w:val="22"/>
          <w:szCs w:val="22"/>
          <w:rFonts w:asciiTheme="minorHAnsi" w:hAnsiTheme="minorHAnsi"/>
        </w:rPr>
        <w:t xml:space="preserve">F7.</w:t>
      </w:r>
      <w:r>
        <w:rPr>
          <w:b/>
          <w:color w:val="000000"/>
          <w:sz w:val="22"/>
          <w:szCs w:val="22"/>
          <w:rFonts w:asciiTheme="minorHAnsi" w:hAnsiTheme="minorHAnsi"/>
        </w:rPr>
        <w:t xml:space="preserve"> </w:t>
      </w:r>
      <w:r>
        <w:rPr>
          <w:b/>
          <w:color w:val="000000"/>
          <w:sz w:val="22"/>
          <w:szCs w:val="22"/>
          <w:rFonts w:asciiTheme="minorHAnsi" w:hAnsiTheme="minorHAnsi"/>
        </w:rPr>
        <w:t xml:space="preserve">La nitrofurantoina non è adatta per l'uso in pazienti con GFR &lt; 30 ml/min/1,73 m2</w:t>
      </w:r>
    </w:p>
    <w:p w14:paraId="04BE9B39" w14:textId="77777777" w:rsidR="00415CD8" w:rsidRPr="00AE15DA" w:rsidRDefault="00415CD8" w:rsidP="0043334F">
      <w:pPr>
        <w:autoSpaceDE w:val="0"/>
        <w:autoSpaceDN w:val="0"/>
        <w:adjustRightInd w:val="0"/>
        <w:contextualSpacing/>
        <w:jc w:val="both"/>
        <w:rPr>
          <w:i/>
          <w:color w:val="000000"/>
          <w:sz w:val="22"/>
          <w:szCs w:val="22"/>
          <w:rFonts w:asciiTheme="minorHAnsi" w:hAnsiTheme="minorHAnsi"/>
        </w:rPr>
      </w:pPr>
      <w:r>
        <w:rPr>
          <w:color w:val="000000"/>
          <w:sz w:val="22"/>
          <w:szCs w:val="22"/>
          <w:rFonts w:asciiTheme="minorHAnsi" w:hAnsiTheme="minorHAnsi"/>
        </w:rPr>
        <w:t xml:space="preserve">*L'uso a lungo termine della nitrofurantoina per il trattamento di soppressione delle infezioni urinarie non è adatto negli anziani (a causa del rischio di fibrosi polmonare irreversibile, tossicità epatica e neuropatia periferica nell'uso a lungo termine)</w:t>
      </w:r>
    </w:p>
    <w:p w14:paraId="1F557DD3" w14:textId="77777777" w:rsidR="00FA465E" w:rsidRPr="00AE15DA" w:rsidRDefault="00FA465E" w:rsidP="0043334F">
      <w:pPr>
        <w:autoSpaceDE w:val="0"/>
        <w:autoSpaceDN w:val="0"/>
        <w:adjustRightInd w:val="0"/>
        <w:contextualSpacing/>
        <w:jc w:val="both"/>
        <w:rPr>
          <w:rFonts w:asciiTheme="minorHAnsi" w:hAnsiTheme="minorHAnsi"/>
          <w:i/>
          <w:color w:val="000000"/>
          <w:sz w:val="22"/>
          <w:szCs w:val="22"/>
        </w:rPr>
      </w:pPr>
    </w:p>
    <w:p w14:paraId="36C67BF4" w14:textId="77777777" w:rsidR="002F3D1A" w:rsidRPr="00AE15DA" w:rsidRDefault="002F3D1A" w:rsidP="0043334F">
      <w:pPr>
        <w:contextualSpacing/>
        <w:jc w:val="both"/>
        <w:rPr>
          <w:rFonts w:asciiTheme="minorHAnsi" w:hAnsiTheme="minorHAnsi"/>
          <w:b/>
          <w:i/>
          <w:color w:val="4472C4" w:themeColor="accent5"/>
          <w:sz w:val="22"/>
          <w:szCs w:val="22"/>
          <w:u w:val="single"/>
        </w:rPr>
      </w:pPr>
    </w:p>
    <w:p w14:paraId="7BB1223E" w14:textId="77777777" w:rsidR="004816D3" w:rsidRPr="00AE15DA" w:rsidRDefault="007C70E3" w:rsidP="0043334F">
      <w:pPr>
        <w:contextualSpacing/>
        <w:jc w:val="both"/>
        <w:rPr>
          <w:b/>
          <w:sz w:val="28"/>
          <w:szCs w:val="28"/>
          <w:rFonts w:asciiTheme="minorHAnsi" w:hAnsiTheme="minorHAnsi"/>
        </w:rPr>
      </w:pPr>
      <w:r>
        <w:rPr>
          <w:b/>
          <w:sz w:val="28"/>
          <w:szCs w:val="28"/>
          <w:rFonts w:asciiTheme="minorHAnsi" w:hAnsiTheme="minorHAnsi"/>
        </w:rPr>
        <w:t xml:space="preserve">G:</w:t>
      </w:r>
      <w:r>
        <w:rPr>
          <w:b/>
          <w:sz w:val="28"/>
          <w:szCs w:val="28"/>
          <w:rFonts w:asciiTheme="minorHAnsi" w:hAnsiTheme="minorHAnsi"/>
        </w:rPr>
        <w:t xml:space="preserve"> </w:t>
      </w:r>
      <w:r>
        <w:rPr>
          <w:b/>
          <w:sz w:val="28"/>
          <w:szCs w:val="28"/>
          <w:rFonts w:asciiTheme="minorHAnsi" w:hAnsiTheme="minorHAnsi"/>
        </w:rPr>
        <w:t xml:space="preserve">Criteri del sistema endocrino.</w:t>
      </w:r>
    </w:p>
    <w:p w14:paraId="557BA9E5" w14:textId="77777777" w:rsidR="007C70E3" w:rsidRPr="00AE15DA" w:rsidRDefault="007C70E3" w:rsidP="0043334F">
      <w:pPr>
        <w:contextualSpacing/>
        <w:jc w:val="both"/>
        <w:rPr>
          <w:rFonts w:asciiTheme="minorHAnsi" w:hAnsiTheme="minorHAnsi"/>
          <w:b/>
          <w:sz w:val="28"/>
          <w:szCs w:val="28"/>
        </w:rPr>
      </w:pPr>
    </w:p>
    <w:p w14:paraId="7B286138" w14:textId="77777777" w:rsidR="0043334F" w:rsidRPr="00AE15DA" w:rsidRDefault="00415CD8"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G1.</w:t>
      </w:r>
      <w:r>
        <w:rPr>
          <w:b/>
          <w:sz w:val="22"/>
          <w:szCs w:val="22"/>
          <w:rFonts w:asciiTheme="minorHAnsi" w:hAnsiTheme="minorHAnsi"/>
        </w:rPr>
        <w:t xml:space="preserve"> </w:t>
      </w:r>
      <w:r>
        <w:rPr>
          <w:b/>
          <w:sz w:val="22"/>
          <w:szCs w:val="22"/>
          <w:rFonts w:asciiTheme="minorHAnsi" w:hAnsiTheme="minorHAnsi"/>
        </w:rPr>
        <w:t xml:space="preserve">Il controllo stretto della glicemia (HbA1C&lt;7%) non è appropriato nei pazienti con una bassa aspettativa di vita (&lt;5 anni) o una storia di declino o deterioramento cognitivo.</w:t>
      </w:r>
    </w:p>
    <w:p w14:paraId="58B66C74" w14:textId="77777777" w:rsidR="00E456DB" w:rsidRPr="00AE15DA" w:rsidRDefault="00E456DB" w:rsidP="0043334F">
      <w:pPr>
        <w:autoSpaceDE w:val="0"/>
        <w:autoSpaceDN w:val="0"/>
        <w:adjustRightInd w:val="0"/>
        <w:contextualSpacing/>
        <w:jc w:val="both"/>
        <w:rPr>
          <w:rFonts w:asciiTheme="minorHAnsi" w:hAnsiTheme="minorHAnsi"/>
          <w:b/>
          <w:sz w:val="22"/>
          <w:szCs w:val="22"/>
        </w:rPr>
      </w:pPr>
    </w:p>
    <w:p w14:paraId="696B7C06" w14:textId="77777777" w:rsidR="002F3D1A" w:rsidRPr="00AE15DA" w:rsidRDefault="002F3D1A" w:rsidP="0043334F">
      <w:pPr>
        <w:autoSpaceDE w:val="0"/>
        <w:autoSpaceDN w:val="0"/>
        <w:adjustRightInd w:val="0"/>
        <w:contextualSpacing/>
        <w:jc w:val="both"/>
        <w:rPr>
          <w:rFonts w:asciiTheme="minorHAnsi" w:hAnsiTheme="minorHAnsi"/>
          <w:b/>
          <w:sz w:val="22"/>
          <w:szCs w:val="22"/>
        </w:rPr>
      </w:pPr>
    </w:p>
    <w:p w14:paraId="5B81E2DF" w14:textId="541327CB" w:rsidR="00DF1C70" w:rsidRPr="00AE15DA" w:rsidRDefault="00E66E29" w:rsidP="0043334F">
      <w:pPr>
        <w:autoSpaceDE w:val="0"/>
        <w:autoSpaceDN w:val="0"/>
        <w:adjustRightInd w:val="0"/>
        <w:contextualSpacing/>
        <w:jc w:val="both"/>
        <w:rPr>
          <w:b/>
          <w:sz w:val="22"/>
          <w:szCs w:val="22"/>
          <w:rFonts w:asciiTheme="minorHAnsi" w:hAnsiTheme="minorHAnsi"/>
        </w:rPr>
      </w:pPr>
      <w:r>
        <w:rPr>
          <w:b/>
          <w:sz w:val="22"/>
          <w:szCs w:val="22"/>
          <w:rFonts w:ascii="Calibri" w:hAnsi="Calibri"/>
        </w:rPr>
        <w:t xml:space="preserve">#</w:t>
      </w:r>
      <w:r>
        <w:rPr>
          <w:b/>
          <w:sz w:val="22"/>
          <w:szCs w:val="22"/>
          <w:rFonts w:asciiTheme="minorHAnsi" w:hAnsiTheme="minorHAnsi"/>
        </w:rPr>
        <w:t xml:space="preserve">G2.</w:t>
      </w:r>
      <w:r>
        <w:rPr>
          <w:b/>
          <w:sz w:val="22"/>
          <w:szCs w:val="22"/>
          <w:rFonts w:asciiTheme="minorHAnsi" w:hAnsiTheme="minorHAnsi"/>
        </w:rPr>
        <w:t xml:space="preserve"> </w:t>
      </w:r>
      <w:r>
        <w:rPr>
          <w:b/>
          <w:sz w:val="22"/>
          <w:szCs w:val="22"/>
          <w:rFonts w:asciiTheme="minorHAnsi" w:hAnsiTheme="minorHAnsi"/>
        </w:rPr>
        <w:t xml:space="preserve">L'uso della metformina non è appropriato negli anziani fragili o malnutriti (a causa degli effetti collaterali gastrointestinali e dell'effetto anoressia della metformina)</w:t>
      </w:r>
    </w:p>
    <w:p w14:paraId="20E9660C" w14:textId="77777777" w:rsidR="00415CD8" w:rsidRPr="00AE15DA" w:rsidRDefault="00415CD8" w:rsidP="0043334F">
      <w:pPr>
        <w:contextualSpacing/>
        <w:jc w:val="both"/>
        <w:rPr>
          <w:i/>
          <w:sz w:val="22"/>
          <w:szCs w:val="22"/>
          <w:rFonts w:asciiTheme="minorHAnsi" w:hAnsiTheme="minorHAnsi"/>
        </w:rPr>
      </w:pPr>
      <w:r>
        <w:rPr>
          <w:i/>
          <w:sz w:val="22"/>
          <w:szCs w:val="22"/>
          <w:rFonts w:asciiTheme="minorHAnsi" w:hAnsiTheme="minorHAnsi"/>
        </w:rPr>
        <w:t xml:space="preserve">*L'uso della metformina nei casi a rischio di malnutrizione dovrebbe essere deciso considerando il bilancio tra profitti e perdite.</w:t>
      </w:r>
    </w:p>
    <w:p w14:paraId="34FC9674" w14:textId="77777777" w:rsidR="00850F9D" w:rsidRPr="00AE15DA" w:rsidRDefault="00850F9D" w:rsidP="0043334F">
      <w:pPr>
        <w:contextualSpacing/>
        <w:jc w:val="both"/>
        <w:rPr>
          <w:rFonts w:asciiTheme="minorHAnsi" w:hAnsiTheme="minorHAnsi"/>
          <w:i/>
          <w:sz w:val="22"/>
          <w:szCs w:val="22"/>
        </w:rPr>
      </w:pPr>
    </w:p>
    <w:p w14:paraId="2F95F3EB" w14:textId="77777777" w:rsidR="002F3D1A" w:rsidRPr="00AE15DA" w:rsidRDefault="002F3D1A" w:rsidP="0043334F">
      <w:pPr>
        <w:autoSpaceDE w:val="0"/>
        <w:autoSpaceDN w:val="0"/>
        <w:adjustRightInd w:val="0"/>
        <w:contextualSpacing/>
        <w:jc w:val="both"/>
        <w:rPr>
          <w:rFonts w:asciiTheme="minorHAnsi" w:hAnsiTheme="minorHAnsi" w:cstheme="minorHAnsi"/>
          <w:color w:val="000000"/>
          <w:sz w:val="22"/>
          <w:szCs w:val="22"/>
        </w:rPr>
      </w:pPr>
    </w:p>
    <w:p w14:paraId="7C817DCB" w14:textId="77777777" w:rsidR="00415CD8" w:rsidRPr="00AE15DA" w:rsidRDefault="00415CD8" w:rsidP="0043334F">
      <w:pPr>
        <w:autoSpaceDE w:val="0"/>
        <w:autoSpaceDN w:val="0"/>
        <w:adjustRightInd w:val="0"/>
        <w:contextualSpacing/>
        <w:jc w:val="both"/>
        <w:rPr>
          <w:color w:val="000000"/>
          <w:sz w:val="22"/>
          <w:szCs w:val="22"/>
          <w:rFonts w:asciiTheme="minorHAnsi" w:hAnsiTheme="minorHAnsi" w:cstheme="minorHAnsi"/>
        </w:rPr>
      </w:pPr>
      <w:r>
        <w:rPr>
          <w:b/>
          <w:sz w:val="22"/>
          <w:szCs w:val="22"/>
          <w:rFonts w:asciiTheme="minorHAnsi" w:hAnsiTheme="minorHAnsi"/>
        </w:rPr>
        <w:t xml:space="preserve">G3.</w:t>
      </w:r>
      <w:r>
        <w:rPr>
          <w:b/>
          <w:sz w:val="22"/>
          <w:szCs w:val="22"/>
          <w:rFonts w:asciiTheme="minorHAnsi" w:hAnsiTheme="minorHAnsi"/>
        </w:rPr>
        <w:t xml:space="preserve"> </w:t>
      </w:r>
      <w:r>
        <w:rPr>
          <w:b/>
          <w:sz w:val="22"/>
          <w:szCs w:val="22"/>
          <w:rFonts w:asciiTheme="minorHAnsi" w:hAnsiTheme="minorHAnsi"/>
        </w:rPr>
        <w:t xml:space="preserve">La metformina non è adatta per l'uso in pazienti con GFR &lt; 30 ml/min/1,73 m2 (rischio di acidosi lattica)</w:t>
      </w:r>
      <w:r>
        <w:rPr>
          <w:b/>
          <w:sz w:val="22"/>
          <w:szCs w:val="22"/>
          <w:rFonts w:asciiTheme="minorHAnsi" w:hAnsiTheme="minorHAnsi"/>
        </w:rPr>
        <w:t xml:space="preserve"> </w:t>
      </w:r>
    </w:p>
    <w:p w14:paraId="0EC3D853" w14:textId="77777777" w:rsidR="00415CD8" w:rsidRPr="00AE15DA" w:rsidRDefault="00415CD8" w:rsidP="0043334F">
      <w:pPr>
        <w:contextualSpacing/>
        <w:jc w:val="both"/>
        <w:rPr>
          <w:i/>
          <w:sz w:val="22"/>
          <w:szCs w:val="22"/>
          <w:rFonts w:asciiTheme="minorHAnsi" w:hAnsiTheme="minorHAnsi"/>
        </w:rPr>
      </w:pPr>
      <w:r>
        <w:rPr>
          <w:i/>
          <w:sz w:val="22"/>
          <w:szCs w:val="22"/>
          <w:rFonts w:asciiTheme="minorHAnsi" w:hAnsiTheme="minorHAnsi"/>
        </w:rPr>
        <w:t xml:space="preserve">*Dose di metformina, GFR:</w:t>
      </w:r>
      <w:r>
        <w:rPr>
          <w:i/>
          <w:sz w:val="22"/>
          <w:szCs w:val="22"/>
          <w:rFonts w:asciiTheme="minorHAnsi" w:hAnsiTheme="minorHAnsi"/>
        </w:rPr>
        <w:t xml:space="preserve"> </w:t>
      </w:r>
      <w:r>
        <w:rPr>
          <w:i/>
          <w:sz w:val="22"/>
          <w:szCs w:val="22"/>
          <w:rFonts w:asciiTheme="minorHAnsi" w:hAnsiTheme="minorHAnsi"/>
        </w:rPr>
        <w:t xml:space="preserve">dovrebbe essere ridotto del 50% nei pazienti con 30-45 ml/min/1,73 m2.</w:t>
      </w:r>
    </w:p>
    <w:p w14:paraId="0A4E9A22" w14:textId="77777777" w:rsidR="002F3D1A" w:rsidRPr="00AE15DA" w:rsidRDefault="00EE6325" w:rsidP="0043334F">
      <w:pPr>
        <w:contextualSpacing/>
        <w:jc w:val="both"/>
        <w:rPr>
          <w:i/>
          <w:sz w:val="22"/>
          <w:szCs w:val="22"/>
          <w:rFonts w:asciiTheme="minorHAnsi" w:hAnsiTheme="minorHAnsi"/>
        </w:rPr>
      </w:pPr>
      <w:r>
        <w:rPr>
          <w:i/>
          <w:sz w:val="22"/>
          <w:szCs w:val="22"/>
          <w:rFonts w:asciiTheme="minorHAnsi" w:hAnsiTheme="minorHAnsi"/>
        </w:rPr>
        <w:t xml:space="preserve">* L'uso della metformina non è inoltre appropriato in altre condizioni che aumentano il rischio di acidosi lattica (insufficienza cardiaca, insufficienza epatica, shock o instabilità emodinamica permanente, KOAH, ipossia).</w:t>
      </w:r>
    </w:p>
    <w:p w14:paraId="047BC3C0" w14:textId="77777777" w:rsidR="002F3D1A" w:rsidRPr="00AE15DA" w:rsidRDefault="002F3D1A" w:rsidP="0043334F">
      <w:pPr>
        <w:contextualSpacing/>
        <w:jc w:val="both"/>
        <w:rPr>
          <w:rFonts w:asciiTheme="minorHAnsi" w:hAnsiTheme="minorHAnsi"/>
          <w:i/>
          <w:sz w:val="22"/>
          <w:szCs w:val="22"/>
        </w:rPr>
      </w:pPr>
    </w:p>
    <w:p w14:paraId="34226871" w14:textId="77777777" w:rsidR="002F3D1A" w:rsidRPr="00AE15DA" w:rsidRDefault="002F3D1A" w:rsidP="0043334F">
      <w:pPr>
        <w:contextualSpacing/>
        <w:jc w:val="both"/>
        <w:rPr>
          <w:rFonts w:asciiTheme="minorHAnsi" w:hAnsiTheme="minorHAnsi" w:cstheme="minorHAnsi"/>
          <w:color w:val="000000"/>
          <w:sz w:val="22"/>
          <w:szCs w:val="22"/>
        </w:rPr>
      </w:pPr>
    </w:p>
    <w:p w14:paraId="270D9490" w14:textId="77777777" w:rsidR="002F3D1A" w:rsidRPr="00AE15DA" w:rsidRDefault="00415CD8" w:rsidP="0043334F">
      <w:pPr>
        <w:contextualSpacing/>
        <w:jc w:val="both"/>
        <w:rPr>
          <w:color w:val="000000"/>
          <w:sz w:val="22"/>
          <w:szCs w:val="22"/>
          <w:rFonts w:asciiTheme="minorHAnsi" w:hAnsiTheme="minorHAnsi" w:cstheme="minorHAnsi"/>
        </w:rPr>
      </w:pPr>
      <w:r>
        <w:rPr>
          <w:b/>
          <w:sz w:val="22"/>
          <w:szCs w:val="22"/>
          <w:rFonts w:asciiTheme="minorHAnsi" w:hAnsiTheme="minorHAnsi"/>
        </w:rPr>
        <w:t xml:space="preserve">G4.</w:t>
      </w:r>
      <w:r>
        <w:rPr>
          <w:b/>
          <w:sz w:val="22"/>
          <w:szCs w:val="22"/>
          <w:rFonts w:asciiTheme="minorHAnsi" w:hAnsiTheme="minorHAnsi"/>
        </w:rPr>
        <w:t xml:space="preserve"> </w:t>
      </w:r>
      <w:r>
        <w:rPr>
          <w:b/>
          <w:sz w:val="22"/>
          <w:szCs w:val="22"/>
          <w:rFonts w:asciiTheme="minorHAnsi" w:hAnsiTheme="minorHAnsi"/>
        </w:rPr>
        <w:t xml:space="preserve">Le sulfaniluree a lunga durata d'azione come la glibenclamide e la clorpropamide non sono adatte per i pazienti con DM di tipo 2 (rischio prolungato di ipoglicemia).</w:t>
      </w:r>
    </w:p>
    <w:p w14:paraId="4F09262A" w14:textId="77777777" w:rsidR="002F3D1A" w:rsidRPr="00AE15DA" w:rsidRDefault="002F3D1A" w:rsidP="0043334F">
      <w:pPr>
        <w:contextualSpacing/>
        <w:jc w:val="both"/>
        <w:rPr>
          <w:rFonts w:asciiTheme="minorHAnsi" w:hAnsiTheme="minorHAnsi" w:cstheme="minorHAnsi"/>
          <w:color w:val="000000"/>
          <w:sz w:val="22"/>
          <w:szCs w:val="22"/>
        </w:rPr>
      </w:pPr>
    </w:p>
    <w:p w14:paraId="11C38558" w14:textId="77777777"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14DF3FE9" w14:textId="77777777" w:rsidR="002F3D1A" w:rsidRPr="00AE15DA" w:rsidRDefault="00415CD8"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2"/>
          <w:szCs w:val="22"/>
          <w:rFonts w:asciiTheme="minorHAnsi" w:hAnsiTheme="minorHAnsi" w:cstheme="minorHAnsi"/>
        </w:rPr>
      </w:pPr>
      <w:r>
        <w:rPr>
          <w:b/>
          <w:sz w:val="22"/>
          <w:szCs w:val="22"/>
          <w:rFonts w:asciiTheme="minorHAnsi" w:hAnsiTheme="minorHAnsi"/>
        </w:rPr>
        <w:t xml:space="preserve">G5.</w:t>
      </w:r>
      <w:r>
        <w:rPr>
          <w:b/>
          <w:sz w:val="22"/>
          <w:szCs w:val="22"/>
          <w:rFonts w:asciiTheme="minorHAnsi" w:hAnsiTheme="minorHAnsi"/>
        </w:rPr>
        <w:t xml:space="preserve"> </w:t>
      </w:r>
      <w:r>
        <w:rPr>
          <w:b/>
          <w:sz w:val="22"/>
          <w:szCs w:val="22"/>
          <w:rFonts w:asciiTheme="minorHAnsi" w:hAnsiTheme="minorHAnsi"/>
        </w:rPr>
        <w:t xml:space="preserve">L'uso di tiazolidinedioni (rosiglitazone, pioglitazone) non è appropriato in pazienti con insufficienza cardiaca documentata/storia di fratture/aumento del rischio di fratture/storia di cancro della vescica o in terapia insulinica (peggioramento dell'insufficienza cardiaca, aumento del rischio di fratture e cancro della vescica)</w:t>
      </w:r>
      <w:r>
        <w:rPr>
          <w:b/>
          <w:sz w:val="22"/>
          <w:szCs w:val="22"/>
          <w:rFonts w:asciiTheme="minorHAnsi" w:hAnsiTheme="minorHAnsi"/>
        </w:rPr>
        <w:t xml:space="preserve"> </w:t>
      </w:r>
    </w:p>
    <w:p w14:paraId="53A3974C" w14:textId="77777777"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48CD0224" w14:textId="77777777" w:rsidR="00730686" w:rsidRPr="00AE15DA" w:rsidRDefault="00730686" w:rsidP="0043334F">
      <w:pPr>
        <w:spacing w:before="100" w:beforeAutospacing="1" w:after="100" w:afterAutospacing="1"/>
        <w:contextualSpacing/>
        <w:jc w:val="both"/>
        <w:rPr>
          <w:rFonts w:asciiTheme="minorHAnsi" w:hAnsiTheme="minorHAnsi"/>
          <w:sz w:val="22"/>
          <w:szCs w:val="22"/>
          <w:vertAlign w:val="superscript"/>
        </w:rPr>
      </w:pPr>
    </w:p>
    <w:p w14:paraId="298EA8DC" w14:textId="77777777" w:rsidR="002F3D1A" w:rsidRPr="00AE15DA" w:rsidRDefault="00730686" w:rsidP="0043334F">
      <w:pPr>
        <w:contextualSpacing/>
        <w:rPr>
          <w:b/>
          <w:sz w:val="22"/>
          <w:szCs w:val="22"/>
          <w:rFonts w:asciiTheme="minorHAnsi" w:hAnsiTheme="minorHAnsi"/>
        </w:rPr>
      </w:pPr>
      <w:r>
        <w:rPr>
          <w:b/>
          <w:sz w:val="22"/>
          <w:szCs w:val="22"/>
          <w:rFonts w:asciiTheme="minorHAnsi" w:hAnsiTheme="minorHAnsi"/>
        </w:rPr>
        <w:t xml:space="preserve">G6.</w:t>
      </w:r>
      <w:r>
        <w:rPr>
          <w:b/>
          <w:sz w:val="22"/>
          <w:szCs w:val="22"/>
          <w:rFonts w:asciiTheme="minorHAnsi" w:hAnsiTheme="minorHAnsi"/>
        </w:rPr>
        <w:t xml:space="preserve"> </w:t>
      </w:r>
      <w:r>
        <w:rPr>
          <w:b/>
          <w:sz w:val="22"/>
          <w:szCs w:val="22"/>
          <w:rFonts w:asciiTheme="minorHAnsi" w:hAnsiTheme="minorHAnsi"/>
        </w:rPr>
        <w:t xml:space="preserve">L'uso di saxagliptin non è appropriato nei pazienti con insufficienza cardiaca.</w:t>
      </w:r>
    </w:p>
    <w:p w14:paraId="60F0D603" w14:textId="77777777" w:rsidR="002F3D1A" w:rsidRPr="00AE15DA" w:rsidRDefault="002F3D1A" w:rsidP="0043334F">
      <w:pPr>
        <w:contextualSpacing/>
        <w:rPr>
          <w:rFonts w:asciiTheme="minorHAnsi" w:hAnsiTheme="minorHAnsi"/>
          <w:b/>
          <w:sz w:val="22"/>
          <w:szCs w:val="22"/>
        </w:rPr>
      </w:pPr>
    </w:p>
    <w:p w14:paraId="5FD32A45" w14:textId="77777777" w:rsidR="009D067B" w:rsidRPr="00AE15DA" w:rsidRDefault="009D067B" w:rsidP="0043334F">
      <w:pPr>
        <w:pStyle w:val="HTMLncedenBiimlendirilmi"/>
        <w:contextualSpacing/>
        <w:jc w:val="both"/>
        <w:rPr>
          <w:rFonts w:asciiTheme="minorHAnsi" w:hAnsiTheme="minorHAnsi" w:cstheme="minorHAnsi"/>
          <w:color w:val="000000"/>
          <w:sz w:val="22"/>
          <w:szCs w:val="22"/>
        </w:rPr>
      </w:pPr>
    </w:p>
    <w:p w14:paraId="5DD1BCAC" w14:textId="77777777" w:rsidR="00730686" w:rsidRPr="00AE15DA" w:rsidRDefault="00730686" w:rsidP="0043334F">
      <w:pPr>
        <w:contextualSpacing/>
        <w:rPr>
          <w:b/>
          <w:sz w:val="22"/>
          <w:szCs w:val="22"/>
          <w:rFonts w:asciiTheme="minorHAnsi" w:hAnsiTheme="minorHAnsi"/>
        </w:rPr>
      </w:pPr>
      <w:r>
        <w:rPr>
          <w:b/>
          <w:sz w:val="22"/>
          <w:szCs w:val="22"/>
          <w:rFonts w:asciiTheme="minorHAnsi" w:hAnsiTheme="minorHAnsi"/>
        </w:rPr>
        <w:t xml:space="preserve">G7.</w:t>
      </w:r>
      <w:r>
        <w:rPr>
          <w:b/>
          <w:sz w:val="22"/>
          <w:szCs w:val="22"/>
          <w:rFonts w:asciiTheme="minorHAnsi" w:hAnsiTheme="minorHAnsi"/>
        </w:rPr>
        <w:t xml:space="preserve"> </w:t>
      </w:r>
      <w:r>
        <w:rPr>
          <w:b/>
          <w:sz w:val="22"/>
          <w:szCs w:val="22"/>
          <w:rFonts w:asciiTheme="minorHAnsi" w:hAnsiTheme="minorHAnsi"/>
        </w:rPr>
        <w:t xml:space="preserve">Canagliflozin non è adatto per l'uso in pazienti con complicanze dell'amputazione degli arti inferiori correlate al diabete/grave malattia delle arterie periferiche/infezione ricorrente del tratto urinario/infezione genito-urinaria</w:t>
      </w:r>
    </w:p>
    <w:p w14:paraId="524000C7" w14:textId="77777777" w:rsidR="00D0519F" w:rsidRPr="00AE15DA" w:rsidRDefault="00730686" w:rsidP="0043334F">
      <w:pPr>
        <w:contextualSpacing/>
        <w:rPr>
          <w:i/>
          <w:sz w:val="22"/>
          <w:szCs w:val="22"/>
          <w:rFonts w:asciiTheme="minorHAnsi" w:hAnsiTheme="minorHAnsi"/>
        </w:rPr>
      </w:pPr>
      <w:r>
        <w:rPr>
          <w:sz w:val="22"/>
          <w:szCs w:val="22"/>
          <w:rFonts w:asciiTheme="minorHAnsi" w:hAnsiTheme="minorHAnsi"/>
        </w:rPr>
        <w:t xml:space="preserve">*Gli inibitori dell'SGLT-2 devono essere generalmente usati con cautela nei pazienti anziani, poiché possono causare disidratazione, incontinenza da urgenza e chetoacidosi diabetica.</w:t>
      </w:r>
      <w:r>
        <w:rPr>
          <w:sz w:val="22"/>
          <w:szCs w:val="22"/>
          <w:i/>
          <w:rFonts w:asciiTheme="minorHAnsi" w:hAnsiTheme="minorHAnsi"/>
        </w:rPr>
        <w:t xml:space="preserve"> </w:t>
      </w:r>
    </w:p>
    <w:p w14:paraId="7C6ABA84" w14:textId="77777777" w:rsidR="00457080" w:rsidRPr="00AE15DA" w:rsidRDefault="00457080" w:rsidP="0043334F">
      <w:pPr>
        <w:contextualSpacing/>
        <w:rPr>
          <w:rFonts w:asciiTheme="minorHAnsi" w:hAnsiTheme="minorHAnsi"/>
          <w:i/>
          <w:sz w:val="22"/>
          <w:szCs w:val="22"/>
        </w:rPr>
      </w:pPr>
    </w:p>
    <w:p w14:paraId="609543F5" w14:textId="77777777" w:rsidR="00457080" w:rsidRPr="00AE15DA" w:rsidRDefault="00457080" w:rsidP="0043334F">
      <w:pPr>
        <w:contextualSpacing/>
        <w:rPr>
          <w:rFonts w:asciiTheme="minorHAnsi" w:hAnsiTheme="minorHAnsi"/>
          <w:i/>
          <w:sz w:val="22"/>
          <w:szCs w:val="22"/>
        </w:rPr>
      </w:pPr>
    </w:p>
    <w:p w14:paraId="60058F4C" w14:textId="77777777" w:rsidR="00730686" w:rsidRPr="00AE15DA" w:rsidRDefault="00730686" w:rsidP="0043334F">
      <w:pPr>
        <w:autoSpaceDE w:val="0"/>
        <w:autoSpaceDN w:val="0"/>
        <w:adjustRightInd w:val="0"/>
        <w:contextualSpacing/>
        <w:rPr>
          <w:b/>
          <w:sz w:val="22"/>
          <w:szCs w:val="22"/>
          <w:rFonts w:asciiTheme="minorHAnsi" w:hAnsiTheme="minorHAnsi"/>
        </w:rPr>
      </w:pPr>
      <w:r>
        <w:rPr>
          <w:b/>
          <w:sz w:val="22"/>
          <w:szCs w:val="22"/>
          <w:rFonts w:asciiTheme="minorHAnsi" w:hAnsiTheme="minorHAnsi"/>
        </w:rPr>
        <w:t xml:space="preserve">G8.</w:t>
      </w:r>
      <w:r>
        <w:rPr>
          <w:b/>
          <w:sz w:val="22"/>
          <w:szCs w:val="22"/>
          <w:rFonts w:asciiTheme="minorHAnsi" w:hAnsiTheme="minorHAnsi"/>
        </w:rPr>
        <w:t xml:space="preserve"> </w:t>
      </w:r>
      <w:r>
        <w:rPr>
          <w:b/>
          <w:sz w:val="22"/>
          <w:szCs w:val="22"/>
          <w:rFonts w:asciiTheme="minorHAnsi" w:hAnsiTheme="minorHAnsi"/>
        </w:rPr>
        <w:t xml:space="preserve">Non è appropriato utilizzare inibitori SGLT-2 in casi con GFR &lt; 45 ml/min/1,73 m2.</w:t>
      </w:r>
    </w:p>
    <w:p w14:paraId="50574667" w14:textId="136939F1" w:rsidR="00730686" w:rsidRPr="00AE15DA" w:rsidRDefault="00730686" w:rsidP="0043334F">
      <w:pPr>
        <w:autoSpaceDE w:val="0"/>
        <w:autoSpaceDN w:val="0"/>
        <w:adjustRightInd w:val="0"/>
        <w:contextualSpacing/>
        <w:rPr>
          <w:i/>
          <w:sz w:val="22"/>
          <w:szCs w:val="22"/>
          <w:rFonts w:asciiTheme="minorHAnsi" w:hAnsiTheme="minorHAnsi"/>
        </w:rPr>
      </w:pPr>
      <w:r>
        <w:rPr>
          <w:i/>
          <w:sz w:val="22"/>
          <w:szCs w:val="22"/>
          <w:rFonts w:asciiTheme="minorHAnsi" w:hAnsiTheme="minorHAnsi"/>
        </w:rPr>
        <w:t xml:space="preserve">*Canagliflozin, empagliflozin ed ertugliflozin non sono adatti per l'uso in casi con GFR &lt; 45 ml/min/1,73 m2, principalmente a causa della ridotta efficacia.</w:t>
      </w:r>
    </w:p>
    <w:p w14:paraId="3F34B78F" w14:textId="77777777" w:rsidR="00730686" w:rsidRPr="00AE15DA" w:rsidRDefault="00A069E4" w:rsidP="0043334F">
      <w:pPr>
        <w:contextualSpacing/>
        <w:rPr>
          <w:i/>
          <w:sz w:val="22"/>
          <w:szCs w:val="22"/>
          <w:rFonts w:asciiTheme="minorHAnsi" w:hAnsiTheme="minorHAnsi"/>
        </w:rPr>
      </w:pPr>
      <w:r>
        <w:rPr>
          <w:i/>
          <w:sz w:val="22"/>
          <w:szCs w:val="22"/>
          <w:rFonts w:asciiTheme="minorHAnsi" w:hAnsiTheme="minorHAnsi"/>
        </w:rPr>
        <w:t xml:space="preserve">*Dapagliflozin non è adatto per l'uso in casi con GFR &lt;60 ml/min/1,73 m2 a causa del suo effetto ridotto.</w:t>
      </w:r>
    </w:p>
    <w:p w14:paraId="6472B021" w14:textId="77777777" w:rsidR="00E65BB5" w:rsidRPr="00AE15DA" w:rsidRDefault="00325B49" w:rsidP="0043334F">
      <w:pPr>
        <w:contextualSpacing/>
        <w:rPr>
          <w:i/>
          <w:sz w:val="22"/>
          <w:szCs w:val="22"/>
          <w:rFonts w:asciiTheme="minorHAnsi" w:hAnsiTheme="minorHAnsi"/>
        </w:rPr>
      </w:pPr>
      <w:r>
        <w:rPr>
          <w:i/>
          <w:sz w:val="22"/>
          <w:szCs w:val="22"/>
          <w:rFonts w:asciiTheme="minorHAnsi" w:hAnsiTheme="minorHAnsi"/>
        </w:rPr>
        <w:t xml:space="preserve">* L'uso di inibitori SGLT-2 può essere preso in considerazione per il trattamento della nefropatia (escrezione di albumina nelle urine &gt; 300 mg/die) in pazienti con una GFR di 30-60 ml/min/1,73 m2.</w:t>
      </w:r>
    </w:p>
    <w:p w14:paraId="0A3320CF" w14:textId="77777777" w:rsidR="002F3D1A" w:rsidRPr="00AE15DA" w:rsidRDefault="002F3D1A" w:rsidP="0043334F">
      <w:pPr>
        <w:tabs>
          <w:tab w:val="left" w:pos="708"/>
        </w:tabs>
        <w:contextualSpacing/>
        <w:jc w:val="both"/>
        <w:rPr>
          <w:rFonts w:asciiTheme="minorHAnsi" w:hAnsiTheme="minorHAnsi" w:cstheme="minorHAnsi"/>
          <w:sz w:val="22"/>
          <w:szCs w:val="22"/>
        </w:rPr>
      </w:pPr>
    </w:p>
    <w:p w14:paraId="667E6E2D" w14:textId="77777777" w:rsidR="002F3D1A" w:rsidRPr="00AE15DA" w:rsidRDefault="002F3D1A" w:rsidP="0043334F">
      <w:pPr>
        <w:tabs>
          <w:tab w:val="left" w:pos="708"/>
        </w:tabs>
        <w:contextualSpacing/>
        <w:jc w:val="both"/>
        <w:rPr>
          <w:rFonts w:asciiTheme="minorHAnsi" w:hAnsiTheme="minorHAnsi" w:cstheme="minorHAnsi"/>
          <w:sz w:val="22"/>
          <w:szCs w:val="22"/>
        </w:rPr>
      </w:pPr>
    </w:p>
    <w:p w14:paraId="1B55B168" w14:textId="77777777" w:rsidR="00EA06A2" w:rsidRPr="00AE15DA" w:rsidRDefault="00EA06A2" w:rsidP="0043334F">
      <w:pPr>
        <w:tabs>
          <w:tab w:val="left" w:pos="708"/>
        </w:tabs>
        <w:contextualSpacing/>
        <w:jc w:val="both"/>
        <w:rPr>
          <w:sz w:val="22"/>
          <w:szCs w:val="22"/>
          <w:rFonts w:asciiTheme="minorHAnsi" w:hAnsiTheme="minorHAnsi" w:cstheme="minorHAnsi"/>
        </w:rPr>
      </w:pPr>
      <w:r>
        <w:rPr>
          <w:b/>
          <w:sz w:val="22"/>
          <w:szCs w:val="22"/>
          <w:rFonts w:asciiTheme="minorHAnsi" w:hAnsiTheme="minorHAnsi"/>
        </w:rPr>
        <w:t xml:space="preserve">G9.</w:t>
      </w:r>
      <w:r>
        <w:rPr>
          <w:b/>
          <w:sz w:val="22"/>
          <w:szCs w:val="22"/>
          <w:rFonts w:asciiTheme="minorHAnsi" w:hAnsiTheme="minorHAnsi"/>
        </w:rPr>
        <w:t xml:space="preserve"> </w:t>
      </w:r>
      <w:r>
        <w:rPr>
          <w:b/>
          <w:sz w:val="22"/>
          <w:szCs w:val="22"/>
          <w:rFonts w:asciiTheme="minorHAnsi" w:hAnsiTheme="minorHAnsi"/>
        </w:rPr>
        <w:t xml:space="preserve">L'uso di androgeni non è appropriato in presenza di bassi livelli sierici di testosterone, che non sono accompagnati da sintomi e segni associati alla carenza di androgeni.</w:t>
      </w:r>
      <w:r>
        <w:rPr>
          <w:b/>
          <w:sz w:val="22"/>
          <w:szCs w:val="22"/>
          <w:rFonts w:asciiTheme="minorHAnsi" w:hAnsiTheme="minorHAnsi"/>
        </w:rPr>
        <w:t xml:space="preserve"> </w:t>
      </w:r>
    </w:p>
    <w:p w14:paraId="41839C54" w14:textId="77777777" w:rsidR="002F3D1A" w:rsidRPr="00AE15DA" w:rsidRDefault="008B7591" w:rsidP="0043334F">
      <w:pPr>
        <w:spacing w:after="100" w:afterAutospacing="1"/>
        <w:contextualSpacing/>
        <w:jc w:val="both"/>
        <w:rPr>
          <w:i/>
          <w:sz w:val="22"/>
          <w:szCs w:val="22"/>
          <w:rFonts w:asciiTheme="minorHAnsi" w:hAnsiTheme="minorHAnsi"/>
        </w:rPr>
      </w:pPr>
      <w:r>
        <w:rPr>
          <w:sz w:val="22"/>
          <w:szCs w:val="22"/>
          <w:rFonts w:asciiTheme="minorHAnsi" w:hAnsiTheme="minorHAnsi"/>
        </w:rPr>
        <w:t xml:space="preserve">*La diagnosi di ipogonadismo viene posta in presenza di persistenti bassi livelli sierici di testosterone con sintomi e segni di carenza di androgeni.</w:t>
      </w:r>
    </w:p>
    <w:p w14:paraId="4E4A874F" w14:textId="77777777" w:rsidR="002F3D1A" w:rsidRPr="00AE15DA" w:rsidRDefault="002F3D1A" w:rsidP="0043334F">
      <w:pPr>
        <w:spacing w:before="100" w:beforeAutospacing="1"/>
        <w:contextualSpacing/>
        <w:jc w:val="both"/>
        <w:rPr>
          <w:rFonts w:asciiTheme="minorHAnsi" w:hAnsiTheme="minorHAnsi" w:cstheme="minorHAnsi"/>
          <w:color w:val="000000" w:themeColor="text1"/>
          <w:sz w:val="22"/>
          <w:szCs w:val="22"/>
        </w:rPr>
      </w:pPr>
    </w:p>
    <w:p w14:paraId="1C35C19C" w14:textId="77777777" w:rsidR="00FA7B48" w:rsidRPr="00AE15DA" w:rsidRDefault="00415CD8" w:rsidP="0043334F">
      <w:pPr>
        <w:spacing w:before="100" w:beforeAutospacing="1"/>
        <w:contextualSpacing/>
        <w:jc w:val="both"/>
        <w:rPr>
          <w:b/>
          <w:sz w:val="22"/>
          <w:szCs w:val="22"/>
          <w:rFonts w:asciiTheme="minorHAnsi" w:hAnsiTheme="minorHAnsi"/>
        </w:rPr>
      </w:pPr>
      <w:r>
        <w:rPr>
          <w:b/>
          <w:sz w:val="22"/>
          <w:szCs w:val="22"/>
          <w:rFonts w:asciiTheme="minorHAnsi" w:hAnsiTheme="minorHAnsi"/>
        </w:rPr>
        <w:t xml:space="preserve">G10.</w:t>
      </w:r>
      <w:r>
        <w:rPr>
          <w:b/>
          <w:sz w:val="22"/>
          <w:szCs w:val="22"/>
          <w:rFonts w:asciiTheme="minorHAnsi" w:hAnsiTheme="minorHAnsi"/>
        </w:rPr>
        <w:t xml:space="preserve"> </w:t>
      </w:r>
      <w:r>
        <w:rPr>
          <w:b/>
          <w:sz w:val="22"/>
          <w:szCs w:val="22"/>
          <w:rFonts w:asciiTheme="minorHAnsi" w:hAnsiTheme="minorHAnsi"/>
        </w:rPr>
        <w:t xml:space="preserve">L'uso sistemico di estrogeni non è appropriato in pazienti con anamnesi di cancro al seno o tromboembolia venosa.</w:t>
      </w:r>
    </w:p>
    <w:p w14:paraId="55514454" w14:textId="77777777" w:rsidR="002F3D1A" w:rsidRPr="00AE15DA" w:rsidRDefault="00D17D20" w:rsidP="0043334F">
      <w:pPr>
        <w:spacing w:after="100" w:afterAutospacing="1"/>
        <w:contextualSpacing/>
        <w:jc w:val="both"/>
        <w:rPr>
          <w:bCs/>
          <w:i/>
          <w:sz w:val="22"/>
          <w:szCs w:val="22"/>
          <w:rFonts w:asciiTheme="minorHAnsi" w:hAnsiTheme="minorHAnsi"/>
        </w:rPr>
      </w:pPr>
      <w:r>
        <w:rPr>
          <w:i/>
          <w:sz w:val="22"/>
          <w:szCs w:val="22"/>
          <w:rFonts w:asciiTheme="minorHAnsi" w:hAnsiTheme="minorHAnsi"/>
        </w:rPr>
        <w:t xml:space="preserve">*Estrogeni vaginali in pazienti con anamnesi di cancro al seno o tromboembolia venosa; Nel trattamento dei sintomi urogenitali come la vaginite atrofica, può essere somministrato dopo trattamenti non ormonali, tenendo conto del rapporto profitti/perdite.</w:t>
      </w:r>
    </w:p>
    <w:p w14:paraId="29B72F5F" w14:textId="77777777" w:rsidR="0043334F" w:rsidRPr="00AE15DA" w:rsidRDefault="0043334F" w:rsidP="0043334F">
      <w:pPr>
        <w:spacing w:after="100" w:afterAutospacing="1"/>
        <w:contextualSpacing/>
        <w:jc w:val="both"/>
        <w:rPr>
          <w:rFonts w:asciiTheme="minorHAnsi" w:hAnsiTheme="minorHAnsi"/>
          <w:bCs/>
          <w:i/>
          <w:sz w:val="22"/>
          <w:szCs w:val="22"/>
        </w:rPr>
      </w:pPr>
    </w:p>
    <w:p w14:paraId="4526C7D4" w14:textId="77777777" w:rsidR="00D360FA" w:rsidRPr="00AE15DA" w:rsidRDefault="00D360FA" w:rsidP="0043334F">
      <w:pPr>
        <w:spacing w:before="100" w:beforeAutospacing="1" w:after="100" w:afterAutospacing="1"/>
        <w:contextualSpacing/>
        <w:jc w:val="both"/>
        <w:rPr>
          <w:rFonts w:asciiTheme="minorHAnsi" w:hAnsiTheme="minorHAnsi"/>
          <w:b/>
          <w:bCs/>
          <w:i/>
          <w:sz w:val="22"/>
          <w:szCs w:val="22"/>
        </w:rPr>
      </w:pPr>
    </w:p>
    <w:p w14:paraId="7BCCD732" w14:textId="77777777" w:rsidR="002F3D1A" w:rsidRPr="00AE15DA" w:rsidRDefault="00415CD8" w:rsidP="0043334F">
      <w:pPr>
        <w:spacing w:before="100" w:beforeAutospacing="1" w:after="100" w:afterAutospacing="1"/>
        <w:contextualSpacing/>
        <w:jc w:val="both"/>
        <w:rPr>
          <w:b/>
          <w:sz w:val="22"/>
          <w:szCs w:val="22"/>
          <w:rFonts w:asciiTheme="minorHAnsi" w:hAnsiTheme="minorHAnsi"/>
        </w:rPr>
      </w:pPr>
      <w:r>
        <w:rPr>
          <w:b/>
          <w:sz w:val="22"/>
          <w:szCs w:val="22"/>
          <w:rFonts w:asciiTheme="minorHAnsi" w:hAnsiTheme="minorHAnsi"/>
        </w:rPr>
        <w:t xml:space="preserve">G11.</w:t>
      </w:r>
      <w:r>
        <w:rPr>
          <w:b/>
          <w:sz w:val="22"/>
          <w:szCs w:val="22"/>
          <w:rFonts w:asciiTheme="minorHAnsi" w:hAnsiTheme="minorHAnsi"/>
        </w:rPr>
        <w:t xml:space="preserve"> </w:t>
      </w:r>
      <w:r>
        <w:rPr>
          <w:b/>
          <w:sz w:val="22"/>
          <w:szCs w:val="22"/>
          <w:rFonts w:asciiTheme="minorHAnsi" w:hAnsiTheme="minorHAnsi"/>
        </w:rPr>
        <w:t xml:space="preserve">L'uso di estrogeni senza l'uso concomitante di progesterone non è appropriato nelle donne con utero intatto (rischio di cancro dell'endometrio)</w:t>
      </w:r>
    </w:p>
    <w:p w14:paraId="4F2D16DA" w14:textId="77777777" w:rsidR="002F3D1A" w:rsidRPr="00AE15DA" w:rsidRDefault="002F3D1A" w:rsidP="0043334F">
      <w:pPr>
        <w:pStyle w:val="HTMLncedenBiimlendirilmi"/>
        <w:contextualSpacing/>
        <w:jc w:val="both"/>
        <w:rPr>
          <w:rFonts w:asciiTheme="minorHAnsi" w:hAnsiTheme="minorHAnsi" w:cstheme="minorHAnsi"/>
          <w:color w:val="000000"/>
          <w:sz w:val="22"/>
          <w:szCs w:val="22"/>
        </w:rPr>
      </w:pPr>
    </w:p>
    <w:p w14:paraId="0FD28B48" w14:textId="77777777" w:rsidR="00415CD8" w:rsidRPr="00AE15DA" w:rsidRDefault="00415CD8" w:rsidP="0043334F">
      <w:pPr>
        <w:pStyle w:val="HTMLncedenBiimlendirilmi"/>
        <w:contextualSpacing/>
        <w:jc w:val="both"/>
        <w:rPr>
          <w:color w:val="000000"/>
          <w:sz w:val="22"/>
          <w:szCs w:val="22"/>
          <w:rFonts w:asciiTheme="minorHAnsi" w:hAnsiTheme="minorHAnsi" w:cstheme="minorHAnsi"/>
        </w:rPr>
      </w:pPr>
      <w:r>
        <w:rPr>
          <w:b/>
          <w:sz w:val="22"/>
          <w:szCs w:val="22"/>
          <w:color w:val="000000"/>
          <w:rFonts w:asciiTheme="minorHAnsi" w:hAnsiTheme="minorHAnsi"/>
        </w:rPr>
        <w:t xml:space="preserve">G12.</w:t>
      </w:r>
      <w:r>
        <w:rPr>
          <w:b/>
          <w:sz w:val="22"/>
          <w:szCs w:val="22"/>
          <w:color w:val="000000"/>
          <w:rFonts w:asciiTheme="minorHAnsi" w:hAnsiTheme="minorHAnsi"/>
        </w:rPr>
        <w:t xml:space="preserve"> </w:t>
      </w:r>
      <w:r>
        <w:rPr>
          <w:b/>
          <w:sz w:val="22"/>
          <w:szCs w:val="22"/>
          <w:rFonts w:asciiTheme="minorHAnsi" w:hAnsiTheme="minorHAnsi"/>
        </w:rPr>
        <w:t xml:space="preserve">L'uso del megestrolo come stimolatore dell'appetito non è adatto (effetto minimo sul peso, effetti collaterali protrombotici)</w:t>
      </w:r>
      <w:r>
        <w:rPr>
          <w:b/>
          <w:sz w:val="22"/>
          <w:szCs w:val="22"/>
          <w:rFonts w:asciiTheme="minorHAnsi" w:hAnsiTheme="minorHAnsi"/>
        </w:rPr>
        <w:t xml:space="preserve"> </w:t>
      </w:r>
    </w:p>
    <w:p w14:paraId="108E5FDD" w14:textId="77777777"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410068C4" w14:textId="77777777" w:rsidR="007528C0" w:rsidRPr="00AE15DA" w:rsidRDefault="00415CD8"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2"/>
          <w:szCs w:val="22"/>
          <w:rFonts w:asciiTheme="minorHAnsi" w:hAnsiTheme="minorHAnsi" w:cstheme="minorHAnsi"/>
        </w:rPr>
      </w:pPr>
      <w:r>
        <w:rPr>
          <w:b/>
          <w:sz w:val="22"/>
          <w:szCs w:val="22"/>
          <w:shd w:val="clear" w:color="auto" w:fill="FFFFFF"/>
          <w:rFonts w:asciiTheme="minorHAnsi" w:hAnsiTheme="minorHAnsi"/>
        </w:rPr>
        <w:t xml:space="preserve">G13.</w:t>
      </w:r>
      <w:r>
        <w:rPr>
          <w:b/>
          <w:sz w:val="22"/>
          <w:szCs w:val="22"/>
          <w:shd w:val="clear" w:color="auto" w:fill="FFFFFF"/>
          <w:rFonts w:asciiTheme="minorHAnsi" w:hAnsiTheme="minorHAnsi"/>
        </w:rPr>
        <w:t xml:space="preserve"> </w:t>
      </w:r>
      <w:r>
        <w:rPr>
          <w:b/>
          <w:sz w:val="22"/>
          <w:szCs w:val="22"/>
          <w:shd w:val="clear" w:color="auto" w:fill="FFFFFF"/>
          <w:rFonts w:asciiTheme="minorHAnsi" w:hAnsiTheme="minorHAnsi"/>
        </w:rPr>
        <w:t xml:space="preserve">Negli anziani con ipotiroidismo subclinico (TSH:</w:t>
      </w:r>
      <w:r>
        <w:rPr>
          <w:b/>
          <w:sz w:val="22"/>
          <w:szCs w:val="22"/>
          <w:shd w:val="clear" w:color="auto" w:fill="FFFFFF"/>
          <w:rFonts w:asciiTheme="minorHAnsi" w:hAnsiTheme="minorHAnsi"/>
        </w:rPr>
        <w:t xml:space="preserve"> </w:t>
      </w:r>
      <w:r>
        <w:rPr>
          <w:b/>
          <w:sz w:val="22"/>
          <w:szCs w:val="22"/>
          <w:shd w:val="clear" w:color="auto" w:fill="FFFFFF"/>
          <w:rFonts w:asciiTheme="minorHAnsi" w:hAnsiTheme="minorHAnsi"/>
        </w:rPr>
        <w:t xml:space="preserve">4-10 mIU/L; sT4:</w:t>
      </w:r>
      <w:r>
        <w:rPr>
          <w:b/>
          <w:sz w:val="22"/>
          <w:szCs w:val="22"/>
          <w:shd w:val="clear" w:color="auto" w:fill="FFFFFF"/>
          <w:rFonts w:asciiTheme="minorHAnsi" w:hAnsiTheme="minorHAnsi"/>
        </w:rPr>
        <w:t xml:space="preserve"> </w:t>
      </w:r>
      <w:r>
        <w:rPr>
          <w:b/>
          <w:sz w:val="22"/>
          <w:szCs w:val="22"/>
          <w:shd w:val="clear" w:color="auto" w:fill="FFFFFF"/>
          <w:rFonts w:asciiTheme="minorHAnsi" w:hAnsiTheme="minorHAnsi"/>
        </w:rPr>
        <w:t xml:space="preserve">N), l'uso di ormoni tiroidei non è appropriato (nessun beneficio aggiuntivo, potenziale rischio di effetti collaterali come fibrillazione atriale e osteoporosi)</w:t>
      </w:r>
    </w:p>
    <w:p w14:paraId="7B7E2407" w14:textId="77777777"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14:paraId="31391D86" w14:textId="77777777" w:rsidR="002F3D1A" w:rsidRPr="00AE15DA" w:rsidRDefault="007C70E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Fonts w:asciiTheme="minorHAnsi" w:hAnsiTheme="minorHAnsi" w:cstheme="minorHAnsi"/>
        </w:rPr>
      </w:pPr>
      <w:r>
        <w:rPr>
          <w:b/>
          <w:sz w:val="28"/>
          <w:szCs w:val="28"/>
          <w:rFonts w:asciiTheme="minorHAnsi" w:hAnsiTheme="minorHAnsi"/>
        </w:rPr>
        <w:t xml:space="preserve">H :</w:t>
      </w:r>
      <w:r>
        <w:rPr>
          <w:b/>
          <w:sz w:val="28"/>
          <w:szCs w:val="28"/>
          <w:rFonts w:asciiTheme="minorHAnsi" w:hAnsiTheme="minorHAnsi"/>
        </w:rPr>
        <w:t xml:space="preserve"> </w:t>
      </w:r>
      <w:r>
        <w:rPr>
          <w:b/>
          <w:sz w:val="28"/>
          <w:szCs w:val="28"/>
          <w:rFonts w:asciiTheme="minorHAnsi" w:hAnsiTheme="minorHAnsi"/>
        </w:rPr>
        <w:t xml:space="preserve">Carico Antimuscarinico-Anticolinergico</w:t>
      </w:r>
    </w:p>
    <w:p w14:paraId="772E769E" w14:textId="77777777"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14:paraId="0E867682" w14:textId="77777777" w:rsidR="004816D3" w:rsidRPr="00AE15DA" w:rsidRDefault="004816D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Fonts w:asciiTheme="minorHAnsi" w:hAnsiTheme="minorHAnsi" w:cstheme="minorHAnsi"/>
        </w:rPr>
      </w:pPr>
      <w:r>
        <w:rPr>
          <w:b/>
          <w:sz w:val="22"/>
          <w:szCs w:val="22"/>
          <w:rFonts w:asciiTheme="minorHAnsi" w:hAnsiTheme="minorHAnsi"/>
        </w:rPr>
        <w:t xml:space="preserve">H1.</w:t>
      </w:r>
      <w:r>
        <w:rPr>
          <w:b/>
          <w:sz w:val="22"/>
          <w:szCs w:val="22"/>
          <w:rFonts w:asciiTheme="minorHAnsi" w:hAnsiTheme="minorHAnsi"/>
        </w:rPr>
        <w:t xml:space="preserve"> </w:t>
      </w:r>
      <w:r>
        <w:rPr>
          <w:b/>
          <w:sz w:val="22"/>
          <w:szCs w:val="22"/>
          <w:rFonts w:asciiTheme="minorHAnsi" w:hAnsiTheme="minorHAnsi"/>
        </w:rPr>
        <w:t xml:space="preserve">Antidepressivi triciclici, clorpromazina, tioridazina, clozapina, olanzapina, ioscina, ossibutinina orale, antistaminici di prima generazione (feniramina, clorfeniramina, idrossizina, ciproeptadina, dimenidrinato, difenidramina, meclizina, ecc.)</w:t>
      </w:r>
    </w:p>
    <w:p w14:paraId="577D20A2" w14:textId="77777777" w:rsidR="004816D3" w:rsidRPr="00AE15DA" w:rsidRDefault="001E43C4" w:rsidP="0043334F">
      <w:pPr>
        <w:contextualSpacing/>
        <w:rPr>
          <w:b/>
          <w:sz w:val="22"/>
          <w:szCs w:val="22"/>
          <w:rFonts w:asciiTheme="minorHAnsi" w:hAnsiTheme="minorHAnsi"/>
        </w:rPr>
      </w:pPr>
      <w:r>
        <w:rPr>
          <w:b/>
          <w:sz w:val="22"/>
          <w:szCs w:val="22"/>
          <w:rFonts w:asciiTheme="minorHAnsi" w:hAnsiTheme="minorHAnsi"/>
        </w:rPr>
        <w:tab/>
      </w:r>
      <w:r>
        <w:rPr>
          <w:b/>
          <w:sz w:val="22"/>
          <w:szCs w:val="22"/>
          <w:rFonts w:asciiTheme="minorHAnsi" w:hAnsiTheme="minorHAnsi"/>
        </w:rPr>
        <w:t xml:space="preserve">Caduta/stipsi/glaucoma ad angolo stretto/demenza/delirio/ritenzione urinaria/sintomi LUTS ostruttivi negli uomini/uso concomitante di farmaci con effetti anticolinergici elevati</w:t>
      </w:r>
    </w:p>
    <w:p w14:paraId="7659C4A9" w14:textId="77777777" w:rsidR="004816D3" w:rsidRPr="00AE15DA" w:rsidRDefault="004816D3" w:rsidP="0043334F">
      <w:pPr>
        <w:contextualSpacing/>
        <w:jc w:val="both"/>
        <w:rPr>
          <w:i/>
          <w:sz w:val="22"/>
          <w:szCs w:val="22"/>
          <w:shd w:val="clear" w:color="auto" w:fill="FFFFFF"/>
          <w:rFonts w:asciiTheme="minorHAnsi" w:hAnsiTheme="minorHAnsi"/>
        </w:rPr>
      </w:pPr>
      <w:r>
        <w:rPr>
          <w:i/>
          <w:sz w:val="22"/>
          <w:szCs w:val="22"/>
          <w:shd w:val="clear" w:color="auto" w:fill="FFFFFF"/>
          <w:rFonts w:asciiTheme="minorHAnsi" w:hAnsiTheme="minorHAnsi"/>
        </w:rPr>
        <w:t xml:space="preserve">*In generale, l'uso di farmaci ad alto effetto anticolinergico non dovrebbe essere preferito negli anziani; In caso di necessità clinica, va seguita con attenzione in termini di effetti collaterali.</w:t>
      </w:r>
    </w:p>
    <w:p w14:paraId="6CDA711E" w14:textId="77777777" w:rsidR="002F3D1A" w:rsidRPr="00AE15DA" w:rsidRDefault="001E43C4" w:rsidP="0043334F">
      <w:pPr>
        <w:spacing w:after="100" w:afterAutospacing="1"/>
        <w:contextualSpacing/>
        <w:jc w:val="both"/>
        <w:rPr>
          <w:i/>
          <w:sz w:val="22"/>
          <w:szCs w:val="22"/>
          <w:rFonts w:asciiTheme="minorHAnsi" w:hAnsiTheme="minorHAnsi"/>
        </w:rPr>
      </w:pPr>
      <w:r>
        <w:rPr>
          <w:i/>
          <w:sz w:val="22"/>
          <w:szCs w:val="22"/>
          <w:rFonts w:asciiTheme="minorHAnsi" w:hAnsiTheme="minorHAnsi"/>
        </w:rPr>
        <w:t xml:space="preserve">*L'uso parenterale di antistaminici di prima generazione è appropriato in presenza di una reazione allergica acuta.</w:t>
      </w:r>
    </w:p>
    <w:p w14:paraId="13327121" w14:textId="77777777" w:rsidR="002F3D1A" w:rsidRPr="00AE15DA" w:rsidRDefault="002F3D1A" w:rsidP="0043334F">
      <w:pPr>
        <w:spacing w:after="100" w:afterAutospacing="1"/>
        <w:contextualSpacing/>
        <w:jc w:val="both"/>
        <w:rPr>
          <w:rFonts w:asciiTheme="minorHAnsi" w:hAnsiTheme="minorHAnsi"/>
          <w:i/>
          <w:sz w:val="22"/>
          <w:szCs w:val="22"/>
        </w:rPr>
      </w:pPr>
    </w:p>
    <w:p w14:paraId="0A81567C" w14:textId="77777777" w:rsidR="002F3D1A" w:rsidRPr="00AE15DA" w:rsidRDefault="002F3D1A" w:rsidP="0043334F">
      <w:pPr>
        <w:contextualSpacing/>
        <w:jc w:val="both"/>
        <w:rPr>
          <w:rFonts w:asciiTheme="minorHAnsi" w:hAnsiTheme="minorHAnsi" w:cstheme="minorHAnsi"/>
          <w:color w:val="000000"/>
          <w:sz w:val="22"/>
          <w:szCs w:val="22"/>
        </w:rPr>
      </w:pPr>
    </w:p>
    <w:p w14:paraId="33205FE6" w14:textId="77777777" w:rsidR="002F3D1A" w:rsidRPr="00AE15DA" w:rsidRDefault="007C70E3" w:rsidP="0043334F">
      <w:pPr>
        <w:contextualSpacing/>
        <w:jc w:val="both"/>
        <w:rPr>
          <w:b/>
          <w:sz w:val="28"/>
          <w:szCs w:val="28"/>
          <w:rFonts w:asciiTheme="minorHAnsi" w:hAnsiTheme="minorHAnsi"/>
        </w:rPr>
      </w:pPr>
      <w:r>
        <w:rPr>
          <w:b/>
          <w:sz w:val="28"/>
          <w:szCs w:val="28"/>
          <w:rFonts w:asciiTheme="minorHAnsi" w:hAnsiTheme="minorHAnsi"/>
        </w:rPr>
        <w:t xml:space="preserve">J:</w:t>
      </w:r>
      <w:r>
        <w:rPr>
          <w:b/>
          <w:sz w:val="28"/>
          <w:szCs w:val="28"/>
          <w:rFonts w:asciiTheme="minorHAnsi" w:hAnsiTheme="minorHAnsi"/>
        </w:rPr>
        <w:t xml:space="preserve"> </w:t>
      </w:r>
      <w:r>
        <w:rPr>
          <w:b/>
          <w:sz w:val="28"/>
          <w:szCs w:val="28"/>
          <w:rFonts w:asciiTheme="minorHAnsi" w:hAnsiTheme="minorHAnsi"/>
        </w:rPr>
        <w:t xml:space="preserve">Supplementi.</w:t>
      </w:r>
    </w:p>
    <w:p w14:paraId="6C41EAFA" w14:textId="77777777" w:rsidR="002F3D1A" w:rsidRPr="00AE15DA" w:rsidRDefault="002F3D1A" w:rsidP="0043334F">
      <w:pPr>
        <w:contextualSpacing/>
        <w:jc w:val="both"/>
        <w:rPr>
          <w:rFonts w:asciiTheme="minorHAnsi" w:hAnsiTheme="minorHAnsi"/>
          <w:b/>
          <w:sz w:val="28"/>
          <w:szCs w:val="28"/>
        </w:rPr>
      </w:pPr>
    </w:p>
    <w:p w14:paraId="37E05D73" w14:textId="77777777" w:rsidR="00D21A73" w:rsidRPr="00AE15DA" w:rsidRDefault="004816D3" w:rsidP="0043334F">
      <w:pPr>
        <w:contextualSpacing/>
        <w:jc w:val="both"/>
        <w:rPr>
          <w:b/>
          <w:sz w:val="28"/>
          <w:szCs w:val="28"/>
          <w:rFonts w:asciiTheme="minorHAnsi" w:hAnsiTheme="minorHAnsi"/>
        </w:rPr>
      </w:pPr>
      <w:r>
        <w:rPr>
          <w:b/>
          <w:sz w:val="22"/>
          <w:szCs w:val="22"/>
          <w:rFonts w:asciiTheme="minorHAnsi" w:hAnsiTheme="minorHAnsi"/>
        </w:rPr>
        <w:t xml:space="preserve">J1.</w:t>
      </w:r>
      <w:r>
        <w:rPr>
          <w:b/>
          <w:sz w:val="22"/>
          <w:szCs w:val="22"/>
          <w:rFonts w:asciiTheme="minorHAnsi" w:hAnsiTheme="minorHAnsi"/>
        </w:rPr>
        <w:t xml:space="preserve"> </w:t>
      </w:r>
      <w:r>
        <w:rPr>
          <w:b/>
          <w:sz w:val="22"/>
          <w:szCs w:val="22"/>
          <w:rFonts w:asciiTheme="minorHAnsi" w:hAnsiTheme="minorHAnsi"/>
        </w:rPr>
        <w:t xml:space="preserve">L'uso dell'estratto di gingko biloba non è appropriato nei casi con rischio di sanguinamento (uso di anticoagulanti, uso di FANS, storia di sanguinamento significativo).</w:t>
      </w:r>
      <w:r>
        <w:rPr>
          <w:b/>
          <w:sz w:val="22"/>
          <w:szCs w:val="22"/>
          <w:rFonts w:asciiTheme="minorHAnsi" w:hAnsiTheme="minorHAnsi"/>
        </w:rPr>
        <w:t xml:space="preserve"> </w:t>
      </w:r>
    </w:p>
    <w:p w14:paraId="356DDC85" w14:textId="77777777" w:rsidR="002F3D1A" w:rsidRPr="00AE15DA" w:rsidRDefault="00640D00" w:rsidP="0043334F">
      <w:pPr>
        <w:shd w:val="clear" w:color="auto" w:fill="FFFFFF"/>
        <w:spacing w:after="100" w:afterAutospacing="1"/>
        <w:contextualSpacing/>
        <w:jc w:val="both"/>
        <w:rPr>
          <w:i/>
          <w:color w:val="000000" w:themeColor="text1"/>
          <w:sz w:val="22"/>
          <w:szCs w:val="22"/>
          <w:rFonts w:asciiTheme="minorHAnsi" w:hAnsiTheme="minorHAnsi"/>
        </w:rPr>
      </w:pPr>
      <w:r>
        <w:rPr>
          <w:sz w:val="22"/>
          <w:szCs w:val="22"/>
          <w:rFonts w:asciiTheme="minorHAnsi" w:hAnsiTheme="minorHAnsi"/>
        </w:rPr>
        <w:t xml:space="preserve">*Il rischio di sanguinamento aumenta con l'uso di aspirina insieme al gingko biloba; Potrebbe essere più appropriato non usarli in combinazione.</w:t>
      </w:r>
    </w:p>
    <w:p w14:paraId="52B1A8B1" w14:textId="77777777" w:rsidR="002F3D1A" w:rsidRPr="00AE15DA" w:rsidRDefault="002F3D1A" w:rsidP="0043334F">
      <w:pPr>
        <w:shd w:val="clear" w:color="auto" w:fill="FFFFFF"/>
        <w:spacing w:after="100" w:afterAutospacing="1"/>
        <w:contextualSpacing/>
        <w:jc w:val="both"/>
        <w:rPr>
          <w:rFonts w:asciiTheme="minorHAnsi" w:hAnsiTheme="minorHAnsi"/>
          <w:color w:val="000000" w:themeColor="text1"/>
          <w:sz w:val="22"/>
          <w:szCs w:val="22"/>
        </w:rPr>
      </w:pPr>
    </w:p>
    <w:p w14:paraId="6735D778" w14:textId="77777777" w:rsidR="00F613FF" w:rsidRPr="00AE15DA" w:rsidRDefault="00F613FF" w:rsidP="0043334F">
      <w:pPr>
        <w:shd w:val="clear" w:color="auto" w:fill="FFFFFF"/>
        <w:spacing w:before="100" w:beforeAutospacing="1" w:after="100" w:afterAutospacing="1"/>
        <w:contextualSpacing/>
        <w:jc w:val="both"/>
        <w:rPr>
          <w:rFonts w:asciiTheme="minorHAnsi" w:hAnsiTheme="minorHAnsi" w:cstheme="minorHAnsi"/>
          <w:color w:val="000000" w:themeColor="text1"/>
          <w:sz w:val="22"/>
          <w:szCs w:val="22"/>
        </w:rPr>
      </w:pPr>
    </w:p>
    <w:p w14:paraId="1797F54E" w14:textId="77777777" w:rsidR="00F613FF" w:rsidRPr="00AE15DA" w:rsidRDefault="00F613FF" w:rsidP="0043334F">
      <w:pPr>
        <w:shd w:val="clear" w:color="auto" w:fill="FFFFFF"/>
        <w:spacing w:before="100" w:beforeAutospacing="1" w:after="100" w:afterAutospacing="1"/>
        <w:contextualSpacing/>
        <w:jc w:val="both"/>
        <w:rPr>
          <w:rFonts w:asciiTheme="minorHAnsi" w:hAnsiTheme="minorHAnsi" w:cstheme="minorHAnsi"/>
          <w:color w:val="000000" w:themeColor="text1"/>
          <w:sz w:val="22"/>
          <w:szCs w:val="22"/>
        </w:rPr>
      </w:pPr>
    </w:p>
    <w:p w14:paraId="3BAA7B97" w14:textId="636F11A5" w:rsidR="009361B0" w:rsidRPr="00AE15DA" w:rsidRDefault="004816D3" w:rsidP="0043334F">
      <w:pPr>
        <w:shd w:val="clear" w:color="auto" w:fill="FFFFFF"/>
        <w:spacing w:before="100" w:beforeAutospacing="1" w:after="100" w:afterAutospacing="1"/>
        <w:contextualSpacing/>
        <w:jc w:val="both"/>
        <w:rPr>
          <w:color w:val="000000" w:themeColor="text1"/>
          <w:sz w:val="22"/>
          <w:szCs w:val="22"/>
          <w:rFonts w:asciiTheme="minorHAnsi" w:hAnsiTheme="minorHAnsi" w:cstheme="minorHAnsi"/>
        </w:rPr>
      </w:pPr>
      <w:r>
        <w:rPr>
          <w:b/>
          <w:sz w:val="22"/>
          <w:szCs w:val="22"/>
          <w:rFonts w:asciiTheme="minorHAnsi" w:hAnsiTheme="minorHAnsi"/>
        </w:rPr>
        <w:t xml:space="preserve">J2.</w:t>
      </w:r>
      <w:r>
        <w:rPr>
          <w:b/>
          <w:sz w:val="22"/>
          <w:szCs w:val="22"/>
          <w:rFonts w:asciiTheme="minorHAnsi" w:hAnsiTheme="minorHAnsi"/>
        </w:rPr>
        <w:t xml:space="preserve"> </w:t>
      </w:r>
      <w:r>
        <w:rPr>
          <w:b/>
          <w:sz w:val="22"/>
          <w:szCs w:val="22"/>
        </w:rPr>
        <w:t xml:space="preserve">Erba di San Giovanni </w:t>
      </w:r>
      <w:r>
        <w:rPr>
          <w:b/>
          <w:sz w:val="22"/>
          <w:szCs w:val="22"/>
          <w:rFonts w:ascii="Calibri" w:hAnsi="Calibri"/>
        </w:rPr>
        <w:t xml:space="preserve">(St. John’s Wort)</w:t>
      </w:r>
      <w:r>
        <w:rPr>
          <w:b/>
          <w:sz w:val="22"/>
          <w:szCs w:val="22"/>
        </w:rPr>
        <w:t xml:space="preserve"> in pazienti che usano antidepressivi (in particolare il rischio di sindrome serotoninergica con SSRI) e in pazienti che usano farmaci metabolizzati dal citocromo p450 (ad esempio digossina, teofillina, warfarin, carbamazepina, fenitoina, fenobarbital) (S. Giovanni attiva il citocromo p450)</w:t>
      </w:r>
    </w:p>
    <w:p w14:paraId="3A140F84" w14:textId="77777777" w:rsidR="00A8214A" w:rsidRPr="00AE15DA" w:rsidRDefault="00A8214A" w:rsidP="0043334F">
      <w:pPr>
        <w:contextualSpacing/>
        <w:jc w:val="both"/>
        <w:rPr>
          <w:rFonts w:asciiTheme="minorHAnsi" w:hAnsiTheme="minorHAnsi"/>
          <w:b/>
          <w:color w:val="000000" w:themeColor="text1"/>
          <w:sz w:val="22"/>
          <w:szCs w:val="22"/>
        </w:rPr>
      </w:pPr>
    </w:p>
    <w:p w14:paraId="2EA3FB18" w14:textId="343B9DEB" w:rsidR="00A8214A" w:rsidRPr="00AE15DA" w:rsidRDefault="00C6392A" w:rsidP="0043334F">
      <w:pPr>
        <w:contextualSpacing/>
        <w:jc w:val="both"/>
        <w:rPr>
          <w:b/>
          <w:color w:val="000000" w:themeColor="text1"/>
          <w:sz w:val="22"/>
          <w:szCs w:val="22"/>
          <w:rFonts w:asciiTheme="minorHAnsi" w:hAnsiTheme="minorHAnsi"/>
        </w:rPr>
      </w:pPr>
      <w:r>
        <w:rPr>
          <w:b/>
          <w:sz w:val="22"/>
          <w:szCs w:val="22"/>
          <w:rFonts w:ascii="Calibri" w:hAnsi="Calibri"/>
        </w:rPr>
        <w:t xml:space="preserve">#</w:t>
      </w:r>
      <w:r>
        <w:rPr>
          <w:b/>
          <w:sz w:val="22"/>
          <w:szCs w:val="22"/>
          <w:color w:val="000000" w:themeColor="text1"/>
          <w:rFonts w:asciiTheme="minorHAnsi" w:hAnsiTheme="minorHAnsi"/>
        </w:rPr>
        <w:t xml:space="preserve">J3.</w:t>
      </w:r>
      <w:r>
        <w:rPr>
          <w:b/>
          <w:sz w:val="22"/>
          <w:szCs w:val="22"/>
          <w:color w:val="000000" w:themeColor="text1"/>
          <w:rFonts w:asciiTheme="minorHAnsi" w:hAnsiTheme="minorHAnsi"/>
        </w:rPr>
        <w:t xml:space="preserve"> </w:t>
      </w:r>
      <w:r>
        <w:rPr>
          <w:b/>
          <w:sz w:val="22"/>
          <w:szCs w:val="22"/>
          <w:color w:val="000000" w:themeColor="text1"/>
          <w:rFonts w:asciiTheme="minorHAnsi" w:hAnsiTheme="minorHAnsi"/>
        </w:rPr>
        <w:t xml:space="preserve">L'integrazione non è appropriata nei pazienti che assumono warfarin (a causa del possibile aumento del rischio di sanguinamento)</w:t>
      </w:r>
    </w:p>
    <w:p w14:paraId="63E48DC6" w14:textId="77777777" w:rsidR="00F613FF" w:rsidRPr="00AE15DA" w:rsidRDefault="00552087" w:rsidP="0043334F">
      <w:pPr>
        <w:contextualSpacing/>
        <w:jc w:val="both"/>
        <w:rPr>
          <w:i/>
          <w:color w:val="000000" w:themeColor="text1"/>
          <w:sz w:val="22"/>
          <w:szCs w:val="22"/>
          <w:rFonts w:asciiTheme="minorHAnsi" w:hAnsiTheme="minorHAnsi"/>
        </w:rPr>
      </w:pPr>
      <w:r>
        <w:rPr>
          <w:color w:val="000000" w:themeColor="text1"/>
          <w:sz w:val="22"/>
          <w:szCs w:val="22"/>
          <w:rFonts w:asciiTheme="minorHAnsi" w:hAnsiTheme="minorHAnsi"/>
        </w:rPr>
        <w:t xml:space="preserve">*Molti integratori assunti per via orale (es. ginseng, aglio, curcuma, zenzero, artiglio del diavolo, erba di San Giovanni, coenzima Q10, tè verde, ecc.) possono aumentare il rischio di sanguinamento aumentando l'effetto anticoagulante del warfarin.</w:t>
      </w:r>
    </w:p>
    <w:p w14:paraId="521FDEC3" w14:textId="77777777" w:rsidR="00F613FF" w:rsidRPr="00AE15DA" w:rsidRDefault="00F613FF" w:rsidP="0043334F">
      <w:pPr>
        <w:contextualSpacing/>
        <w:jc w:val="both"/>
        <w:rPr>
          <w:rFonts w:asciiTheme="minorHAnsi" w:hAnsiTheme="minorHAnsi"/>
          <w:i/>
          <w:color w:val="000000" w:themeColor="text1"/>
          <w:sz w:val="22"/>
          <w:szCs w:val="22"/>
        </w:rPr>
      </w:pPr>
    </w:p>
    <w:p w14:paraId="33678B18" w14:textId="03DECCC5" w:rsidR="00846115" w:rsidRDefault="0084611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15625C03" w14:textId="77777777" w:rsidR="00FC26A6" w:rsidRDefault="00FC26A6"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2D9FD5DA" w14:textId="4ED68353" w:rsidR="00121BFE" w:rsidRPr="000C6676" w:rsidRDefault="00121BFE" w:rsidP="00121BFE">
      <w:pPr>
        <w:contextualSpacing/>
        <w:jc w:val="both"/>
        <w:sectPr w:rsidR="00121BFE" w:rsidRPr="000C6676" w:rsidSect="003E168B">
          <w:pgSz w:w="11906" w:h="16838"/>
          <w:pgMar w:top="1417" w:right="1417" w:bottom="1417" w:left="1417" w:header="708" w:footer="708" w:gutter="0"/>
          <w:cols w:space="708"/>
          <w:docGrid w:linePitch="360"/>
        </w:sectPr>
        <w:rPr>
          <w:bCs/>
          <w:i/>
          <w:rFonts w:asciiTheme="minorHAnsi" w:hAnsiTheme="minorHAnsi" w:cstheme="minorHAnsi"/>
        </w:rPr>
      </w:pPr>
      <w:r>
        <w:rPr>
          <w:bCs/>
          <w:rFonts w:asciiTheme="minorHAnsi" w:hAnsiTheme="minorHAnsi"/>
        </w:rPr>
        <w:t xml:space="preserve">Criteri di non consenso nello studio panel #International Delphi</w:t>
      </w:r>
    </w:p>
    <w:tbl>
      <w:tblPr>
        <w:tblpPr w:leftFromText="141" w:rightFromText="141" w:vertAnchor="text" w:horzAnchor="margin" w:tblpY="-1030"/>
        <w:tblW w:w="6877" w:type="dxa"/>
        <w:tblCellMar>
          <w:left w:w="70" w:type="dxa"/>
          <w:right w:w="70" w:type="dxa"/>
        </w:tblCellMar>
        <w:tblLook w:val="04A0" w:firstRow="1" w:lastRow="0" w:firstColumn="1" w:lastColumn="0" w:noHBand="0" w:noVBand="1"/>
      </w:tblPr>
      <w:tblGrid>
        <w:gridCol w:w="6877"/>
      </w:tblGrid>
      <w:tr w:rsidR="00FC26A6" w:rsidRPr="0063161F" w14:paraId="6FF6A4F9" w14:textId="77777777" w:rsidTr="00FC26A6">
        <w:trPr>
          <w:trHeight w:val="269"/>
        </w:trPr>
        <w:tc>
          <w:tcPr>
            <w:tcW w:w="6877" w:type="dxa"/>
            <w:tcBorders>
              <w:top w:val="nil"/>
              <w:left w:val="nil"/>
              <w:bottom w:val="nil"/>
              <w:right w:val="nil"/>
            </w:tcBorders>
            <w:shd w:val="clear" w:color="auto" w:fill="auto"/>
            <w:noWrap/>
            <w:vAlign w:val="bottom"/>
            <w:hideMark/>
          </w:tcPr>
          <w:p w14:paraId="2C1FDBDE" w14:textId="77777777" w:rsidR="00FC26A6" w:rsidRDefault="00FC26A6" w:rsidP="00FC26A6">
            <w:pPr>
              <w:rPr>
                <w:b/>
                <w:rFonts w:ascii="Calibri" w:hAnsi="Calibri"/>
              </w:rPr>
            </w:pPr>
            <w:r>
              <w:rPr>
                <w:b/>
                <w:rFonts w:ascii="Calibri" w:hAnsi="Calibri"/>
              </w:rPr>
              <w:t xml:space="preserve">Abbreviazioni:</w:t>
            </w:r>
          </w:p>
          <w:p w14:paraId="5D42A0E6" w14:textId="77777777" w:rsidR="00FC26A6" w:rsidRDefault="00FC26A6" w:rsidP="00FC26A6">
            <w:pPr>
              <w:rPr>
                <w:rFonts w:ascii="Calibri" w:hAnsi="Calibri"/>
                <w:b/>
              </w:rPr>
            </w:pPr>
          </w:p>
          <w:p w14:paraId="60237BCF" w14:textId="77777777" w:rsidR="00FC26A6" w:rsidRPr="009C777C" w:rsidRDefault="00FC26A6" w:rsidP="00FC26A6">
            <w:pPr>
              <w:rPr>
                <w:bCs/>
                <w:rFonts w:ascii="Calibri" w:hAnsi="Calibri"/>
              </w:rPr>
            </w:pPr>
            <w:r>
              <w:rPr>
                <w:bCs/>
                <w:rFonts w:ascii="Calibri" w:hAnsi="Calibri"/>
              </w:rPr>
              <w:t xml:space="preserve">AF:</w:t>
            </w:r>
            <w:r>
              <w:rPr>
                <w:bCs/>
                <w:rFonts w:ascii="Calibri" w:hAnsi="Calibri"/>
              </w:rPr>
              <w:t xml:space="preserve"> </w:t>
            </w:r>
            <w:r>
              <w:rPr>
                <w:bCs/>
                <w:rFonts w:ascii="Calibri" w:hAnsi="Calibri"/>
              </w:rPr>
              <w:t xml:space="preserve">Fibrillazione atriale</w:t>
            </w:r>
          </w:p>
          <w:p w14:paraId="4C518F63" w14:textId="77777777" w:rsidR="00FC26A6" w:rsidRPr="0063161F" w:rsidRDefault="00FC26A6" w:rsidP="00FC26A6">
            <w:pPr>
              <w:rPr>
                <w:rFonts w:ascii="Calibri" w:hAnsi="Calibri"/>
              </w:rPr>
            </w:pPr>
            <w:r>
              <w:rPr>
                <w:rFonts w:ascii="Calibri" w:hAnsi="Calibri"/>
              </w:rPr>
              <w:t xml:space="preserve">ACEİ:</w:t>
            </w:r>
            <w:r>
              <w:rPr>
                <w:rFonts w:ascii="Calibri" w:hAnsi="Calibri"/>
              </w:rPr>
              <w:t xml:space="preserve"> </w:t>
            </w:r>
            <w:r>
              <w:rPr>
                <w:rFonts w:ascii="Calibri" w:hAnsi="Calibri"/>
              </w:rPr>
              <w:t xml:space="preserve">Inibitori dell'enzima di conversione dell'angiotensina</w:t>
            </w:r>
          </w:p>
        </w:tc>
      </w:tr>
      <w:tr w:rsidR="00FC26A6" w:rsidRPr="0063161F" w14:paraId="50587585" w14:textId="77777777" w:rsidTr="00FC26A6">
        <w:trPr>
          <w:trHeight w:val="269"/>
        </w:trPr>
        <w:tc>
          <w:tcPr>
            <w:tcW w:w="6877" w:type="dxa"/>
            <w:tcBorders>
              <w:top w:val="nil"/>
              <w:left w:val="nil"/>
              <w:bottom w:val="nil"/>
              <w:right w:val="nil"/>
            </w:tcBorders>
            <w:shd w:val="clear" w:color="auto" w:fill="auto"/>
            <w:noWrap/>
            <w:vAlign w:val="bottom"/>
            <w:hideMark/>
          </w:tcPr>
          <w:p w14:paraId="6423E6C1" w14:textId="77777777" w:rsidR="00FC26A6" w:rsidRPr="0063161F" w:rsidRDefault="00FC26A6" w:rsidP="00FC26A6">
            <w:pPr>
              <w:rPr>
                <w:rFonts w:ascii="Calibri" w:hAnsi="Calibri"/>
              </w:rPr>
            </w:pPr>
            <w:r>
              <w:rPr>
                <w:rFonts w:ascii="Calibri" w:hAnsi="Calibri"/>
              </w:rPr>
              <w:t xml:space="preserve">ARB:</w:t>
            </w:r>
            <w:r>
              <w:rPr>
                <w:rFonts w:ascii="Calibri" w:hAnsi="Calibri"/>
              </w:rPr>
              <w:t xml:space="preserve"> </w:t>
            </w:r>
            <w:r>
              <w:rPr>
                <w:rFonts w:ascii="Calibri" w:hAnsi="Calibri"/>
              </w:rPr>
              <w:t xml:space="preserve">Bloccanti del recettore dell'angiotensina</w:t>
            </w:r>
          </w:p>
        </w:tc>
      </w:tr>
      <w:tr w:rsidR="00FC26A6" w:rsidRPr="0063161F" w14:paraId="5125DA48" w14:textId="77777777" w:rsidTr="00FC26A6">
        <w:trPr>
          <w:trHeight w:val="269"/>
        </w:trPr>
        <w:tc>
          <w:tcPr>
            <w:tcW w:w="6877" w:type="dxa"/>
            <w:tcBorders>
              <w:top w:val="nil"/>
              <w:left w:val="nil"/>
              <w:bottom w:val="nil"/>
              <w:right w:val="nil"/>
            </w:tcBorders>
            <w:shd w:val="clear" w:color="auto" w:fill="auto"/>
            <w:noWrap/>
            <w:vAlign w:val="bottom"/>
            <w:hideMark/>
          </w:tcPr>
          <w:p w14:paraId="6CA14F5F" w14:textId="77777777" w:rsidR="00FC26A6" w:rsidRDefault="00FC26A6" w:rsidP="00FC26A6">
            <w:pPr>
              <w:rPr>
                <w:rFonts w:ascii="Calibri" w:hAnsi="Calibri"/>
              </w:rPr>
            </w:pPr>
            <w:r>
              <w:rPr>
                <w:rFonts w:ascii="Calibri" w:hAnsi="Calibri"/>
              </w:rPr>
              <w:t xml:space="preserve">ChEIs: Inibitori dell'acetilcolinesterasi</w:t>
            </w:r>
          </w:p>
          <w:p w14:paraId="036EEA79" w14:textId="77777777" w:rsidR="00FC26A6" w:rsidRPr="0063161F" w:rsidRDefault="00FC26A6" w:rsidP="00FC26A6">
            <w:pPr>
              <w:rPr>
                <w:rFonts w:ascii="Calibri" w:hAnsi="Calibri"/>
              </w:rPr>
            </w:pPr>
            <w:r>
              <w:rPr>
                <w:rFonts w:ascii="Calibri" w:hAnsi="Calibri"/>
              </w:rPr>
              <w:t xml:space="preserve">DM:</w:t>
            </w:r>
            <w:r>
              <w:rPr>
                <w:rFonts w:ascii="Calibri" w:hAnsi="Calibri"/>
              </w:rPr>
              <w:t xml:space="preserve"> </w:t>
            </w:r>
            <w:r>
              <w:rPr>
                <w:rFonts w:ascii="Calibri" w:hAnsi="Calibri"/>
              </w:rPr>
              <w:t xml:space="preserve">Diabete mellito</w:t>
            </w:r>
          </w:p>
        </w:tc>
      </w:tr>
      <w:tr w:rsidR="00FC26A6" w:rsidRPr="0063161F" w14:paraId="41DC5DDF" w14:textId="77777777" w:rsidTr="00FC26A6">
        <w:trPr>
          <w:trHeight w:val="269"/>
        </w:trPr>
        <w:tc>
          <w:tcPr>
            <w:tcW w:w="6877" w:type="dxa"/>
            <w:tcBorders>
              <w:top w:val="nil"/>
              <w:left w:val="nil"/>
              <w:bottom w:val="nil"/>
              <w:right w:val="nil"/>
            </w:tcBorders>
            <w:shd w:val="clear" w:color="auto" w:fill="auto"/>
            <w:noWrap/>
            <w:vAlign w:val="bottom"/>
            <w:hideMark/>
          </w:tcPr>
          <w:p w14:paraId="3433CA15" w14:textId="77777777" w:rsidR="00FC26A6" w:rsidRPr="0063161F" w:rsidRDefault="00FC26A6" w:rsidP="00FC26A6">
            <w:pPr>
              <w:rPr>
                <w:rFonts w:ascii="Calibri" w:hAnsi="Calibri"/>
              </w:rPr>
            </w:pPr>
            <w:r>
              <w:rPr>
                <w:rFonts w:ascii="Calibri" w:hAnsi="Calibri"/>
              </w:rPr>
              <w:t xml:space="preserve">EF:</w:t>
            </w:r>
            <w:r>
              <w:rPr>
                <w:rFonts w:ascii="Calibri" w:hAnsi="Calibri"/>
              </w:rPr>
              <w:t xml:space="preserve"> </w:t>
            </w:r>
            <w:r>
              <w:rPr>
                <w:rFonts w:ascii="Calibri" w:hAnsi="Calibri"/>
              </w:rPr>
              <w:t xml:space="preserve">Frazione di eiezione</w:t>
            </w:r>
          </w:p>
        </w:tc>
      </w:tr>
      <w:tr w:rsidR="00FC26A6" w:rsidRPr="0063161F" w14:paraId="2326D158" w14:textId="77777777" w:rsidTr="00FC26A6">
        <w:trPr>
          <w:trHeight w:val="269"/>
        </w:trPr>
        <w:tc>
          <w:tcPr>
            <w:tcW w:w="6877" w:type="dxa"/>
            <w:tcBorders>
              <w:top w:val="nil"/>
              <w:left w:val="nil"/>
              <w:bottom w:val="nil"/>
              <w:right w:val="nil"/>
            </w:tcBorders>
            <w:shd w:val="clear" w:color="auto" w:fill="auto"/>
            <w:noWrap/>
            <w:vAlign w:val="bottom"/>
            <w:hideMark/>
          </w:tcPr>
          <w:p w14:paraId="3E0A1079" w14:textId="77777777" w:rsidR="00FC26A6" w:rsidRPr="0063161F" w:rsidRDefault="00FC26A6" w:rsidP="00FC26A6">
            <w:pPr>
              <w:rPr>
                <w:rFonts w:ascii="Calibri" w:hAnsi="Calibri"/>
              </w:rPr>
            </w:pPr>
            <w:r>
              <w:rPr>
                <w:rFonts w:ascii="Calibri" w:hAnsi="Calibri"/>
              </w:rPr>
              <w:t xml:space="preserve">eGFR:</w:t>
            </w:r>
            <w:r>
              <w:rPr>
                <w:rFonts w:ascii="Calibri" w:hAnsi="Calibri"/>
              </w:rPr>
              <w:t xml:space="preserve"> </w:t>
            </w:r>
            <w:r>
              <w:rPr>
                <w:rFonts w:ascii="Calibri" w:hAnsi="Calibri"/>
              </w:rPr>
              <w:t xml:space="preserve">Tasso di filtrazione glomerulare stimato</w:t>
            </w:r>
          </w:p>
        </w:tc>
      </w:tr>
      <w:tr w:rsidR="00FC26A6" w:rsidRPr="0063161F" w14:paraId="7D4EC7F4" w14:textId="77777777" w:rsidTr="00FC26A6">
        <w:trPr>
          <w:trHeight w:val="269"/>
        </w:trPr>
        <w:tc>
          <w:tcPr>
            <w:tcW w:w="6877" w:type="dxa"/>
            <w:tcBorders>
              <w:top w:val="nil"/>
              <w:left w:val="nil"/>
              <w:bottom w:val="nil"/>
              <w:right w:val="nil"/>
            </w:tcBorders>
            <w:shd w:val="clear" w:color="auto" w:fill="auto"/>
            <w:noWrap/>
            <w:vAlign w:val="bottom"/>
            <w:hideMark/>
          </w:tcPr>
          <w:p w14:paraId="2339D937" w14:textId="77777777" w:rsidR="00FC26A6" w:rsidRPr="0063161F" w:rsidRDefault="00FC26A6" w:rsidP="00FC26A6">
            <w:pPr>
              <w:rPr>
                <w:rFonts w:ascii="Calibri" w:hAnsi="Calibri"/>
              </w:rPr>
            </w:pPr>
            <w:r>
              <w:rPr>
                <w:rFonts w:ascii="Calibri" w:hAnsi="Calibri"/>
              </w:rPr>
              <w:t xml:space="preserve">FDA:</w:t>
            </w:r>
            <w:r>
              <w:rPr>
                <w:rFonts w:ascii="Calibri" w:hAnsi="Calibri"/>
              </w:rPr>
              <w:t xml:space="preserve"> </w:t>
            </w:r>
            <w:r>
              <w:rPr>
                <w:rFonts w:ascii="Calibri" w:hAnsi="Calibri"/>
              </w:rPr>
              <w:t xml:space="preserve">Amministrazione di alimenti e farmaci</w:t>
            </w:r>
          </w:p>
        </w:tc>
      </w:tr>
      <w:tr w:rsidR="00FC26A6" w:rsidRPr="0063161F" w14:paraId="58FE05B3" w14:textId="77777777" w:rsidTr="00FC26A6">
        <w:trPr>
          <w:trHeight w:val="269"/>
        </w:trPr>
        <w:tc>
          <w:tcPr>
            <w:tcW w:w="6877" w:type="dxa"/>
            <w:tcBorders>
              <w:top w:val="nil"/>
              <w:left w:val="nil"/>
              <w:bottom w:val="nil"/>
              <w:right w:val="nil"/>
            </w:tcBorders>
            <w:shd w:val="clear" w:color="auto" w:fill="auto"/>
            <w:noWrap/>
            <w:vAlign w:val="bottom"/>
            <w:hideMark/>
          </w:tcPr>
          <w:p w14:paraId="5259C597" w14:textId="77777777" w:rsidR="00FC26A6" w:rsidRPr="0063161F" w:rsidRDefault="00FC26A6" w:rsidP="00FC26A6">
            <w:pPr>
              <w:rPr>
                <w:rFonts w:ascii="Calibri" w:hAnsi="Calibri"/>
              </w:rPr>
            </w:pPr>
            <w:r>
              <w:rPr>
                <w:rFonts w:ascii="Calibri" w:hAnsi="Calibri"/>
              </w:rPr>
              <w:t xml:space="preserve">GIS:</w:t>
            </w:r>
            <w:r>
              <w:rPr>
                <w:rFonts w:ascii="Calibri" w:hAnsi="Calibri"/>
              </w:rPr>
              <w:t xml:space="preserve"> </w:t>
            </w:r>
            <w:r>
              <w:rPr>
                <w:rFonts w:ascii="Calibri" w:hAnsi="Calibri"/>
              </w:rPr>
              <w:t xml:space="preserve">Sistema gastrointestinale</w:t>
            </w:r>
          </w:p>
        </w:tc>
      </w:tr>
      <w:tr w:rsidR="00FC26A6" w:rsidRPr="0063161F" w14:paraId="002375DC" w14:textId="77777777" w:rsidTr="00FC26A6">
        <w:trPr>
          <w:trHeight w:val="269"/>
        </w:trPr>
        <w:tc>
          <w:tcPr>
            <w:tcW w:w="6877" w:type="dxa"/>
            <w:tcBorders>
              <w:top w:val="nil"/>
              <w:left w:val="nil"/>
              <w:bottom w:val="nil"/>
              <w:right w:val="nil"/>
            </w:tcBorders>
            <w:shd w:val="clear" w:color="auto" w:fill="auto"/>
            <w:noWrap/>
            <w:vAlign w:val="bottom"/>
            <w:hideMark/>
          </w:tcPr>
          <w:p w14:paraId="242D87AF" w14:textId="77777777" w:rsidR="00FC26A6" w:rsidRDefault="00FC26A6" w:rsidP="00FC26A6">
            <w:pPr>
              <w:rPr>
                <w:rFonts w:ascii="Calibri" w:hAnsi="Calibri"/>
              </w:rPr>
            </w:pPr>
            <w:r>
              <w:rPr>
                <w:rFonts w:ascii="Calibri" w:hAnsi="Calibri"/>
              </w:rPr>
              <w:t xml:space="preserve">GİA:</w:t>
            </w:r>
            <w:r>
              <w:rPr>
                <w:rFonts w:ascii="Calibri" w:hAnsi="Calibri"/>
              </w:rPr>
              <w:t xml:space="preserve"> </w:t>
            </w:r>
            <w:r>
              <w:rPr>
                <w:rFonts w:ascii="Calibri" w:hAnsi="Calibri"/>
              </w:rPr>
              <w:t xml:space="preserve">Attacco ischemico transitorio</w:t>
            </w:r>
          </w:p>
          <w:p w14:paraId="01BB0E62" w14:textId="77777777" w:rsidR="00FC26A6" w:rsidRPr="0063161F" w:rsidRDefault="00FC26A6" w:rsidP="00FC26A6">
            <w:pPr>
              <w:rPr>
                <w:rFonts w:ascii="Calibri" w:hAnsi="Calibri"/>
              </w:rPr>
            </w:pPr>
            <w:r>
              <w:rPr>
                <w:rFonts w:ascii="Calibri" w:hAnsi="Calibri"/>
              </w:rPr>
              <w:t xml:space="preserve">GÖR:</w:t>
            </w:r>
            <w:r>
              <w:rPr>
                <w:rFonts w:ascii="Calibri" w:hAnsi="Calibri"/>
              </w:rPr>
              <w:t xml:space="preserve"> </w:t>
            </w:r>
            <w:r>
              <w:rPr>
                <w:rFonts w:ascii="Calibri" w:hAnsi="Calibri"/>
              </w:rPr>
              <w:t xml:space="preserve">Reflusso gastroesofageo</w:t>
            </w:r>
          </w:p>
        </w:tc>
      </w:tr>
      <w:tr w:rsidR="00FC26A6" w:rsidRPr="0063161F" w14:paraId="3E930219" w14:textId="77777777" w:rsidTr="00FC26A6">
        <w:trPr>
          <w:trHeight w:val="269"/>
        </w:trPr>
        <w:tc>
          <w:tcPr>
            <w:tcW w:w="6877" w:type="dxa"/>
            <w:tcBorders>
              <w:top w:val="nil"/>
              <w:left w:val="nil"/>
              <w:bottom w:val="nil"/>
              <w:right w:val="nil"/>
            </w:tcBorders>
            <w:shd w:val="clear" w:color="auto" w:fill="auto"/>
            <w:noWrap/>
            <w:vAlign w:val="bottom"/>
            <w:hideMark/>
          </w:tcPr>
          <w:p w14:paraId="6B6D2B80" w14:textId="77777777" w:rsidR="00FC26A6" w:rsidRDefault="00FC26A6" w:rsidP="00FC26A6">
            <w:pPr>
              <w:rPr>
                <w:rFonts w:ascii="Calibri" w:hAnsi="Calibri"/>
              </w:rPr>
            </w:pPr>
            <w:r>
              <w:rPr>
                <w:rFonts w:ascii="Calibri" w:hAnsi="Calibri"/>
              </w:rPr>
              <w:t xml:space="preserve">Recettore H1:</w:t>
            </w:r>
            <w:r>
              <w:rPr>
                <w:rFonts w:ascii="Calibri" w:hAnsi="Calibri"/>
              </w:rPr>
              <w:t xml:space="preserve"> </w:t>
            </w:r>
            <w:r>
              <w:rPr>
                <w:rFonts w:ascii="Calibri" w:hAnsi="Calibri"/>
              </w:rPr>
              <w:t xml:space="preserve">Recettore dell'istamina 1</w:t>
            </w:r>
          </w:p>
          <w:p w14:paraId="562AAF46" w14:textId="77777777" w:rsidR="00FC26A6" w:rsidRPr="0063161F" w:rsidRDefault="00FC26A6" w:rsidP="00FC26A6">
            <w:pPr>
              <w:rPr>
                <w:rFonts w:ascii="Calibri" w:hAnsi="Calibri"/>
              </w:rPr>
            </w:pPr>
            <w:r>
              <w:rPr>
                <w:rFonts w:ascii="Calibri" w:hAnsi="Calibri"/>
              </w:rPr>
              <w:t xml:space="preserve">HT:</w:t>
            </w:r>
            <w:r>
              <w:rPr>
                <w:rFonts w:ascii="Calibri" w:hAnsi="Calibri"/>
              </w:rPr>
              <w:t xml:space="preserve"> </w:t>
            </w:r>
            <w:r>
              <w:rPr>
                <w:rFonts w:ascii="Calibri" w:hAnsi="Calibri"/>
              </w:rPr>
              <w:t xml:space="preserve">Ipertensione</w:t>
            </w:r>
          </w:p>
        </w:tc>
      </w:tr>
      <w:tr w:rsidR="00FC26A6" w:rsidRPr="0063161F" w14:paraId="0C15F749" w14:textId="77777777" w:rsidTr="00FC26A6">
        <w:trPr>
          <w:trHeight w:val="269"/>
        </w:trPr>
        <w:tc>
          <w:tcPr>
            <w:tcW w:w="6877" w:type="dxa"/>
            <w:tcBorders>
              <w:top w:val="nil"/>
              <w:left w:val="nil"/>
              <w:bottom w:val="nil"/>
              <w:right w:val="nil"/>
            </w:tcBorders>
            <w:shd w:val="clear" w:color="auto" w:fill="auto"/>
            <w:noWrap/>
            <w:vAlign w:val="bottom"/>
            <w:hideMark/>
          </w:tcPr>
          <w:p w14:paraId="28C4419D" w14:textId="77777777" w:rsidR="00FC26A6" w:rsidRPr="0063161F" w:rsidRDefault="00FC26A6" w:rsidP="00FC26A6">
            <w:pPr>
              <w:rPr>
                <w:rFonts w:ascii="Calibri" w:hAnsi="Calibri"/>
              </w:rPr>
            </w:pPr>
            <w:r>
              <w:rPr>
                <w:rFonts w:ascii="Calibri" w:hAnsi="Calibri"/>
              </w:rPr>
              <w:t xml:space="preserve">INR:</w:t>
            </w:r>
            <w:r>
              <w:rPr>
                <w:rFonts w:ascii="Calibri" w:hAnsi="Calibri"/>
              </w:rPr>
              <w:t xml:space="preserve"> </w:t>
            </w:r>
            <w:r>
              <w:rPr>
                <w:rFonts w:ascii="Calibri" w:hAnsi="Calibri"/>
              </w:rPr>
              <w:t xml:space="preserve">Rapporto internazionale Normalizzato</w:t>
            </w:r>
          </w:p>
        </w:tc>
      </w:tr>
      <w:tr w:rsidR="00FC26A6" w:rsidRPr="0063161F" w14:paraId="7172DB5E" w14:textId="77777777" w:rsidTr="00FC26A6">
        <w:trPr>
          <w:trHeight w:val="269"/>
        </w:trPr>
        <w:tc>
          <w:tcPr>
            <w:tcW w:w="6877" w:type="dxa"/>
            <w:tcBorders>
              <w:top w:val="nil"/>
              <w:left w:val="nil"/>
              <w:bottom w:val="nil"/>
              <w:right w:val="nil"/>
            </w:tcBorders>
            <w:shd w:val="clear" w:color="auto" w:fill="auto"/>
            <w:noWrap/>
            <w:vAlign w:val="bottom"/>
            <w:hideMark/>
          </w:tcPr>
          <w:p w14:paraId="41BC576E" w14:textId="77777777" w:rsidR="00FC26A6" w:rsidRPr="0063161F" w:rsidRDefault="00FC26A6" w:rsidP="00FC26A6">
            <w:pPr>
              <w:rPr>
                <w:rFonts w:ascii="Calibri" w:hAnsi="Calibri"/>
              </w:rPr>
            </w:pPr>
            <w:r>
              <w:rPr>
                <w:rFonts w:ascii="Calibri" w:hAnsi="Calibri"/>
              </w:rPr>
              <w:t xml:space="preserve">KOAH:</w:t>
            </w:r>
            <w:r>
              <w:rPr>
                <w:rFonts w:ascii="Calibri" w:hAnsi="Calibri"/>
              </w:rPr>
              <w:t xml:space="preserve"> </w:t>
            </w:r>
            <w:r>
              <w:rPr>
                <w:rFonts w:ascii="Calibri" w:hAnsi="Calibri"/>
              </w:rPr>
              <w:t xml:space="preserve">Broncopneumopatia cronica ostruttiva</w:t>
            </w:r>
          </w:p>
        </w:tc>
      </w:tr>
      <w:tr w:rsidR="00FC26A6" w:rsidRPr="0063161F" w14:paraId="3C23AA1A" w14:textId="77777777" w:rsidTr="00FC26A6">
        <w:trPr>
          <w:trHeight w:val="269"/>
        </w:trPr>
        <w:tc>
          <w:tcPr>
            <w:tcW w:w="6877" w:type="dxa"/>
            <w:tcBorders>
              <w:top w:val="nil"/>
              <w:left w:val="nil"/>
              <w:bottom w:val="nil"/>
              <w:right w:val="nil"/>
            </w:tcBorders>
            <w:shd w:val="clear" w:color="auto" w:fill="auto"/>
            <w:noWrap/>
            <w:vAlign w:val="bottom"/>
            <w:hideMark/>
          </w:tcPr>
          <w:p w14:paraId="5E569F21" w14:textId="77777777" w:rsidR="00FC26A6" w:rsidRPr="0063161F" w:rsidRDefault="00FC26A6" w:rsidP="00FC26A6">
            <w:pPr>
              <w:rPr>
                <w:rFonts w:ascii="Calibri" w:hAnsi="Calibri"/>
              </w:rPr>
            </w:pPr>
            <w:r>
              <w:rPr>
                <w:rFonts w:ascii="Calibri" w:hAnsi="Calibri"/>
              </w:rPr>
              <w:t xml:space="preserve">LUTS:</w:t>
            </w:r>
            <w:r>
              <w:rPr>
                <w:rFonts w:ascii="Calibri" w:hAnsi="Calibri"/>
              </w:rPr>
              <w:t xml:space="preserve"> </w:t>
            </w:r>
            <w:r>
              <w:rPr>
                <w:rFonts w:ascii="Calibri" w:hAnsi="Calibri"/>
              </w:rPr>
              <w:t xml:space="preserve">Sintomi del tratto urinario inferiore</w:t>
            </w:r>
          </w:p>
        </w:tc>
      </w:tr>
      <w:tr w:rsidR="00FC26A6" w:rsidRPr="0063161F" w14:paraId="23B2AF8D" w14:textId="77777777" w:rsidTr="00FC26A6">
        <w:trPr>
          <w:trHeight w:val="269"/>
        </w:trPr>
        <w:tc>
          <w:tcPr>
            <w:tcW w:w="6877" w:type="dxa"/>
            <w:tcBorders>
              <w:top w:val="nil"/>
              <w:left w:val="nil"/>
              <w:bottom w:val="nil"/>
              <w:right w:val="nil"/>
            </w:tcBorders>
            <w:shd w:val="clear" w:color="auto" w:fill="auto"/>
            <w:noWrap/>
            <w:vAlign w:val="bottom"/>
            <w:hideMark/>
          </w:tcPr>
          <w:p w14:paraId="3F417D9D" w14:textId="77777777" w:rsidR="00FC26A6" w:rsidRDefault="00FC26A6" w:rsidP="00FC26A6">
            <w:pPr>
              <w:rPr>
                <w:rFonts w:ascii="Calibri" w:hAnsi="Calibri"/>
              </w:rPr>
            </w:pPr>
            <w:r>
              <w:rPr>
                <w:rFonts w:ascii="Calibri" w:hAnsi="Calibri"/>
              </w:rPr>
              <w:t xml:space="preserve">Mİ:</w:t>
            </w:r>
            <w:r>
              <w:rPr>
                <w:rFonts w:ascii="Calibri" w:hAnsi="Calibri"/>
              </w:rPr>
              <w:t xml:space="preserve"> </w:t>
            </w:r>
            <w:r>
              <w:rPr>
                <w:rFonts w:ascii="Calibri" w:hAnsi="Calibri"/>
              </w:rPr>
              <w:t xml:space="preserve">Infarto miocardico</w:t>
            </w:r>
          </w:p>
          <w:p w14:paraId="4E7CC587" w14:textId="77777777" w:rsidR="00FC26A6" w:rsidRPr="0063161F" w:rsidRDefault="00FC26A6" w:rsidP="00FC26A6">
            <w:pPr>
              <w:rPr>
                <w:rFonts w:ascii="Calibri" w:hAnsi="Calibri"/>
              </w:rPr>
            </w:pPr>
            <w:r>
              <w:rPr>
                <w:rFonts w:ascii="Calibri" w:hAnsi="Calibri"/>
              </w:rPr>
              <w:t xml:space="preserve">MSS:</w:t>
            </w:r>
            <w:r>
              <w:rPr>
                <w:rFonts w:ascii="Calibri" w:hAnsi="Calibri"/>
              </w:rPr>
              <w:t xml:space="preserve"> </w:t>
            </w:r>
            <w:r>
              <w:rPr>
                <w:rFonts w:ascii="Calibri" w:hAnsi="Calibri"/>
              </w:rPr>
              <w:t xml:space="preserve">Sistema nervoso centrale</w:t>
            </w:r>
          </w:p>
        </w:tc>
      </w:tr>
      <w:tr w:rsidR="00FC26A6" w:rsidRPr="0063161F" w14:paraId="00AA0138" w14:textId="77777777" w:rsidTr="00FC26A6">
        <w:trPr>
          <w:trHeight w:val="269"/>
        </w:trPr>
        <w:tc>
          <w:tcPr>
            <w:tcW w:w="6877" w:type="dxa"/>
            <w:tcBorders>
              <w:top w:val="nil"/>
              <w:left w:val="nil"/>
              <w:bottom w:val="nil"/>
              <w:right w:val="nil"/>
            </w:tcBorders>
            <w:shd w:val="clear" w:color="auto" w:fill="auto"/>
            <w:noWrap/>
            <w:vAlign w:val="bottom"/>
            <w:hideMark/>
          </w:tcPr>
          <w:p w14:paraId="19057018" w14:textId="77777777" w:rsidR="00FC26A6" w:rsidRPr="0063161F" w:rsidRDefault="00FC26A6" w:rsidP="00FC26A6">
            <w:pPr>
              <w:rPr>
                <w:rFonts w:ascii="Calibri" w:hAnsi="Calibri"/>
              </w:rPr>
            </w:pPr>
            <w:r>
              <w:rPr>
                <w:rFonts w:ascii="Calibri" w:hAnsi="Calibri"/>
              </w:rPr>
              <w:t xml:space="preserve">NSAİİ:</w:t>
            </w:r>
            <w:r>
              <w:rPr>
                <w:rFonts w:ascii="Calibri" w:hAnsi="Calibri"/>
              </w:rPr>
              <w:t xml:space="preserve"> </w:t>
            </w:r>
            <w:r>
              <w:rPr>
                <w:rFonts w:ascii="Calibri" w:hAnsi="Calibri"/>
              </w:rPr>
              <w:t xml:space="preserve">Farmaci antinfiammatori non steroidei</w:t>
            </w:r>
          </w:p>
        </w:tc>
      </w:tr>
      <w:tr w:rsidR="00FC26A6" w:rsidRPr="0063161F" w14:paraId="5A3830CE" w14:textId="77777777" w:rsidTr="00FC26A6">
        <w:trPr>
          <w:trHeight w:val="269"/>
        </w:trPr>
        <w:tc>
          <w:tcPr>
            <w:tcW w:w="6877" w:type="dxa"/>
            <w:tcBorders>
              <w:top w:val="nil"/>
              <w:left w:val="nil"/>
              <w:bottom w:val="nil"/>
              <w:right w:val="nil"/>
            </w:tcBorders>
            <w:shd w:val="clear" w:color="auto" w:fill="auto"/>
            <w:noWrap/>
            <w:vAlign w:val="bottom"/>
            <w:hideMark/>
          </w:tcPr>
          <w:p w14:paraId="14FD732D" w14:textId="77777777" w:rsidR="00FC26A6" w:rsidRPr="0063161F" w:rsidRDefault="00FC26A6" w:rsidP="00FC26A6">
            <w:pPr>
              <w:rPr>
                <w:rFonts w:ascii="Calibri" w:hAnsi="Calibri"/>
              </w:rPr>
            </w:pPr>
            <w:r>
              <w:rPr>
                <w:rFonts w:ascii="Calibri" w:hAnsi="Calibri"/>
              </w:rPr>
              <w:t xml:space="preserve">NYHA:</w:t>
            </w:r>
            <w:r>
              <w:rPr>
                <w:rFonts w:ascii="Calibri" w:hAnsi="Calibri"/>
              </w:rPr>
              <w:t xml:space="preserve"> </w:t>
            </w:r>
            <w:r>
              <w:rPr>
                <w:rFonts w:ascii="Calibri" w:hAnsi="Calibri"/>
              </w:rPr>
              <w:t xml:space="preserve">Associazione del cuore di New York</w:t>
            </w:r>
          </w:p>
        </w:tc>
      </w:tr>
      <w:tr w:rsidR="00FC26A6" w:rsidRPr="0063161F" w14:paraId="1CA4EB6E" w14:textId="77777777" w:rsidTr="00FC26A6">
        <w:trPr>
          <w:trHeight w:val="269"/>
        </w:trPr>
        <w:tc>
          <w:tcPr>
            <w:tcW w:w="6877" w:type="dxa"/>
            <w:tcBorders>
              <w:top w:val="nil"/>
              <w:left w:val="nil"/>
              <w:bottom w:val="nil"/>
              <w:right w:val="nil"/>
            </w:tcBorders>
            <w:shd w:val="clear" w:color="auto" w:fill="auto"/>
            <w:noWrap/>
            <w:vAlign w:val="bottom"/>
            <w:hideMark/>
          </w:tcPr>
          <w:p w14:paraId="38B541AA" w14:textId="77777777" w:rsidR="00FC26A6" w:rsidRPr="0063161F" w:rsidRDefault="00FC26A6" w:rsidP="00FC26A6">
            <w:pPr>
              <w:rPr>
                <w:rFonts w:ascii="Calibri" w:hAnsi="Calibri"/>
              </w:rPr>
            </w:pPr>
            <w:r>
              <w:rPr>
                <w:rFonts w:ascii="Calibri" w:hAnsi="Calibri"/>
              </w:rPr>
              <w:t xml:space="preserve">OAK:</w:t>
            </w:r>
            <w:r>
              <w:rPr>
                <w:rFonts w:ascii="Calibri" w:hAnsi="Calibri"/>
              </w:rPr>
              <w:t xml:space="preserve"> </w:t>
            </w:r>
            <w:r>
              <w:rPr>
                <w:rFonts w:ascii="Calibri" w:hAnsi="Calibri"/>
              </w:rPr>
              <w:t xml:space="preserve">Anticoagulante orale</w:t>
            </w:r>
          </w:p>
        </w:tc>
      </w:tr>
      <w:tr w:rsidR="00FC26A6" w:rsidRPr="0063161F" w14:paraId="5F22DF8C" w14:textId="77777777" w:rsidTr="00FC26A6">
        <w:trPr>
          <w:trHeight w:val="269"/>
        </w:trPr>
        <w:tc>
          <w:tcPr>
            <w:tcW w:w="6877" w:type="dxa"/>
            <w:tcBorders>
              <w:top w:val="nil"/>
              <w:left w:val="nil"/>
              <w:bottom w:val="nil"/>
              <w:right w:val="nil"/>
            </w:tcBorders>
            <w:shd w:val="clear" w:color="auto" w:fill="auto"/>
            <w:noWrap/>
            <w:vAlign w:val="bottom"/>
            <w:hideMark/>
          </w:tcPr>
          <w:p w14:paraId="7DE8982D" w14:textId="77777777" w:rsidR="00FC26A6" w:rsidRPr="0063161F" w:rsidRDefault="00FC26A6" w:rsidP="00FC26A6">
            <w:pPr>
              <w:rPr>
                <w:rFonts w:ascii="Calibri" w:hAnsi="Calibri"/>
              </w:rPr>
            </w:pPr>
            <w:r>
              <w:rPr>
                <w:rFonts w:ascii="Calibri" w:hAnsi="Calibri"/>
              </w:rPr>
              <w:t xml:space="preserve">PMR:</w:t>
            </w:r>
            <w:r>
              <w:rPr>
                <w:rFonts w:ascii="Calibri" w:hAnsi="Calibri"/>
              </w:rPr>
              <w:t xml:space="preserve"> </w:t>
            </w:r>
            <w:r>
              <w:rPr>
                <w:rFonts w:ascii="Calibri" w:hAnsi="Calibri"/>
              </w:rPr>
              <w:t xml:space="preserve">Residui post minzione</w:t>
            </w:r>
          </w:p>
        </w:tc>
      </w:tr>
      <w:tr w:rsidR="00FC26A6" w:rsidRPr="0063161F" w14:paraId="4E103E26" w14:textId="77777777" w:rsidTr="00FC26A6">
        <w:trPr>
          <w:trHeight w:val="269"/>
        </w:trPr>
        <w:tc>
          <w:tcPr>
            <w:tcW w:w="6877" w:type="dxa"/>
            <w:tcBorders>
              <w:top w:val="nil"/>
              <w:left w:val="nil"/>
              <w:bottom w:val="nil"/>
              <w:right w:val="nil"/>
            </w:tcBorders>
            <w:shd w:val="clear" w:color="auto" w:fill="auto"/>
            <w:noWrap/>
            <w:vAlign w:val="bottom"/>
            <w:hideMark/>
          </w:tcPr>
          <w:p w14:paraId="57E6D899" w14:textId="77777777" w:rsidR="00FC26A6" w:rsidRPr="0063161F" w:rsidRDefault="00FC26A6" w:rsidP="00FC26A6">
            <w:pPr>
              <w:rPr>
                <w:rFonts w:ascii="Calibri" w:hAnsi="Calibri"/>
              </w:rPr>
            </w:pPr>
            <w:r>
              <w:rPr>
                <w:rFonts w:ascii="Calibri" w:hAnsi="Calibri"/>
              </w:rPr>
              <w:t xml:space="preserve">pO2:</w:t>
            </w:r>
            <w:r>
              <w:rPr>
                <w:rFonts w:ascii="Calibri" w:hAnsi="Calibri"/>
              </w:rPr>
              <w:t xml:space="preserve"> </w:t>
            </w:r>
            <w:r>
              <w:rPr>
                <w:rFonts w:ascii="Calibri" w:hAnsi="Calibri"/>
              </w:rPr>
              <w:t xml:space="preserve">Pressione parziale di ossigeno</w:t>
            </w:r>
          </w:p>
        </w:tc>
      </w:tr>
      <w:tr w:rsidR="00FC26A6" w:rsidRPr="0063161F" w14:paraId="3A500C88" w14:textId="77777777" w:rsidTr="00FC26A6">
        <w:trPr>
          <w:trHeight w:val="269"/>
        </w:trPr>
        <w:tc>
          <w:tcPr>
            <w:tcW w:w="6877" w:type="dxa"/>
            <w:tcBorders>
              <w:top w:val="nil"/>
              <w:left w:val="nil"/>
              <w:bottom w:val="nil"/>
              <w:right w:val="nil"/>
            </w:tcBorders>
            <w:shd w:val="clear" w:color="auto" w:fill="auto"/>
            <w:noWrap/>
            <w:vAlign w:val="bottom"/>
            <w:hideMark/>
          </w:tcPr>
          <w:p w14:paraId="602D061A" w14:textId="60E0B142" w:rsidR="00FC26A6" w:rsidRPr="0063161F" w:rsidRDefault="00FC26A6" w:rsidP="00FC26A6">
            <w:pPr>
              <w:rPr>
                <w:rFonts w:ascii="Calibri" w:hAnsi="Calibri"/>
              </w:rPr>
            </w:pPr>
            <w:bookmarkStart w:id="0" w:name="RANGE!A28"/>
            <w:r>
              <w:rPr>
                <w:rFonts w:ascii="Calibri" w:hAnsi="Calibri"/>
              </w:rPr>
              <w:t xml:space="preserve">PPİ:</w:t>
            </w:r>
            <w:bookmarkEnd w:id="0"/>
            <w:bookmarkStart w:id="0" w:name="RANGE!A28"/>
            <w:r>
              <w:rPr>
                <w:rFonts w:ascii="Calibri" w:hAnsi="Calibri"/>
              </w:rPr>
              <w:t xml:space="preserve"> </w:t>
            </w:r>
            <w:bookmarkEnd w:id="0"/>
            <w:r>
              <w:t xml:space="preserve">Inibitori della pompa protonica</w:t>
            </w:r>
          </w:p>
        </w:tc>
      </w:tr>
      <w:tr w:rsidR="00FC26A6" w:rsidRPr="0063161F" w14:paraId="37EE3C99" w14:textId="77777777" w:rsidTr="00FC26A6">
        <w:trPr>
          <w:trHeight w:val="269"/>
        </w:trPr>
        <w:tc>
          <w:tcPr>
            <w:tcW w:w="6877" w:type="dxa"/>
            <w:tcBorders>
              <w:top w:val="nil"/>
              <w:left w:val="nil"/>
              <w:bottom w:val="nil"/>
              <w:right w:val="nil"/>
            </w:tcBorders>
            <w:shd w:val="clear" w:color="auto" w:fill="auto"/>
            <w:noWrap/>
            <w:vAlign w:val="bottom"/>
            <w:hideMark/>
          </w:tcPr>
          <w:p w14:paraId="2BFD8544" w14:textId="77777777" w:rsidR="00FC26A6" w:rsidRPr="0063161F" w:rsidRDefault="00FC26A6" w:rsidP="00FC26A6">
            <w:pPr>
              <w:rPr>
                <w:rFonts w:ascii="Calibri" w:hAnsi="Calibri"/>
              </w:rPr>
            </w:pPr>
            <w:r>
              <w:rPr>
                <w:rFonts w:ascii="Calibri" w:hAnsi="Calibri"/>
              </w:rPr>
              <w:t xml:space="preserve">QTc:</w:t>
            </w:r>
            <w:r>
              <w:rPr>
                <w:rFonts w:ascii="Calibri" w:hAnsi="Calibri"/>
              </w:rPr>
              <w:t xml:space="preserve"> </w:t>
            </w:r>
            <w:r>
              <w:rPr>
                <w:rFonts w:ascii="Calibri" w:hAnsi="Calibri"/>
              </w:rPr>
              <w:t xml:space="preserve">intervallo QT corretto</w:t>
            </w:r>
          </w:p>
        </w:tc>
      </w:tr>
      <w:tr w:rsidR="00FC26A6" w:rsidRPr="0063161F" w14:paraId="55AC372A" w14:textId="77777777" w:rsidTr="00FC26A6">
        <w:trPr>
          <w:trHeight w:val="269"/>
        </w:trPr>
        <w:tc>
          <w:tcPr>
            <w:tcW w:w="6877" w:type="dxa"/>
            <w:tcBorders>
              <w:top w:val="nil"/>
              <w:left w:val="nil"/>
              <w:bottom w:val="nil"/>
              <w:right w:val="nil"/>
            </w:tcBorders>
            <w:shd w:val="clear" w:color="auto" w:fill="auto"/>
            <w:noWrap/>
            <w:vAlign w:val="bottom"/>
            <w:hideMark/>
          </w:tcPr>
          <w:p w14:paraId="49978A94" w14:textId="77777777" w:rsidR="00FC26A6" w:rsidRPr="0063161F" w:rsidRDefault="00FC26A6" w:rsidP="00FC26A6">
            <w:pPr>
              <w:rPr>
                <w:rFonts w:ascii="Calibri" w:hAnsi="Calibri"/>
              </w:rPr>
            </w:pPr>
            <w:r>
              <w:rPr>
                <w:rFonts w:ascii="Calibri" w:hAnsi="Calibri"/>
              </w:rPr>
              <w:t xml:space="preserve">RAS:</w:t>
            </w:r>
            <w:r>
              <w:rPr>
                <w:rFonts w:ascii="Calibri" w:hAnsi="Calibri"/>
              </w:rPr>
              <w:t xml:space="preserve"> </w:t>
            </w:r>
            <w:r>
              <w:rPr>
                <w:rFonts w:ascii="Calibri" w:hAnsi="Calibri"/>
              </w:rPr>
              <w:t xml:space="preserve">Sistema renina-angiotensina</w:t>
            </w:r>
          </w:p>
        </w:tc>
      </w:tr>
      <w:tr w:rsidR="00FC26A6" w:rsidRPr="0063161F" w14:paraId="3E2684C9" w14:textId="77777777" w:rsidTr="00FC26A6">
        <w:trPr>
          <w:trHeight w:val="269"/>
        </w:trPr>
        <w:tc>
          <w:tcPr>
            <w:tcW w:w="6877" w:type="dxa"/>
            <w:tcBorders>
              <w:top w:val="nil"/>
              <w:left w:val="nil"/>
              <w:bottom w:val="nil"/>
              <w:right w:val="nil"/>
            </w:tcBorders>
            <w:shd w:val="clear" w:color="auto" w:fill="auto"/>
            <w:noWrap/>
            <w:vAlign w:val="bottom"/>
            <w:hideMark/>
          </w:tcPr>
          <w:p w14:paraId="4ACD3992" w14:textId="77777777" w:rsidR="00FC26A6" w:rsidRPr="0063161F" w:rsidRDefault="00FC26A6" w:rsidP="00FC26A6">
            <w:pPr>
              <w:rPr>
                <w:rFonts w:ascii="Calibri" w:hAnsi="Calibri"/>
              </w:rPr>
            </w:pPr>
            <w:r>
              <w:rPr>
                <w:rFonts w:ascii="Calibri" w:hAnsi="Calibri"/>
              </w:rPr>
              <w:t xml:space="preserve">SGLT-2:</w:t>
            </w:r>
            <w:r>
              <w:rPr>
                <w:rFonts w:ascii="Calibri" w:hAnsi="Calibri"/>
              </w:rPr>
              <w:t xml:space="preserve"> </w:t>
            </w:r>
            <w:r>
              <w:rPr>
                <w:rFonts w:ascii="Calibri" w:hAnsi="Calibri"/>
              </w:rPr>
              <w:t xml:space="preserve">Cotrasportatore sodio-glucosio-2</w:t>
            </w:r>
          </w:p>
        </w:tc>
      </w:tr>
      <w:tr w:rsidR="00FC26A6" w:rsidRPr="0063161F" w14:paraId="0F37E908" w14:textId="77777777" w:rsidTr="00FC26A6">
        <w:trPr>
          <w:trHeight w:val="269"/>
        </w:trPr>
        <w:tc>
          <w:tcPr>
            <w:tcW w:w="6877" w:type="dxa"/>
            <w:tcBorders>
              <w:top w:val="nil"/>
              <w:left w:val="nil"/>
              <w:bottom w:val="nil"/>
              <w:right w:val="nil"/>
            </w:tcBorders>
            <w:shd w:val="clear" w:color="auto" w:fill="auto"/>
            <w:noWrap/>
            <w:vAlign w:val="bottom"/>
            <w:hideMark/>
          </w:tcPr>
          <w:p w14:paraId="66C0D853" w14:textId="77777777" w:rsidR="00FC26A6" w:rsidRPr="0063161F" w:rsidRDefault="00FC26A6" w:rsidP="00FC26A6">
            <w:pPr>
              <w:rPr>
                <w:rFonts w:ascii="Calibri" w:hAnsi="Calibri"/>
              </w:rPr>
            </w:pPr>
            <w:r>
              <w:rPr>
                <w:rFonts w:ascii="Calibri" w:hAnsi="Calibri"/>
              </w:rPr>
              <w:t xml:space="preserve">SNRIs:</w:t>
            </w:r>
            <w:r>
              <w:rPr>
                <w:rFonts w:ascii="Calibri" w:hAnsi="Calibri"/>
              </w:rPr>
              <w:t xml:space="preserve"> </w:t>
            </w:r>
            <w:r>
              <w:rPr>
                <w:rFonts w:ascii="Calibri" w:hAnsi="Calibri"/>
              </w:rPr>
              <w:t xml:space="preserve">Inibitori della ricaptazione della serotonina-norepinefrina</w:t>
            </w:r>
          </w:p>
        </w:tc>
      </w:tr>
      <w:tr w:rsidR="00FC26A6" w:rsidRPr="0063161F" w14:paraId="12A3E458" w14:textId="77777777" w:rsidTr="00FC26A6">
        <w:trPr>
          <w:trHeight w:val="269"/>
        </w:trPr>
        <w:tc>
          <w:tcPr>
            <w:tcW w:w="6877" w:type="dxa"/>
            <w:tcBorders>
              <w:top w:val="nil"/>
              <w:left w:val="nil"/>
              <w:bottom w:val="nil"/>
              <w:right w:val="nil"/>
            </w:tcBorders>
            <w:shd w:val="clear" w:color="auto" w:fill="auto"/>
            <w:noWrap/>
            <w:vAlign w:val="bottom"/>
            <w:hideMark/>
          </w:tcPr>
          <w:p w14:paraId="6EF39B90" w14:textId="77777777" w:rsidR="00FC26A6" w:rsidRPr="0063161F" w:rsidRDefault="00FC26A6" w:rsidP="00FC26A6">
            <w:pPr>
              <w:rPr>
                <w:rFonts w:ascii="Calibri" w:hAnsi="Calibri"/>
              </w:rPr>
            </w:pPr>
            <w:r>
              <w:rPr>
                <w:rFonts w:ascii="Calibri" w:hAnsi="Calibri"/>
              </w:rPr>
              <w:t xml:space="preserve">SSRIs:</w:t>
            </w:r>
            <w:r>
              <w:rPr>
                <w:rFonts w:ascii="Calibri" w:hAnsi="Calibri"/>
              </w:rPr>
              <w:t xml:space="preserve"> </w:t>
            </w:r>
            <w:r>
              <w:rPr>
                <w:rFonts w:ascii="Calibri" w:hAnsi="Calibri"/>
              </w:rPr>
              <w:t xml:space="preserve">Inibitori selettivi della ricaptazione della serotonina</w:t>
            </w:r>
          </w:p>
        </w:tc>
      </w:tr>
      <w:tr w:rsidR="00FC26A6" w:rsidRPr="0063161F" w14:paraId="0802F00F" w14:textId="77777777" w:rsidTr="00FC26A6">
        <w:trPr>
          <w:trHeight w:val="71"/>
        </w:trPr>
        <w:tc>
          <w:tcPr>
            <w:tcW w:w="6877" w:type="dxa"/>
            <w:tcBorders>
              <w:top w:val="nil"/>
              <w:left w:val="nil"/>
              <w:bottom w:val="nil"/>
              <w:right w:val="nil"/>
            </w:tcBorders>
            <w:shd w:val="clear" w:color="auto" w:fill="auto"/>
            <w:noWrap/>
            <w:vAlign w:val="bottom"/>
            <w:hideMark/>
          </w:tcPr>
          <w:p w14:paraId="347BAF5A" w14:textId="77777777" w:rsidR="00FC26A6" w:rsidRPr="0063161F" w:rsidRDefault="00FC26A6" w:rsidP="00FC26A6">
            <w:pPr>
              <w:rPr>
                <w:rFonts w:ascii="Calibri" w:hAnsi="Calibri"/>
              </w:rPr>
            </w:pPr>
            <w:r>
              <w:rPr>
                <w:rFonts w:ascii="Calibri" w:hAnsi="Calibri"/>
              </w:rPr>
              <w:t xml:space="preserve">TSH:</w:t>
            </w:r>
            <w:r>
              <w:rPr>
                <w:rFonts w:ascii="Calibri" w:hAnsi="Calibri"/>
              </w:rPr>
              <w:t xml:space="preserve"> </w:t>
            </w:r>
            <w:r>
              <w:rPr>
                <w:rFonts w:ascii="Calibri" w:hAnsi="Calibri"/>
              </w:rPr>
              <w:t xml:space="preserve">Ormone stimolante la tiroide</w:t>
            </w:r>
          </w:p>
        </w:tc>
      </w:tr>
    </w:tbl>
    <w:p w14:paraId="430B3EFE" w14:textId="217C7BF4" w:rsidR="00E66E29" w:rsidRDefault="00E66E29"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hd w:val="clear" w:color="auto" w:fill="FFFFFF"/>
        </w:rPr>
      </w:pPr>
    </w:p>
    <w:p w14:paraId="5FE23B6F" w14:textId="77777777" w:rsidR="001978D3" w:rsidRPr="00181929" w:rsidRDefault="001978D3" w:rsidP="0043334F">
      <w:pPr>
        <w:contextualSpacing/>
        <w:jc w:val="both"/>
        <w:rPr>
          <w:rFonts w:asciiTheme="minorHAnsi" w:hAnsiTheme="minorHAnsi"/>
          <w:b/>
          <w:i/>
          <w:sz w:val="22"/>
          <w:szCs w:val="22"/>
        </w:rPr>
        <w:sectPr w:rsidR="001978D3" w:rsidRPr="00181929" w:rsidSect="003E168B">
          <w:pgSz w:w="11906" w:h="16838"/>
          <w:pgMar w:top="1417" w:right="1417" w:bottom="1417" w:left="1417" w:header="708" w:footer="708" w:gutter="0"/>
          <w:cols w:space="708"/>
          <w:docGrid w:linePitch="360"/>
        </w:sectPr>
      </w:pPr>
    </w:p>
    <w:p w14:paraId="06848E3F" w14:textId="77777777" w:rsidR="004F6EEC" w:rsidRPr="00181929" w:rsidRDefault="004F6EEC" w:rsidP="0043334F">
      <w:pPr>
        <w:spacing w:after="160"/>
        <w:contextualSpacing/>
        <w:rPr>
          <w:rFonts w:asciiTheme="minorHAnsi" w:hAnsiTheme="minorHAnsi"/>
          <w:color w:val="000000" w:themeColor="text1"/>
          <w:sz w:val="22"/>
          <w:szCs w:val="22"/>
          <w:vertAlign w:val="superscript"/>
        </w:rPr>
      </w:pPr>
    </w:p>
    <w:sectPr w:rsidR="004F6EEC" w:rsidRPr="00181929" w:rsidSect="003E1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LiberationSerif">
    <w:altName w:val="MS Mincho"/>
    <w:panose1 w:val="020B0604020202020204"/>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976"/>
    <w:multiLevelType w:val="multilevel"/>
    <w:tmpl w:val="002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B64D1"/>
    <w:multiLevelType w:val="hybridMultilevel"/>
    <w:tmpl w:val="CD9A3100"/>
    <w:lvl w:ilvl="0" w:tplc="C5BA26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D57070F"/>
    <w:multiLevelType w:val="hybridMultilevel"/>
    <w:tmpl w:val="EC4473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5956F4"/>
    <w:multiLevelType w:val="hybridMultilevel"/>
    <w:tmpl w:val="E4D8DB2A"/>
    <w:lvl w:ilvl="0" w:tplc="36FE1B8A">
      <w:start w:val="8"/>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2006E8"/>
    <w:multiLevelType w:val="multilevel"/>
    <w:tmpl w:val="332A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24521"/>
    <w:multiLevelType w:val="multilevel"/>
    <w:tmpl w:val="67E0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A1603"/>
    <w:multiLevelType w:val="multilevel"/>
    <w:tmpl w:val="2F2E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41A2D"/>
    <w:multiLevelType w:val="hybridMultilevel"/>
    <w:tmpl w:val="ED102BF2"/>
    <w:lvl w:ilvl="0" w:tplc="16A4F3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EB33A2"/>
    <w:multiLevelType w:val="multilevel"/>
    <w:tmpl w:val="20E0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F30FB"/>
    <w:multiLevelType w:val="hybridMultilevel"/>
    <w:tmpl w:val="73306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410C3D"/>
    <w:multiLevelType w:val="multilevel"/>
    <w:tmpl w:val="6C32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85B02"/>
    <w:multiLevelType w:val="multilevel"/>
    <w:tmpl w:val="4354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6C1E43"/>
    <w:multiLevelType w:val="multilevel"/>
    <w:tmpl w:val="4E68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00095"/>
    <w:multiLevelType w:val="multilevel"/>
    <w:tmpl w:val="E792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E6178"/>
    <w:multiLevelType w:val="multilevel"/>
    <w:tmpl w:val="E7F6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E734F2"/>
    <w:multiLevelType w:val="hybridMultilevel"/>
    <w:tmpl w:val="7D688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36123C"/>
    <w:multiLevelType w:val="multilevel"/>
    <w:tmpl w:val="8346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91A2A"/>
    <w:multiLevelType w:val="multilevel"/>
    <w:tmpl w:val="F24E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041E0B"/>
    <w:multiLevelType w:val="multilevel"/>
    <w:tmpl w:val="991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E40DB"/>
    <w:multiLevelType w:val="multilevel"/>
    <w:tmpl w:val="99CC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8752C"/>
    <w:multiLevelType w:val="multilevel"/>
    <w:tmpl w:val="D310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872E55"/>
    <w:multiLevelType w:val="multilevel"/>
    <w:tmpl w:val="6B76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D30F27"/>
    <w:multiLevelType w:val="hybridMultilevel"/>
    <w:tmpl w:val="F7E6D4B6"/>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6E54DA"/>
    <w:multiLevelType w:val="multilevel"/>
    <w:tmpl w:val="EB7A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131156"/>
    <w:multiLevelType w:val="multilevel"/>
    <w:tmpl w:val="A1A2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E1825"/>
    <w:multiLevelType w:val="multilevel"/>
    <w:tmpl w:val="0432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C465DE"/>
    <w:multiLevelType w:val="hybridMultilevel"/>
    <w:tmpl w:val="382413DE"/>
    <w:lvl w:ilvl="0" w:tplc="000AFE02">
      <w:start w:val="2011"/>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D173396"/>
    <w:multiLevelType w:val="hybridMultilevel"/>
    <w:tmpl w:val="A2F656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4FFE0002"/>
    <w:multiLevelType w:val="hybridMultilevel"/>
    <w:tmpl w:val="2A2E86BE"/>
    <w:lvl w:ilvl="0" w:tplc="D1F07BDC">
      <w:start w:val="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2F1B2C"/>
    <w:multiLevelType w:val="multilevel"/>
    <w:tmpl w:val="5DF4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84945"/>
    <w:multiLevelType w:val="hybridMultilevel"/>
    <w:tmpl w:val="E5AC8848"/>
    <w:lvl w:ilvl="0" w:tplc="FEA21AC2">
      <w:start w:val="30"/>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5049EF"/>
    <w:multiLevelType w:val="multilevel"/>
    <w:tmpl w:val="16CE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D37E79"/>
    <w:multiLevelType w:val="hybridMultilevel"/>
    <w:tmpl w:val="C714D806"/>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5622A8"/>
    <w:multiLevelType w:val="hybridMultilevel"/>
    <w:tmpl w:val="BFDE5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CC20DA"/>
    <w:multiLevelType w:val="hybridMultilevel"/>
    <w:tmpl w:val="12EC5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C43D0B"/>
    <w:multiLevelType w:val="hybridMultilevel"/>
    <w:tmpl w:val="936AF2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CF2E18"/>
    <w:multiLevelType w:val="multilevel"/>
    <w:tmpl w:val="1EBE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A22571"/>
    <w:multiLevelType w:val="multilevel"/>
    <w:tmpl w:val="54BC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0870A7"/>
    <w:multiLevelType w:val="hybridMultilevel"/>
    <w:tmpl w:val="2A7E90CE"/>
    <w:lvl w:ilvl="0" w:tplc="CC382E9C">
      <w:start w:val="1"/>
      <w:numFmt w:val="bullet"/>
      <w:lvlText w:val="•"/>
      <w:lvlJc w:val="left"/>
      <w:pPr>
        <w:tabs>
          <w:tab w:val="num" w:pos="720"/>
        </w:tabs>
        <w:ind w:left="720" w:hanging="360"/>
      </w:pPr>
      <w:rPr>
        <w:rFonts w:ascii="Arial" w:hAnsi="Arial" w:hint="default"/>
      </w:rPr>
    </w:lvl>
    <w:lvl w:ilvl="1" w:tplc="7CD8C6BC" w:tentative="1">
      <w:start w:val="1"/>
      <w:numFmt w:val="bullet"/>
      <w:lvlText w:val="•"/>
      <w:lvlJc w:val="left"/>
      <w:pPr>
        <w:tabs>
          <w:tab w:val="num" w:pos="1440"/>
        </w:tabs>
        <w:ind w:left="1440" w:hanging="360"/>
      </w:pPr>
      <w:rPr>
        <w:rFonts w:ascii="Arial" w:hAnsi="Arial" w:hint="default"/>
      </w:rPr>
    </w:lvl>
    <w:lvl w:ilvl="2" w:tplc="9014CDB8" w:tentative="1">
      <w:start w:val="1"/>
      <w:numFmt w:val="bullet"/>
      <w:lvlText w:val="•"/>
      <w:lvlJc w:val="left"/>
      <w:pPr>
        <w:tabs>
          <w:tab w:val="num" w:pos="2160"/>
        </w:tabs>
        <w:ind w:left="2160" w:hanging="360"/>
      </w:pPr>
      <w:rPr>
        <w:rFonts w:ascii="Arial" w:hAnsi="Arial" w:hint="default"/>
      </w:rPr>
    </w:lvl>
    <w:lvl w:ilvl="3" w:tplc="A38EFF6E" w:tentative="1">
      <w:start w:val="1"/>
      <w:numFmt w:val="bullet"/>
      <w:lvlText w:val="•"/>
      <w:lvlJc w:val="left"/>
      <w:pPr>
        <w:tabs>
          <w:tab w:val="num" w:pos="2880"/>
        </w:tabs>
        <w:ind w:left="2880" w:hanging="360"/>
      </w:pPr>
      <w:rPr>
        <w:rFonts w:ascii="Arial" w:hAnsi="Arial" w:hint="default"/>
      </w:rPr>
    </w:lvl>
    <w:lvl w:ilvl="4" w:tplc="EC423EC0" w:tentative="1">
      <w:start w:val="1"/>
      <w:numFmt w:val="bullet"/>
      <w:lvlText w:val="•"/>
      <w:lvlJc w:val="left"/>
      <w:pPr>
        <w:tabs>
          <w:tab w:val="num" w:pos="3600"/>
        </w:tabs>
        <w:ind w:left="3600" w:hanging="360"/>
      </w:pPr>
      <w:rPr>
        <w:rFonts w:ascii="Arial" w:hAnsi="Arial" w:hint="default"/>
      </w:rPr>
    </w:lvl>
    <w:lvl w:ilvl="5" w:tplc="A40C065C" w:tentative="1">
      <w:start w:val="1"/>
      <w:numFmt w:val="bullet"/>
      <w:lvlText w:val="•"/>
      <w:lvlJc w:val="left"/>
      <w:pPr>
        <w:tabs>
          <w:tab w:val="num" w:pos="4320"/>
        </w:tabs>
        <w:ind w:left="4320" w:hanging="360"/>
      </w:pPr>
      <w:rPr>
        <w:rFonts w:ascii="Arial" w:hAnsi="Arial" w:hint="default"/>
      </w:rPr>
    </w:lvl>
    <w:lvl w:ilvl="6" w:tplc="4D4A99C6" w:tentative="1">
      <w:start w:val="1"/>
      <w:numFmt w:val="bullet"/>
      <w:lvlText w:val="•"/>
      <w:lvlJc w:val="left"/>
      <w:pPr>
        <w:tabs>
          <w:tab w:val="num" w:pos="5040"/>
        </w:tabs>
        <w:ind w:left="5040" w:hanging="360"/>
      </w:pPr>
      <w:rPr>
        <w:rFonts w:ascii="Arial" w:hAnsi="Arial" w:hint="default"/>
      </w:rPr>
    </w:lvl>
    <w:lvl w:ilvl="7" w:tplc="F050B3AE" w:tentative="1">
      <w:start w:val="1"/>
      <w:numFmt w:val="bullet"/>
      <w:lvlText w:val="•"/>
      <w:lvlJc w:val="left"/>
      <w:pPr>
        <w:tabs>
          <w:tab w:val="num" w:pos="5760"/>
        </w:tabs>
        <w:ind w:left="5760" w:hanging="360"/>
      </w:pPr>
      <w:rPr>
        <w:rFonts w:ascii="Arial" w:hAnsi="Arial" w:hint="default"/>
      </w:rPr>
    </w:lvl>
    <w:lvl w:ilvl="8" w:tplc="C928892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8B32D6"/>
    <w:multiLevelType w:val="multilevel"/>
    <w:tmpl w:val="D888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183197"/>
    <w:multiLevelType w:val="hybridMultilevel"/>
    <w:tmpl w:val="7B26086E"/>
    <w:lvl w:ilvl="0" w:tplc="A0E85586">
      <w:start w:val="1"/>
      <w:numFmt w:val="bullet"/>
      <w:lvlText w:val="•"/>
      <w:lvlJc w:val="left"/>
      <w:pPr>
        <w:tabs>
          <w:tab w:val="num" w:pos="720"/>
        </w:tabs>
        <w:ind w:left="720" w:hanging="360"/>
      </w:pPr>
      <w:rPr>
        <w:rFonts w:ascii="Arial" w:hAnsi="Arial" w:hint="default"/>
      </w:rPr>
    </w:lvl>
    <w:lvl w:ilvl="1" w:tplc="605E841C" w:tentative="1">
      <w:start w:val="1"/>
      <w:numFmt w:val="bullet"/>
      <w:lvlText w:val="•"/>
      <w:lvlJc w:val="left"/>
      <w:pPr>
        <w:tabs>
          <w:tab w:val="num" w:pos="1440"/>
        </w:tabs>
        <w:ind w:left="1440" w:hanging="360"/>
      </w:pPr>
      <w:rPr>
        <w:rFonts w:ascii="Arial" w:hAnsi="Arial" w:hint="default"/>
      </w:rPr>
    </w:lvl>
    <w:lvl w:ilvl="2" w:tplc="AFA6182E" w:tentative="1">
      <w:start w:val="1"/>
      <w:numFmt w:val="bullet"/>
      <w:lvlText w:val="•"/>
      <w:lvlJc w:val="left"/>
      <w:pPr>
        <w:tabs>
          <w:tab w:val="num" w:pos="2160"/>
        </w:tabs>
        <w:ind w:left="2160" w:hanging="360"/>
      </w:pPr>
      <w:rPr>
        <w:rFonts w:ascii="Arial" w:hAnsi="Arial" w:hint="default"/>
      </w:rPr>
    </w:lvl>
    <w:lvl w:ilvl="3" w:tplc="E026B53C" w:tentative="1">
      <w:start w:val="1"/>
      <w:numFmt w:val="bullet"/>
      <w:lvlText w:val="•"/>
      <w:lvlJc w:val="left"/>
      <w:pPr>
        <w:tabs>
          <w:tab w:val="num" w:pos="2880"/>
        </w:tabs>
        <w:ind w:left="2880" w:hanging="360"/>
      </w:pPr>
      <w:rPr>
        <w:rFonts w:ascii="Arial" w:hAnsi="Arial" w:hint="default"/>
      </w:rPr>
    </w:lvl>
    <w:lvl w:ilvl="4" w:tplc="684E099E" w:tentative="1">
      <w:start w:val="1"/>
      <w:numFmt w:val="bullet"/>
      <w:lvlText w:val="•"/>
      <w:lvlJc w:val="left"/>
      <w:pPr>
        <w:tabs>
          <w:tab w:val="num" w:pos="3600"/>
        </w:tabs>
        <w:ind w:left="3600" w:hanging="360"/>
      </w:pPr>
      <w:rPr>
        <w:rFonts w:ascii="Arial" w:hAnsi="Arial" w:hint="default"/>
      </w:rPr>
    </w:lvl>
    <w:lvl w:ilvl="5" w:tplc="47DE7AC0" w:tentative="1">
      <w:start w:val="1"/>
      <w:numFmt w:val="bullet"/>
      <w:lvlText w:val="•"/>
      <w:lvlJc w:val="left"/>
      <w:pPr>
        <w:tabs>
          <w:tab w:val="num" w:pos="4320"/>
        </w:tabs>
        <w:ind w:left="4320" w:hanging="360"/>
      </w:pPr>
      <w:rPr>
        <w:rFonts w:ascii="Arial" w:hAnsi="Arial" w:hint="default"/>
      </w:rPr>
    </w:lvl>
    <w:lvl w:ilvl="6" w:tplc="77FED8A4" w:tentative="1">
      <w:start w:val="1"/>
      <w:numFmt w:val="bullet"/>
      <w:lvlText w:val="•"/>
      <w:lvlJc w:val="left"/>
      <w:pPr>
        <w:tabs>
          <w:tab w:val="num" w:pos="5040"/>
        </w:tabs>
        <w:ind w:left="5040" w:hanging="360"/>
      </w:pPr>
      <w:rPr>
        <w:rFonts w:ascii="Arial" w:hAnsi="Arial" w:hint="default"/>
      </w:rPr>
    </w:lvl>
    <w:lvl w:ilvl="7" w:tplc="AB9E6166" w:tentative="1">
      <w:start w:val="1"/>
      <w:numFmt w:val="bullet"/>
      <w:lvlText w:val="•"/>
      <w:lvlJc w:val="left"/>
      <w:pPr>
        <w:tabs>
          <w:tab w:val="num" w:pos="5760"/>
        </w:tabs>
        <w:ind w:left="5760" w:hanging="360"/>
      </w:pPr>
      <w:rPr>
        <w:rFonts w:ascii="Arial" w:hAnsi="Arial" w:hint="default"/>
      </w:rPr>
    </w:lvl>
    <w:lvl w:ilvl="8" w:tplc="E11EC7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327197"/>
    <w:multiLevelType w:val="hybridMultilevel"/>
    <w:tmpl w:val="6DCA464A"/>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E5C0981"/>
    <w:multiLevelType w:val="multilevel"/>
    <w:tmpl w:val="9DD2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505D43"/>
    <w:multiLevelType w:val="hybridMultilevel"/>
    <w:tmpl w:val="319A5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196686"/>
    <w:multiLevelType w:val="multilevel"/>
    <w:tmpl w:val="DFC4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CB0A6A"/>
    <w:multiLevelType w:val="hybridMultilevel"/>
    <w:tmpl w:val="5508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AE49F0"/>
    <w:multiLevelType w:val="multilevel"/>
    <w:tmpl w:val="68F6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1B52C4"/>
    <w:multiLevelType w:val="multilevel"/>
    <w:tmpl w:val="F9B4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184"/>
    <w:multiLevelType w:val="multilevel"/>
    <w:tmpl w:val="A7E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703D7A"/>
    <w:multiLevelType w:val="multilevel"/>
    <w:tmpl w:val="6C3A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8"/>
  </w:num>
  <w:num w:numId="3">
    <w:abstractNumId w:val="33"/>
  </w:num>
  <w:num w:numId="4">
    <w:abstractNumId w:val="1"/>
  </w:num>
  <w:num w:numId="5">
    <w:abstractNumId w:val="2"/>
  </w:num>
  <w:num w:numId="6">
    <w:abstractNumId w:val="22"/>
  </w:num>
  <w:num w:numId="7">
    <w:abstractNumId w:val="30"/>
  </w:num>
  <w:num w:numId="8">
    <w:abstractNumId w:val="11"/>
  </w:num>
  <w:num w:numId="9">
    <w:abstractNumId w:val="12"/>
  </w:num>
  <w:num w:numId="10">
    <w:abstractNumId w:val="26"/>
  </w:num>
  <w:num w:numId="11">
    <w:abstractNumId w:val="13"/>
  </w:num>
  <w:num w:numId="12">
    <w:abstractNumId w:val="28"/>
  </w:num>
  <w:num w:numId="13">
    <w:abstractNumId w:val="46"/>
  </w:num>
  <w:num w:numId="14">
    <w:abstractNumId w:val="31"/>
  </w:num>
  <w:num w:numId="15">
    <w:abstractNumId w:val="36"/>
  </w:num>
  <w:num w:numId="16">
    <w:abstractNumId w:val="37"/>
  </w:num>
  <w:num w:numId="17">
    <w:abstractNumId w:val="19"/>
  </w:num>
  <w:num w:numId="18">
    <w:abstractNumId w:val="21"/>
  </w:num>
  <w:num w:numId="19">
    <w:abstractNumId w:val="17"/>
  </w:num>
  <w:num w:numId="20">
    <w:abstractNumId w:val="29"/>
  </w:num>
  <w:num w:numId="21">
    <w:abstractNumId w:val="10"/>
  </w:num>
  <w:num w:numId="22">
    <w:abstractNumId w:val="5"/>
  </w:num>
  <w:num w:numId="23">
    <w:abstractNumId w:val="49"/>
  </w:num>
  <w:num w:numId="24">
    <w:abstractNumId w:val="14"/>
  </w:num>
  <w:num w:numId="25">
    <w:abstractNumId w:val="47"/>
  </w:num>
  <w:num w:numId="26">
    <w:abstractNumId w:val="23"/>
  </w:num>
  <w:num w:numId="27">
    <w:abstractNumId w:val="42"/>
  </w:num>
  <w:num w:numId="28">
    <w:abstractNumId w:val="8"/>
  </w:num>
  <w:num w:numId="29">
    <w:abstractNumId w:val="39"/>
  </w:num>
  <w:num w:numId="30">
    <w:abstractNumId w:val="24"/>
  </w:num>
  <w:num w:numId="31">
    <w:abstractNumId w:val="0"/>
  </w:num>
  <w:num w:numId="32">
    <w:abstractNumId w:val="3"/>
  </w:num>
  <w:num w:numId="33">
    <w:abstractNumId w:val="18"/>
  </w:num>
  <w:num w:numId="34">
    <w:abstractNumId w:val="4"/>
  </w:num>
  <w:num w:numId="35">
    <w:abstractNumId w:val="25"/>
  </w:num>
  <w:num w:numId="36">
    <w:abstractNumId w:val="44"/>
  </w:num>
  <w:num w:numId="37">
    <w:abstractNumId w:val="16"/>
  </w:num>
  <w:num w:numId="38">
    <w:abstractNumId w:val="20"/>
  </w:num>
  <w:num w:numId="39">
    <w:abstractNumId w:val="15"/>
  </w:num>
  <w:num w:numId="40">
    <w:abstractNumId w:val="45"/>
  </w:num>
  <w:num w:numId="41">
    <w:abstractNumId w:val="34"/>
  </w:num>
  <w:num w:numId="42">
    <w:abstractNumId w:val="43"/>
  </w:num>
  <w:num w:numId="43">
    <w:abstractNumId w:val="7"/>
  </w:num>
  <w:num w:numId="44">
    <w:abstractNumId w:val="41"/>
  </w:num>
  <w:num w:numId="45">
    <w:abstractNumId w:val="32"/>
  </w:num>
  <w:num w:numId="46">
    <w:abstractNumId w:val="35"/>
  </w:num>
  <w:num w:numId="47">
    <w:abstractNumId w:val="40"/>
  </w:num>
  <w:num w:numId="48">
    <w:abstractNumId w:val="27"/>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6D3"/>
    <w:rsid w:val="0000160D"/>
    <w:rsid w:val="0000460C"/>
    <w:rsid w:val="00004769"/>
    <w:rsid w:val="00010206"/>
    <w:rsid w:val="00014125"/>
    <w:rsid w:val="00015F50"/>
    <w:rsid w:val="00021609"/>
    <w:rsid w:val="00021804"/>
    <w:rsid w:val="0002415A"/>
    <w:rsid w:val="000257D5"/>
    <w:rsid w:val="00026150"/>
    <w:rsid w:val="0002626B"/>
    <w:rsid w:val="0003479E"/>
    <w:rsid w:val="000355E5"/>
    <w:rsid w:val="000356BF"/>
    <w:rsid w:val="00037FCC"/>
    <w:rsid w:val="000400A8"/>
    <w:rsid w:val="000400D0"/>
    <w:rsid w:val="00040C22"/>
    <w:rsid w:val="0004436F"/>
    <w:rsid w:val="00045B23"/>
    <w:rsid w:val="0004758A"/>
    <w:rsid w:val="00047F5E"/>
    <w:rsid w:val="000510CC"/>
    <w:rsid w:val="00053DE6"/>
    <w:rsid w:val="00054322"/>
    <w:rsid w:val="0005598C"/>
    <w:rsid w:val="00061300"/>
    <w:rsid w:val="000655D0"/>
    <w:rsid w:val="00065B8F"/>
    <w:rsid w:val="00065D94"/>
    <w:rsid w:val="00066BC9"/>
    <w:rsid w:val="00071CA0"/>
    <w:rsid w:val="00073AC4"/>
    <w:rsid w:val="00075F1D"/>
    <w:rsid w:val="00076629"/>
    <w:rsid w:val="00080395"/>
    <w:rsid w:val="000819B7"/>
    <w:rsid w:val="00081D24"/>
    <w:rsid w:val="00083EA3"/>
    <w:rsid w:val="00084794"/>
    <w:rsid w:val="000855F9"/>
    <w:rsid w:val="00085775"/>
    <w:rsid w:val="0008628F"/>
    <w:rsid w:val="00087602"/>
    <w:rsid w:val="00090112"/>
    <w:rsid w:val="00090B84"/>
    <w:rsid w:val="00091AE7"/>
    <w:rsid w:val="00091E32"/>
    <w:rsid w:val="00092318"/>
    <w:rsid w:val="00092759"/>
    <w:rsid w:val="00092C7B"/>
    <w:rsid w:val="00093EC2"/>
    <w:rsid w:val="00095BEE"/>
    <w:rsid w:val="000A0433"/>
    <w:rsid w:val="000B0558"/>
    <w:rsid w:val="000B0A93"/>
    <w:rsid w:val="000C0642"/>
    <w:rsid w:val="000C5534"/>
    <w:rsid w:val="000D4635"/>
    <w:rsid w:val="000E523E"/>
    <w:rsid w:val="000F0A36"/>
    <w:rsid w:val="000F13DE"/>
    <w:rsid w:val="000F3F34"/>
    <w:rsid w:val="00100FB2"/>
    <w:rsid w:val="00104E9A"/>
    <w:rsid w:val="00106EEE"/>
    <w:rsid w:val="001105EC"/>
    <w:rsid w:val="00112690"/>
    <w:rsid w:val="00113006"/>
    <w:rsid w:val="001134EA"/>
    <w:rsid w:val="00114A1E"/>
    <w:rsid w:val="00121BFE"/>
    <w:rsid w:val="00121EBA"/>
    <w:rsid w:val="001324EC"/>
    <w:rsid w:val="00132DE8"/>
    <w:rsid w:val="00151CAF"/>
    <w:rsid w:val="001532DD"/>
    <w:rsid w:val="00154A78"/>
    <w:rsid w:val="00154DDA"/>
    <w:rsid w:val="0015630B"/>
    <w:rsid w:val="001574B3"/>
    <w:rsid w:val="00160C9A"/>
    <w:rsid w:val="001633D3"/>
    <w:rsid w:val="00164AD4"/>
    <w:rsid w:val="00165484"/>
    <w:rsid w:val="00166F4D"/>
    <w:rsid w:val="00172D94"/>
    <w:rsid w:val="00177A33"/>
    <w:rsid w:val="00181929"/>
    <w:rsid w:val="00181A52"/>
    <w:rsid w:val="0018466D"/>
    <w:rsid w:val="0019412F"/>
    <w:rsid w:val="001951A4"/>
    <w:rsid w:val="001978D3"/>
    <w:rsid w:val="001A18FD"/>
    <w:rsid w:val="001A75B0"/>
    <w:rsid w:val="001A7D4B"/>
    <w:rsid w:val="001B0833"/>
    <w:rsid w:val="001B5A5A"/>
    <w:rsid w:val="001B712D"/>
    <w:rsid w:val="001B7711"/>
    <w:rsid w:val="001C05D8"/>
    <w:rsid w:val="001C2259"/>
    <w:rsid w:val="001C4638"/>
    <w:rsid w:val="001C4991"/>
    <w:rsid w:val="001C6B9B"/>
    <w:rsid w:val="001C7AA5"/>
    <w:rsid w:val="001D0784"/>
    <w:rsid w:val="001D0FDF"/>
    <w:rsid w:val="001D2054"/>
    <w:rsid w:val="001D20FD"/>
    <w:rsid w:val="001D3D97"/>
    <w:rsid w:val="001D5654"/>
    <w:rsid w:val="001D620C"/>
    <w:rsid w:val="001D6E33"/>
    <w:rsid w:val="001D77B1"/>
    <w:rsid w:val="001D79D5"/>
    <w:rsid w:val="001E0D99"/>
    <w:rsid w:val="001E21D9"/>
    <w:rsid w:val="001E2534"/>
    <w:rsid w:val="001E43C4"/>
    <w:rsid w:val="001E4863"/>
    <w:rsid w:val="001E53AC"/>
    <w:rsid w:val="001F0F26"/>
    <w:rsid w:val="001F1D33"/>
    <w:rsid w:val="001F1E93"/>
    <w:rsid w:val="00203DA0"/>
    <w:rsid w:val="0020437C"/>
    <w:rsid w:val="00205833"/>
    <w:rsid w:val="00205C46"/>
    <w:rsid w:val="002062D3"/>
    <w:rsid w:val="002126FC"/>
    <w:rsid w:val="002201A8"/>
    <w:rsid w:val="002247CF"/>
    <w:rsid w:val="00226912"/>
    <w:rsid w:val="00227CEA"/>
    <w:rsid w:val="002338D4"/>
    <w:rsid w:val="00234A6B"/>
    <w:rsid w:val="0023565A"/>
    <w:rsid w:val="00236CC7"/>
    <w:rsid w:val="002400AD"/>
    <w:rsid w:val="00243403"/>
    <w:rsid w:val="0024448C"/>
    <w:rsid w:val="00252669"/>
    <w:rsid w:val="00253673"/>
    <w:rsid w:val="002544BF"/>
    <w:rsid w:val="0025486C"/>
    <w:rsid w:val="00260D35"/>
    <w:rsid w:val="0026221F"/>
    <w:rsid w:val="00262F57"/>
    <w:rsid w:val="00263917"/>
    <w:rsid w:val="00265913"/>
    <w:rsid w:val="00266BFA"/>
    <w:rsid w:val="0027135B"/>
    <w:rsid w:val="00275153"/>
    <w:rsid w:val="00281E45"/>
    <w:rsid w:val="002833F1"/>
    <w:rsid w:val="00283F9B"/>
    <w:rsid w:val="00287A6A"/>
    <w:rsid w:val="00291BC9"/>
    <w:rsid w:val="00291DF5"/>
    <w:rsid w:val="0029488A"/>
    <w:rsid w:val="00297212"/>
    <w:rsid w:val="002A1E62"/>
    <w:rsid w:val="002A1F33"/>
    <w:rsid w:val="002A37BD"/>
    <w:rsid w:val="002A3F28"/>
    <w:rsid w:val="002A4194"/>
    <w:rsid w:val="002A77E2"/>
    <w:rsid w:val="002B1554"/>
    <w:rsid w:val="002B1EED"/>
    <w:rsid w:val="002B34B7"/>
    <w:rsid w:val="002B6451"/>
    <w:rsid w:val="002D0A83"/>
    <w:rsid w:val="002D4714"/>
    <w:rsid w:val="002D5830"/>
    <w:rsid w:val="002E0C44"/>
    <w:rsid w:val="002E6712"/>
    <w:rsid w:val="002F01BF"/>
    <w:rsid w:val="002F1556"/>
    <w:rsid w:val="002F2266"/>
    <w:rsid w:val="002F3D1A"/>
    <w:rsid w:val="002F6F09"/>
    <w:rsid w:val="003006BC"/>
    <w:rsid w:val="00300FF3"/>
    <w:rsid w:val="003065A3"/>
    <w:rsid w:val="00311560"/>
    <w:rsid w:val="003115C2"/>
    <w:rsid w:val="00312242"/>
    <w:rsid w:val="00314F21"/>
    <w:rsid w:val="00315D5C"/>
    <w:rsid w:val="00315FD6"/>
    <w:rsid w:val="00316725"/>
    <w:rsid w:val="00316C80"/>
    <w:rsid w:val="00321099"/>
    <w:rsid w:val="00323A20"/>
    <w:rsid w:val="00325178"/>
    <w:rsid w:val="00325B49"/>
    <w:rsid w:val="00326FBE"/>
    <w:rsid w:val="00331FB6"/>
    <w:rsid w:val="0033221B"/>
    <w:rsid w:val="00335FC3"/>
    <w:rsid w:val="00336868"/>
    <w:rsid w:val="003400E8"/>
    <w:rsid w:val="003401A2"/>
    <w:rsid w:val="00340685"/>
    <w:rsid w:val="00343FFC"/>
    <w:rsid w:val="003454AA"/>
    <w:rsid w:val="003518AB"/>
    <w:rsid w:val="00352099"/>
    <w:rsid w:val="0035218F"/>
    <w:rsid w:val="0035237C"/>
    <w:rsid w:val="00354D28"/>
    <w:rsid w:val="00357F28"/>
    <w:rsid w:val="00362CCD"/>
    <w:rsid w:val="0036490F"/>
    <w:rsid w:val="00364C7E"/>
    <w:rsid w:val="00371D89"/>
    <w:rsid w:val="00371FA1"/>
    <w:rsid w:val="00372860"/>
    <w:rsid w:val="00372E65"/>
    <w:rsid w:val="003745CD"/>
    <w:rsid w:val="003814F4"/>
    <w:rsid w:val="00382998"/>
    <w:rsid w:val="003830D2"/>
    <w:rsid w:val="003866F3"/>
    <w:rsid w:val="0039417B"/>
    <w:rsid w:val="00395C74"/>
    <w:rsid w:val="003A095E"/>
    <w:rsid w:val="003A7145"/>
    <w:rsid w:val="003B112F"/>
    <w:rsid w:val="003B2784"/>
    <w:rsid w:val="003B5483"/>
    <w:rsid w:val="003B6019"/>
    <w:rsid w:val="003B60AB"/>
    <w:rsid w:val="003B695E"/>
    <w:rsid w:val="003B7EA1"/>
    <w:rsid w:val="003C1049"/>
    <w:rsid w:val="003C1C0D"/>
    <w:rsid w:val="003C2C5A"/>
    <w:rsid w:val="003C4F47"/>
    <w:rsid w:val="003C6CAB"/>
    <w:rsid w:val="003D11EA"/>
    <w:rsid w:val="003D5980"/>
    <w:rsid w:val="003E168B"/>
    <w:rsid w:val="003E1832"/>
    <w:rsid w:val="003E239B"/>
    <w:rsid w:val="003E55AF"/>
    <w:rsid w:val="003E5FC3"/>
    <w:rsid w:val="003F04C2"/>
    <w:rsid w:val="003F0778"/>
    <w:rsid w:val="003F1247"/>
    <w:rsid w:val="003F196D"/>
    <w:rsid w:val="004004B8"/>
    <w:rsid w:val="004017CC"/>
    <w:rsid w:val="00402869"/>
    <w:rsid w:val="00411563"/>
    <w:rsid w:val="00413258"/>
    <w:rsid w:val="00415CD8"/>
    <w:rsid w:val="00416085"/>
    <w:rsid w:val="00416A60"/>
    <w:rsid w:val="00416CEA"/>
    <w:rsid w:val="00416F8C"/>
    <w:rsid w:val="0041743C"/>
    <w:rsid w:val="00420902"/>
    <w:rsid w:val="00420E7D"/>
    <w:rsid w:val="004252CE"/>
    <w:rsid w:val="0042725D"/>
    <w:rsid w:val="00427633"/>
    <w:rsid w:val="00432CB1"/>
    <w:rsid w:val="0043334F"/>
    <w:rsid w:val="00434C71"/>
    <w:rsid w:val="0043549A"/>
    <w:rsid w:val="00435B48"/>
    <w:rsid w:val="00437CBA"/>
    <w:rsid w:val="00440192"/>
    <w:rsid w:val="00440D2F"/>
    <w:rsid w:val="00441B80"/>
    <w:rsid w:val="00441E2C"/>
    <w:rsid w:val="00443C1A"/>
    <w:rsid w:val="004457F5"/>
    <w:rsid w:val="00447AB0"/>
    <w:rsid w:val="00451261"/>
    <w:rsid w:val="00451DB0"/>
    <w:rsid w:val="00456EE1"/>
    <w:rsid w:val="00457080"/>
    <w:rsid w:val="00465DB7"/>
    <w:rsid w:val="0046723F"/>
    <w:rsid w:val="00467FD2"/>
    <w:rsid w:val="004706F6"/>
    <w:rsid w:val="00470968"/>
    <w:rsid w:val="004713FB"/>
    <w:rsid w:val="0047294E"/>
    <w:rsid w:val="00473982"/>
    <w:rsid w:val="00476646"/>
    <w:rsid w:val="00477E26"/>
    <w:rsid w:val="00480788"/>
    <w:rsid w:val="004807A3"/>
    <w:rsid w:val="004816D3"/>
    <w:rsid w:val="00483854"/>
    <w:rsid w:val="00484571"/>
    <w:rsid w:val="00484D6B"/>
    <w:rsid w:val="00487182"/>
    <w:rsid w:val="00490A46"/>
    <w:rsid w:val="0049143D"/>
    <w:rsid w:val="00491855"/>
    <w:rsid w:val="00491B54"/>
    <w:rsid w:val="0049383D"/>
    <w:rsid w:val="004957B4"/>
    <w:rsid w:val="004A1D23"/>
    <w:rsid w:val="004A3626"/>
    <w:rsid w:val="004A3B5D"/>
    <w:rsid w:val="004B1085"/>
    <w:rsid w:val="004B3852"/>
    <w:rsid w:val="004B3E25"/>
    <w:rsid w:val="004B563F"/>
    <w:rsid w:val="004B6FD4"/>
    <w:rsid w:val="004B7EAD"/>
    <w:rsid w:val="004C05A6"/>
    <w:rsid w:val="004C2A0E"/>
    <w:rsid w:val="004C4341"/>
    <w:rsid w:val="004C50B1"/>
    <w:rsid w:val="004D232C"/>
    <w:rsid w:val="004D36A2"/>
    <w:rsid w:val="004D377A"/>
    <w:rsid w:val="004D40A5"/>
    <w:rsid w:val="004D50E2"/>
    <w:rsid w:val="004D5B7B"/>
    <w:rsid w:val="004D7540"/>
    <w:rsid w:val="004E4361"/>
    <w:rsid w:val="004E6DCE"/>
    <w:rsid w:val="004E741B"/>
    <w:rsid w:val="004F0BA3"/>
    <w:rsid w:val="004F3ECE"/>
    <w:rsid w:val="004F6EEC"/>
    <w:rsid w:val="00500348"/>
    <w:rsid w:val="0050241C"/>
    <w:rsid w:val="00502681"/>
    <w:rsid w:val="005058A0"/>
    <w:rsid w:val="00507E8C"/>
    <w:rsid w:val="00511475"/>
    <w:rsid w:val="0051165B"/>
    <w:rsid w:val="005125F1"/>
    <w:rsid w:val="00512F73"/>
    <w:rsid w:val="00514FC7"/>
    <w:rsid w:val="005207E3"/>
    <w:rsid w:val="00522079"/>
    <w:rsid w:val="00522D7C"/>
    <w:rsid w:val="00524390"/>
    <w:rsid w:val="00526743"/>
    <w:rsid w:val="005332E0"/>
    <w:rsid w:val="00534D4C"/>
    <w:rsid w:val="0053570A"/>
    <w:rsid w:val="0053763D"/>
    <w:rsid w:val="00541ADA"/>
    <w:rsid w:val="00543018"/>
    <w:rsid w:val="00550E60"/>
    <w:rsid w:val="00552087"/>
    <w:rsid w:val="005542D9"/>
    <w:rsid w:val="0055586D"/>
    <w:rsid w:val="00556579"/>
    <w:rsid w:val="00560E4D"/>
    <w:rsid w:val="005629AD"/>
    <w:rsid w:val="00562C85"/>
    <w:rsid w:val="005652AF"/>
    <w:rsid w:val="00565CCC"/>
    <w:rsid w:val="00567CAF"/>
    <w:rsid w:val="005712F8"/>
    <w:rsid w:val="00571731"/>
    <w:rsid w:val="00571F4A"/>
    <w:rsid w:val="00572E38"/>
    <w:rsid w:val="00580636"/>
    <w:rsid w:val="005814F7"/>
    <w:rsid w:val="005828E0"/>
    <w:rsid w:val="005851BD"/>
    <w:rsid w:val="0058582C"/>
    <w:rsid w:val="0058769E"/>
    <w:rsid w:val="00593A7C"/>
    <w:rsid w:val="00595B53"/>
    <w:rsid w:val="005A076E"/>
    <w:rsid w:val="005A15B3"/>
    <w:rsid w:val="005A2A45"/>
    <w:rsid w:val="005A3211"/>
    <w:rsid w:val="005A33D2"/>
    <w:rsid w:val="005A3FED"/>
    <w:rsid w:val="005A554D"/>
    <w:rsid w:val="005B0791"/>
    <w:rsid w:val="005B19B5"/>
    <w:rsid w:val="005B1CBB"/>
    <w:rsid w:val="005B2907"/>
    <w:rsid w:val="005B2CC7"/>
    <w:rsid w:val="005B3FA7"/>
    <w:rsid w:val="005B41E5"/>
    <w:rsid w:val="005B6223"/>
    <w:rsid w:val="005C1A55"/>
    <w:rsid w:val="005C2A13"/>
    <w:rsid w:val="005C2DD0"/>
    <w:rsid w:val="005C3BDD"/>
    <w:rsid w:val="005C424D"/>
    <w:rsid w:val="005C5E0A"/>
    <w:rsid w:val="005D06E5"/>
    <w:rsid w:val="005D0D90"/>
    <w:rsid w:val="005D12E4"/>
    <w:rsid w:val="005D1802"/>
    <w:rsid w:val="005D31DE"/>
    <w:rsid w:val="005D42A0"/>
    <w:rsid w:val="005D43D8"/>
    <w:rsid w:val="005D467C"/>
    <w:rsid w:val="005D469F"/>
    <w:rsid w:val="005D4B6E"/>
    <w:rsid w:val="005D53BA"/>
    <w:rsid w:val="005D6BA3"/>
    <w:rsid w:val="005D7ABC"/>
    <w:rsid w:val="005E1847"/>
    <w:rsid w:val="005E391F"/>
    <w:rsid w:val="005E45E4"/>
    <w:rsid w:val="005E5EA5"/>
    <w:rsid w:val="005E6936"/>
    <w:rsid w:val="005F1665"/>
    <w:rsid w:val="005F2AAF"/>
    <w:rsid w:val="005F6D0A"/>
    <w:rsid w:val="0060023A"/>
    <w:rsid w:val="00601511"/>
    <w:rsid w:val="006025E9"/>
    <w:rsid w:val="00603F01"/>
    <w:rsid w:val="0061359C"/>
    <w:rsid w:val="006135AC"/>
    <w:rsid w:val="00613818"/>
    <w:rsid w:val="00613C08"/>
    <w:rsid w:val="0061510C"/>
    <w:rsid w:val="00615418"/>
    <w:rsid w:val="00616000"/>
    <w:rsid w:val="006177A8"/>
    <w:rsid w:val="006222BA"/>
    <w:rsid w:val="00624D4B"/>
    <w:rsid w:val="00626192"/>
    <w:rsid w:val="00627EC1"/>
    <w:rsid w:val="00632179"/>
    <w:rsid w:val="00632E6B"/>
    <w:rsid w:val="0063374F"/>
    <w:rsid w:val="006344A9"/>
    <w:rsid w:val="006353C1"/>
    <w:rsid w:val="00636C65"/>
    <w:rsid w:val="006402D3"/>
    <w:rsid w:val="00640D00"/>
    <w:rsid w:val="00640D14"/>
    <w:rsid w:val="00642443"/>
    <w:rsid w:val="006428E7"/>
    <w:rsid w:val="00643FAF"/>
    <w:rsid w:val="00644FDD"/>
    <w:rsid w:val="00645890"/>
    <w:rsid w:val="006465B2"/>
    <w:rsid w:val="00647A9F"/>
    <w:rsid w:val="00647B95"/>
    <w:rsid w:val="0065038A"/>
    <w:rsid w:val="0065161A"/>
    <w:rsid w:val="00651DFE"/>
    <w:rsid w:val="00652A7D"/>
    <w:rsid w:val="00652D0A"/>
    <w:rsid w:val="00653D4A"/>
    <w:rsid w:val="00654832"/>
    <w:rsid w:val="00655A96"/>
    <w:rsid w:val="00655FBB"/>
    <w:rsid w:val="006577F4"/>
    <w:rsid w:val="006637DF"/>
    <w:rsid w:val="006658FF"/>
    <w:rsid w:val="00665CF3"/>
    <w:rsid w:val="00670589"/>
    <w:rsid w:val="00673D3A"/>
    <w:rsid w:val="0067408A"/>
    <w:rsid w:val="00674646"/>
    <w:rsid w:val="00675A2E"/>
    <w:rsid w:val="00677D79"/>
    <w:rsid w:val="006810CD"/>
    <w:rsid w:val="0068272A"/>
    <w:rsid w:val="0068545B"/>
    <w:rsid w:val="0068645E"/>
    <w:rsid w:val="00690D24"/>
    <w:rsid w:val="006930F9"/>
    <w:rsid w:val="0069365D"/>
    <w:rsid w:val="006947A9"/>
    <w:rsid w:val="006A626D"/>
    <w:rsid w:val="006A79E8"/>
    <w:rsid w:val="006A7A75"/>
    <w:rsid w:val="006B049A"/>
    <w:rsid w:val="006B26D3"/>
    <w:rsid w:val="006B276C"/>
    <w:rsid w:val="006B693B"/>
    <w:rsid w:val="006B6CEF"/>
    <w:rsid w:val="006B7E82"/>
    <w:rsid w:val="006C0B69"/>
    <w:rsid w:val="006C1648"/>
    <w:rsid w:val="006C24B0"/>
    <w:rsid w:val="006C2A94"/>
    <w:rsid w:val="006C53C2"/>
    <w:rsid w:val="006C68CF"/>
    <w:rsid w:val="006C7F78"/>
    <w:rsid w:val="006D5CE8"/>
    <w:rsid w:val="006E1573"/>
    <w:rsid w:val="006E15A9"/>
    <w:rsid w:val="006E1D82"/>
    <w:rsid w:val="006F489E"/>
    <w:rsid w:val="006F7D91"/>
    <w:rsid w:val="00701618"/>
    <w:rsid w:val="00701F80"/>
    <w:rsid w:val="00703591"/>
    <w:rsid w:val="00703B07"/>
    <w:rsid w:val="00703B72"/>
    <w:rsid w:val="00704DC8"/>
    <w:rsid w:val="00706F21"/>
    <w:rsid w:val="007114BF"/>
    <w:rsid w:val="007124A2"/>
    <w:rsid w:val="00715BE6"/>
    <w:rsid w:val="007167E7"/>
    <w:rsid w:val="007171DC"/>
    <w:rsid w:val="00721400"/>
    <w:rsid w:val="00730686"/>
    <w:rsid w:val="007310AE"/>
    <w:rsid w:val="00732C74"/>
    <w:rsid w:val="0073385B"/>
    <w:rsid w:val="00733DA9"/>
    <w:rsid w:val="0073555F"/>
    <w:rsid w:val="00735BD1"/>
    <w:rsid w:val="00736F79"/>
    <w:rsid w:val="00744A29"/>
    <w:rsid w:val="00744B1A"/>
    <w:rsid w:val="007528C0"/>
    <w:rsid w:val="00753B92"/>
    <w:rsid w:val="00753DEC"/>
    <w:rsid w:val="007554D6"/>
    <w:rsid w:val="00755881"/>
    <w:rsid w:val="00755A46"/>
    <w:rsid w:val="00756580"/>
    <w:rsid w:val="00761702"/>
    <w:rsid w:val="007629F3"/>
    <w:rsid w:val="007630CD"/>
    <w:rsid w:val="007662E6"/>
    <w:rsid w:val="00773FC1"/>
    <w:rsid w:val="00774205"/>
    <w:rsid w:val="0077432A"/>
    <w:rsid w:val="00775E7C"/>
    <w:rsid w:val="00775FD3"/>
    <w:rsid w:val="0077695B"/>
    <w:rsid w:val="0077774A"/>
    <w:rsid w:val="007906AE"/>
    <w:rsid w:val="00791269"/>
    <w:rsid w:val="007933ED"/>
    <w:rsid w:val="00793C35"/>
    <w:rsid w:val="00796D4A"/>
    <w:rsid w:val="007975FC"/>
    <w:rsid w:val="007A7455"/>
    <w:rsid w:val="007A7469"/>
    <w:rsid w:val="007B0632"/>
    <w:rsid w:val="007B0AC0"/>
    <w:rsid w:val="007B331A"/>
    <w:rsid w:val="007B4A79"/>
    <w:rsid w:val="007B4B4E"/>
    <w:rsid w:val="007B56F8"/>
    <w:rsid w:val="007B5B2E"/>
    <w:rsid w:val="007B6ECF"/>
    <w:rsid w:val="007C09E9"/>
    <w:rsid w:val="007C2F1C"/>
    <w:rsid w:val="007C49CE"/>
    <w:rsid w:val="007C70E3"/>
    <w:rsid w:val="007C7E27"/>
    <w:rsid w:val="007D40DC"/>
    <w:rsid w:val="007D439E"/>
    <w:rsid w:val="007D5087"/>
    <w:rsid w:val="007E6D24"/>
    <w:rsid w:val="007F3FA2"/>
    <w:rsid w:val="007F5570"/>
    <w:rsid w:val="007F616D"/>
    <w:rsid w:val="007F6A65"/>
    <w:rsid w:val="00800B38"/>
    <w:rsid w:val="008020B5"/>
    <w:rsid w:val="00802E28"/>
    <w:rsid w:val="00805649"/>
    <w:rsid w:val="008073BC"/>
    <w:rsid w:val="00814D2E"/>
    <w:rsid w:val="00815BB0"/>
    <w:rsid w:val="008161CD"/>
    <w:rsid w:val="0081726F"/>
    <w:rsid w:val="008237BC"/>
    <w:rsid w:val="00825F13"/>
    <w:rsid w:val="008276D3"/>
    <w:rsid w:val="0083180B"/>
    <w:rsid w:val="00837426"/>
    <w:rsid w:val="008404DE"/>
    <w:rsid w:val="008407A9"/>
    <w:rsid w:val="00841D7F"/>
    <w:rsid w:val="00841FCD"/>
    <w:rsid w:val="0084265E"/>
    <w:rsid w:val="00842B44"/>
    <w:rsid w:val="00845C98"/>
    <w:rsid w:val="00846115"/>
    <w:rsid w:val="00850F9D"/>
    <w:rsid w:val="0085190E"/>
    <w:rsid w:val="008551B9"/>
    <w:rsid w:val="00857FDB"/>
    <w:rsid w:val="00862440"/>
    <w:rsid w:val="00862E94"/>
    <w:rsid w:val="00863911"/>
    <w:rsid w:val="0086661D"/>
    <w:rsid w:val="00870688"/>
    <w:rsid w:val="008722B2"/>
    <w:rsid w:val="00873A44"/>
    <w:rsid w:val="00876081"/>
    <w:rsid w:val="0087703E"/>
    <w:rsid w:val="00877ED8"/>
    <w:rsid w:val="00880636"/>
    <w:rsid w:val="00884CE4"/>
    <w:rsid w:val="008859A7"/>
    <w:rsid w:val="008859BE"/>
    <w:rsid w:val="0088755E"/>
    <w:rsid w:val="00894B78"/>
    <w:rsid w:val="00896FF8"/>
    <w:rsid w:val="0089729A"/>
    <w:rsid w:val="00897716"/>
    <w:rsid w:val="008A0522"/>
    <w:rsid w:val="008A0E08"/>
    <w:rsid w:val="008A43D3"/>
    <w:rsid w:val="008A4ACE"/>
    <w:rsid w:val="008A66A7"/>
    <w:rsid w:val="008A784E"/>
    <w:rsid w:val="008B346B"/>
    <w:rsid w:val="008B42B7"/>
    <w:rsid w:val="008B50F1"/>
    <w:rsid w:val="008B5D9E"/>
    <w:rsid w:val="008B7591"/>
    <w:rsid w:val="008C1869"/>
    <w:rsid w:val="008C38A7"/>
    <w:rsid w:val="008C6331"/>
    <w:rsid w:val="008C63C1"/>
    <w:rsid w:val="008D27BF"/>
    <w:rsid w:val="008D2E91"/>
    <w:rsid w:val="008D71DC"/>
    <w:rsid w:val="008E2110"/>
    <w:rsid w:val="008E27D5"/>
    <w:rsid w:val="008E28D8"/>
    <w:rsid w:val="008E2DAC"/>
    <w:rsid w:val="008E5301"/>
    <w:rsid w:val="008E682D"/>
    <w:rsid w:val="008F0350"/>
    <w:rsid w:val="008F0B06"/>
    <w:rsid w:val="008F1374"/>
    <w:rsid w:val="008F2AD2"/>
    <w:rsid w:val="008F32F0"/>
    <w:rsid w:val="008F41BE"/>
    <w:rsid w:val="008F48D3"/>
    <w:rsid w:val="008F513F"/>
    <w:rsid w:val="008F5164"/>
    <w:rsid w:val="008F7445"/>
    <w:rsid w:val="0090073D"/>
    <w:rsid w:val="00900E9E"/>
    <w:rsid w:val="00901F3F"/>
    <w:rsid w:val="0090616E"/>
    <w:rsid w:val="0090624B"/>
    <w:rsid w:val="00906816"/>
    <w:rsid w:val="009145A7"/>
    <w:rsid w:val="009148D8"/>
    <w:rsid w:val="00915D35"/>
    <w:rsid w:val="009165BB"/>
    <w:rsid w:val="009174E2"/>
    <w:rsid w:val="0092466D"/>
    <w:rsid w:val="0092504D"/>
    <w:rsid w:val="0092741D"/>
    <w:rsid w:val="00927A61"/>
    <w:rsid w:val="00930C31"/>
    <w:rsid w:val="009361B0"/>
    <w:rsid w:val="00936BBA"/>
    <w:rsid w:val="00940A4D"/>
    <w:rsid w:val="009460D3"/>
    <w:rsid w:val="00956F54"/>
    <w:rsid w:val="00960A8C"/>
    <w:rsid w:val="0096214E"/>
    <w:rsid w:val="0096255B"/>
    <w:rsid w:val="00962639"/>
    <w:rsid w:val="00962855"/>
    <w:rsid w:val="00962ED0"/>
    <w:rsid w:val="00964679"/>
    <w:rsid w:val="00965815"/>
    <w:rsid w:val="009679B2"/>
    <w:rsid w:val="00967AEF"/>
    <w:rsid w:val="00970755"/>
    <w:rsid w:val="00973CBC"/>
    <w:rsid w:val="00975694"/>
    <w:rsid w:val="00976295"/>
    <w:rsid w:val="00976791"/>
    <w:rsid w:val="00977134"/>
    <w:rsid w:val="00977E8D"/>
    <w:rsid w:val="00984861"/>
    <w:rsid w:val="00984E98"/>
    <w:rsid w:val="0098680F"/>
    <w:rsid w:val="00986E89"/>
    <w:rsid w:val="00987874"/>
    <w:rsid w:val="00987AC3"/>
    <w:rsid w:val="009907C6"/>
    <w:rsid w:val="00990E75"/>
    <w:rsid w:val="00991613"/>
    <w:rsid w:val="009929B6"/>
    <w:rsid w:val="00992E12"/>
    <w:rsid w:val="00993CE5"/>
    <w:rsid w:val="00994461"/>
    <w:rsid w:val="00995A4B"/>
    <w:rsid w:val="00997946"/>
    <w:rsid w:val="009A0355"/>
    <w:rsid w:val="009A1A45"/>
    <w:rsid w:val="009A5B3D"/>
    <w:rsid w:val="009B3752"/>
    <w:rsid w:val="009B489A"/>
    <w:rsid w:val="009B4E92"/>
    <w:rsid w:val="009B7566"/>
    <w:rsid w:val="009C4131"/>
    <w:rsid w:val="009C6541"/>
    <w:rsid w:val="009C6CDB"/>
    <w:rsid w:val="009C777C"/>
    <w:rsid w:val="009D067B"/>
    <w:rsid w:val="009D0E3E"/>
    <w:rsid w:val="009D247E"/>
    <w:rsid w:val="009D2A23"/>
    <w:rsid w:val="009D2C59"/>
    <w:rsid w:val="009D7B07"/>
    <w:rsid w:val="009E0013"/>
    <w:rsid w:val="009E4B52"/>
    <w:rsid w:val="009E7F13"/>
    <w:rsid w:val="009F14E9"/>
    <w:rsid w:val="009F25AA"/>
    <w:rsid w:val="009F2774"/>
    <w:rsid w:val="009F27D4"/>
    <w:rsid w:val="009F4E70"/>
    <w:rsid w:val="009F5934"/>
    <w:rsid w:val="009F6F0A"/>
    <w:rsid w:val="00A029E4"/>
    <w:rsid w:val="00A03983"/>
    <w:rsid w:val="00A04EB0"/>
    <w:rsid w:val="00A0667A"/>
    <w:rsid w:val="00A069E4"/>
    <w:rsid w:val="00A074A4"/>
    <w:rsid w:val="00A07A21"/>
    <w:rsid w:val="00A10964"/>
    <w:rsid w:val="00A10A6F"/>
    <w:rsid w:val="00A110EA"/>
    <w:rsid w:val="00A11150"/>
    <w:rsid w:val="00A111FF"/>
    <w:rsid w:val="00A1337F"/>
    <w:rsid w:val="00A142BC"/>
    <w:rsid w:val="00A14566"/>
    <w:rsid w:val="00A14718"/>
    <w:rsid w:val="00A157FE"/>
    <w:rsid w:val="00A15DBA"/>
    <w:rsid w:val="00A15E4A"/>
    <w:rsid w:val="00A24261"/>
    <w:rsid w:val="00A25D28"/>
    <w:rsid w:val="00A25F0E"/>
    <w:rsid w:val="00A267FB"/>
    <w:rsid w:val="00A26C9E"/>
    <w:rsid w:val="00A3021F"/>
    <w:rsid w:val="00A36AA2"/>
    <w:rsid w:val="00A37988"/>
    <w:rsid w:val="00A41CBF"/>
    <w:rsid w:val="00A434C4"/>
    <w:rsid w:val="00A43D2C"/>
    <w:rsid w:val="00A45994"/>
    <w:rsid w:val="00A515A0"/>
    <w:rsid w:val="00A57292"/>
    <w:rsid w:val="00A60CF8"/>
    <w:rsid w:val="00A6365F"/>
    <w:rsid w:val="00A67B6A"/>
    <w:rsid w:val="00A718C6"/>
    <w:rsid w:val="00A728A8"/>
    <w:rsid w:val="00A74E88"/>
    <w:rsid w:val="00A75E05"/>
    <w:rsid w:val="00A77521"/>
    <w:rsid w:val="00A805F3"/>
    <w:rsid w:val="00A8214A"/>
    <w:rsid w:val="00A90924"/>
    <w:rsid w:val="00A91C96"/>
    <w:rsid w:val="00A91EA7"/>
    <w:rsid w:val="00A938DF"/>
    <w:rsid w:val="00A945C2"/>
    <w:rsid w:val="00A964BC"/>
    <w:rsid w:val="00A96620"/>
    <w:rsid w:val="00A97094"/>
    <w:rsid w:val="00AA036C"/>
    <w:rsid w:val="00AB55E5"/>
    <w:rsid w:val="00AB7223"/>
    <w:rsid w:val="00AB77CD"/>
    <w:rsid w:val="00AC03A0"/>
    <w:rsid w:val="00AC2E2F"/>
    <w:rsid w:val="00AC6A21"/>
    <w:rsid w:val="00AC740A"/>
    <w:rsid w:val="00AC755D"/>
    <w:rsid w:val="00AD0552"/>
    <w:rsid w:val="00AD2C8B"/>
    <w:rsid w:val="00AD4496"/>
    <w:rsid w:val="00AD50D2"/>
    <w:rsid w:val="00AD6BB0"/>
    <w:rsid w:val="00AE15DA"/>
    <w:rsid w:val="00AE1A98"/>
    <w:rsid w:val="00AE2BCB"/>
    <w:rsid w:val="00AE48D0"/>
    <w:rsid w:val="00AE67BB"/>
    <w:rsid w:val="00AF09FA"/>
    <w:rsid w:val="00AF251E"/>
    <w:rsid w:val="00AF3B24"/>
    <w:rsid w:val="00AF3B90"/>
    <w:rsid w:val="00AF4E1B"/>
    <w:rsid w:val="00AF5419"/>
    <w:rsid w:val="00B00331"/>
    <w:rsid w:val="00B015E1"/>
    <w:rsid w:val="00B01CDF"/>
    <w:rsid w:val="00B03D16"/>
    <w:rsid w:val="00B042CC"/>
    <w:rsid w:val="00B06245"/>
    <w:rsid w:val="00B07D05"/>
    <w:rsid w:val="00B10D1F"/>
    <w:rsid w:val="00B12447"/>
    <w:rsid w:val="00B125CB"/>
    <w:rsid w:val="00B14389"/>
    <w:rsid w:val="00B144BA"/>
    <w:rsid w:val="00B15071"/>
    <w:rsid w:val="00B20708"/>
    <w:rsid w:val="00B211EF"/>
    <w:rsid w:val="00B21DA1"/>
    <w:rsid w:val="00B22D0E"/>
    <w:rsid w:val="00B23051"/>
    <w:rsid w:val="00B26120"/>
    <w:rsid w:val="00B30D4B"/>
    <w:rsid w:val="00B30E13"/>
    <w:rsid w:val="00B33217"/>
    <w:rsid w:val="00B33C9D"/>
    <w:rsid w:val="00B3469F"/>
    <w:rsid w:val="00B36A53"/>
    <w:rsid w:val="00B40EEF"/>
    <w:rsid w:val="00B416E8"/>
    <w:rsid w:val="00B42344"/>
    <w:rsid w:val="00B43776"/>
    <w:rsid w:val="00B44C76"/>
    <w:rsid w:val="00B458E9"/>
    <w:rsid w:val="00B45E3D"/>
    <w:rsid w:val="00B45F32"/>
    <w:rsid w:val="00B460F0"/>
    <w:rsid w:val="00B46CF1"/>
    <w:rsid w:val="00B51775"/>
    <w:rsid w:val="00B53907"/>
    <w:rsid w:val="00B54873"/>
    <w:rsid w:val="00B56AF5"/>
    <w:rsid w:val="00B57AB3"/>
    <w:rsid w:val="00B602B7"/>
    <w:rsid w:val="00B616F5"/>
    <w:rsid w:val="00B62358"/>
    <w:rsid w:val="00B63495"/>
    <w:rsid w:val="00B647C5"/>
    <w:rsid w:val="00B64E2C"/>
    <w:rsid w:val="00B65E96"/>
    <w:rsid w:val="00B67D39"/>
    <w:rsid w:val="00B763B1"/>
    <w:rsid w:val="00B81A62"/>
    <w:rsid w:val="00B82E17"/>
    <w:rsid w:val="00B835E2"/>
    <w:rsid w:val="00B83F83"/>
    <w:rsid w:val="00B84A0C"/>
    <w:rsid w:val="00B8575B"/>
    <w:rsid w:val="00B86050"/>
    <w:rsid w:val="00B86D00"/>
    <w:rsid w:val="00B9344C"/>
    <w:rsid w:val="00B96D63"/>
    <w:rsid w:val="00BA0FFC"/>
    <w:rsid w:val="00BA481E"/>
    <w:rsid w:val="00BA4ACD"/>
    <w:rsid w:val="00BA7BF0"/>
    <w:rsid w:val="00BB7F73"/>
    <w:rsid w:val="00BC37D2"/>
    <w:rsid w:val="00BC47E4"/>
    <w:rsid w:val="00BD26E6"/>
    <w:rsid w:val="00BD2CD7"/>
    <w:rsid w:val="00BD3262"/>
    <w:rsid w:val="00BD3B4B"/>
    <w:rsid w:val="00BD5653"/>
    <w:rsid w:val="00BE4844"/>
    <w:rsid w:val="00BE60AB"/>
    <w:rsid w:val="00BE78C6"/>
    <w:rsid w:val="00BF1DEA"/>
    <w:rsid w:val="00BF451D"/>
    <w:rsid w:val="00BF5560"/>
    <w:rsid w:val="00BF665D"/>
    <w:rsid w:val="00C017BA"/>
    <w:rsid w:val="00C0545C"/>
    <w:rsid w:val="00C139FE"/>
    <w:rsid w:val="00C1596E"/>
    <w:rsid w:val="00C16EE7"/>
    <w:rsid w:val="00C17E0C"/>
    <w:rsid w:val="00C17E0F"/>
    <w:rsid w:val="00C2062C"/>
    <w:rsid w:val="00C20F97"/>
    <w:rsid w:val="00C237F6"/>
    <w:rsid w:val="00C23A47"/>
    <w:rsid w:val="00C2436C"/>
    <w:rsid w:val="00C24DA9"/>
    <w:rsid w:val="00C27AF4"/>
    <w:rsid w:val="00C27B15"/>
    <w:rsid w:val="00C37EAD"/>
    <w:rsid w:val="00C40172"/>
    <w:rsid w:val="00C477FF"/>
    <w:rsid w:val="00C5147A"/>
    <w:rsid w:val="00C56A3D"/>
    <w:rsid w:val="00C5736E"/>
    <w:rsid w:val="00C60A86"/>
    <w:rsid w:val="00C60B74"/>
    <w:rsid w:val="00C612D4"/>
    <w:rsid w:val="00C631E1"/>
    <w:rsid w:val="00C6392A"/>
    <w:rsid w:val="00C64083"/>
    <w:rsid w:val="00C6518F"/>
    <w:rsid w:val="00C65751"/>
    <w:rsid w:val="00C66256"/>
    <w:rsid w:val="00C662FB"/>
    <w:rsid w:val="00C74272"/>
    <w:rsid w:val="00C74D81"/>
    <w:rsid w:val="00C75B3A"/>
    <w:rsid w:val="00C77496"/>
    <w:rsid w:val="00C80C53"/>
    <w:rsid w:val="00C80F75"/>
    <w:rsid w:val="00C81F01"/>
    <w:rsid w:val="00C8210B"/>
    <w:rsid w:val="00C83642"/>
    <w:rsid w:val="00C845C8"/>
    <w:rsid w:val="00C846A1"/>
    <w:rsid w:val="00C846A5"/>
    <w:rsid w:val="00C923EC"/>
    <w:rsid w:val="00C946DE"/>
    <w:rsid w:val="00C94FD6"/>
    <w:rsid w:val="00CA0B57"/>
    <w:rsid w:val="00CA1DFB"/>
    <w:rsid w:val="00CA3FAF"/>
    <w:rsid w:val="00CA5845"/>
    <w:rsid w:val="00CB15CF"/>
    <w:rsid w:val="00CB17D5"/>
    <w:rsid w:val="00CB2DFA"/>
    <w:rsid w:val="00CB6A6D"/>
    <w:rsid w:val="00CB7419"/>
    <w:rsid w:val="00CB779B"/>
    <w:rsid w:val="00CC0179"/>
    <w:rsid w:val="00CC0B3A"/>
    <w:rsid w:val="00CC3B96"/>
    <w:rsid w:val="00CC5EBB"/>
    <w:rsid w:val="00CC71EB"/>
    <w:rsid w:val="00CD36C1"/>
    <w:rsid w:val="00CE22F0"/>
    <w:rsid w:val="00CE29E6"/>
    <w:rsid w:val="00CE6A6F"/>
    <w:rsid w:val="00CE7E93"/>
    <w:rsid w:val="00CF0F63"/>
    <w:rsid w:val="00CF109A"/>
    <w:rsid w:val="00CF7992"/>
    <w:rsid w:val="00D03264"/>
    <w:rsid w:val="00D03893"/>
    <w:rsid w:val="00D0519F"/>
    <w:rsid w:val="00D05356"/>
    <w:rsid w:val="00D10490"/>
    <w:rsid w:val="00D127F8"/>
    <w:rsid w:val="00D133EE"/>
    <w:rsid w:val="00D16308"/>
    <w:rsid w:val="00D167A3"/>
    <w:rsid w:val="00D173A5"/>
    <w:rsid w:val="00D17D20"/>
    <w:rsid w:val="00D20A4F"/>
    <w:rsid w:val="00D21A73"/>
    <w:rsid w:val="00D328FA"/>
    <w:rsid w:val="00D35B4C"/>
    <w:rsid w:val="00D360FA"/>
    <w:rsid w:val="00D43247"/>
    <w:rsid w:val="00D43767"/>
    <w:rsid w:val="00D43C10"/>
    <w:rsid w:val="00D536CC"/>
    <w:rsid w:val="00D53C0B"/>
    <w:rsid w:val="00D60CD4"/>
    <w:rsid w:val="00D639C7"/>
    <w:rsid w:val="00D65C94"/>
    <w:rsid w:val="00D65F9C"/>
    <w:rsid w:val="00D718ED"/>
    <w:rsid w:val="00D71917"/>
    <w:rsid w:val="00D74B99"/>
    <w:rsid w:val="00D819C7"/>
    <w:rsid w:val="00D82C45"/>
    <w:rsid w:val="00D830DC"/>
    <w:rsid w:val="00D84B2F"/>
    <w:rsid w:val="00D9141C"/>
    <w:rsid w:val="00D929F9"/>
    <w:rsid w:val="00D94A14"/>
    <w:rsid w:val="00D95EEF"/>
    <w:rsid w:val="00D9619B"/>
    <w:rsid w:val="00D97BE1"/>
    <w:rsid w:val="00DA0A4A"/>
    <w:rsid w:val="00DA27BF"/>
    <w:rsid w:val="00DA310F"/>
    <w:rsid w:val="00DA3647"/>
    <w:rsid w:val="00DA6191"/>
    <w:rsid w:val="00DA7BE4"/>
    <w:rsid w:val="00DB001F"/>
    <w:rsid w:val="00DB20DE"/>
    <w:rsid w:val="00DB4994"/>
    <w:rsid w:val="00DB4C21"/>
    <w:rsid w:val="00DB700F"/>
    <w:rsid w:val="00DB7B61"/>
    <w:rsid w:val="00DC01F3"/>
    <w:rsid w:val="00DC2120"/>
    <w:rsid w:val="00DC6D73"/>
    <w:rsid w:val="00DD2B7F"/>
    <w:rsid w:val="00DD44DA"/>
    <w:rsid w:val="00DD5079"/>
    <w:rsid w:val="00DD54A1"/>
    <w:rsid w:val="00DD5A7E"/>
    <w:rsid w:val="00DD5C55"/>
    <w:rsid w:val="00DD61FA"/>
    <w:rsid w:val="00DD6AB8"/>
    <w:rsid w:val="00DE097E"/>
    <w:rsid w:val="00DE32E9"/>
    <w:rsid w:val="00DE6169"/>
    <w:rsid w:val="00DE6315"/>
    <w:rsid w:val="00DE6F80"/>
    <w:rsid w:val="00DF17A4"/>
    <w:rsid w:val="00DF1C70"/>
    <w:rsid w:val="00DF3FF3"/>
    <w:rsid w:val="00DF41DB"/>
    <w:rsid w:val="00DF520F"/>
    <w:rsid w:val="00DF52CF"/>
    <w:rsid w:val="00DF7BC7"/>
    <w:rsid w:val="00E00B93"/>
    <w:rsid w:val="00E0202B"/>
    <w:rsid w:val="00E03B23"/>
    <w:rsid w:val="00E058D3"/>
    <w:rsid w:val="00E05C7C"/>
    <w:rsid w:val="00E07AD0"/>
    <w:rsid w:val="00E1265B"/>
    <w:rsid w:val="00E12F35"/>
    <w:rsid w:val="00E1306E"/>
    <w:rsid w:val="00E13480"/>
    <w:rsid w:val="00E14DB4"/>
    <w:rsid w:val="00E213DD"/>
    <w:rsid w:val="00E22B04"/>
    <w:rsid w:val="00E23750"/>
    <w:rsid w:val="00E23F38"/>
    <w:rsid w:val="00E27F02"/>
    <w:rsid w:val="00E35D89"/>
    <w:rsid w:val="00E375D1"/>
    <w:rsid w:val="00E404D0"/>
    <w:rsid w:val="00E4147F"/>
    <w:rsid w:val="00E43D34"/>
    <w:rsid w:val="00E44BD4"/>
    <w:rsid w:val="00E44EA4"/>
    <w:rsid w:val="00E456DB"/>
    <w:rsid w:val="00E45F6D"/>
    <w:rsid w:val="00E502EF"/>
    <w:rsid w:val="00E55F41"/>
    <w:rsid w:val="00E60D55"/>
    <w:rsid w:val="00E62201"/>
    <w:rsid w:val="00E6236B"/>
    <w:rsid w:val="00E6288D"/>
    <w:rsid w:val="00E629E1"/>
    <w:rsid w:val="00E62CC0"/>
    <w:rsid w:val="00E6501F"/>
    <w:rsid w:val="00E65BB5"/>
    <w:rsid w:val="00E66E29"/>
    <w:rsid w:val="00E67324"/>
    <w:rsid w:val="00E67728"/>
    <w:rsid w:val="00E72FF9"/>
    <w:rsid w:val="00E73841"/>
    <w:rsid w:val="00E74F94"/>
    <w:rsid w:val="00E76AB7"/>
    <w:rsid w:val="00E85274"/>
    <w:rsid w:val="00E8558E"/>
    <w:rsid w:val="00E86B5B"/>
    <w:rsid w:val="00E87D4F"/>
    <w:rsid w:val="00E900C6"/>
    <w:rsid w:val="00E918C6"/>
    <w:rsid w:val="00E940F8"/>
    <w:rsid w:val="00E9520D"/>
    <w:rsid w:val="00E95297"/>
    <w:rsid w:val="00EA06A2"/>
    <w:rsid w:val="00EA2592"/>
    <w:rsid w:val="00EA5A07"/>
    <w:rsid w:val="00EA77B5"/>
    <w:rsid w:val="00EB01A5"/>
    <w:rsid w:val="00EB17C4"/>
    <w:rsid w:val="00EB251E"/>
    <w:rsid w:val="00EB3161"/>
    <w:rsid w:val="00EB3B20"/>
    <w:rsid w:val="00EB4586"/>
    <w:rsid w:val="00EB686B"/>
    <w:rsid w:val="00EB6EE5"/>
    <w:rsid w:val="00EB7C06"/>
    <w:rsid w:val="00EB7D94"/>
    <w:rsid w:val="00EB7D99"/>
    <w:rsid w:val="00EC1F1A"/>
    <w:rsid w:val="00EC3754"/>
    <w:rsid w:val="00EC4745"/>
    <w:rsid w:val="00EC566D"/>
    <w:rsid w:val="00EC68B4"/>
    <w:rsid w:val="00ED0296"/>
    <w:rsid w:val="00ED179E"/>
    <w:rsid w:val="00ED6235"/>
    <w:rsid w:val="00EE065C"/>
    <w:rsid w:val="00EE1790"/>
    <w:rsid w:val="00EE1D35"/>
    <w:rsid w:val="00EE3B0F"/>
    <w:rsid w:val="00EE6325"/>
    <w:rsid w:val="00EE6D91"/>
    <w:rsid w:val="00EF3660"/>
    <w:rsid w:val="00EF419D"/>
    <w:rsid w:val="00EF6B15"/>
    <w:rsid w:val="00EF739C"/>
    <w:rsid w:val="00EF7CC9"/>
    <w:rsid w:val="00F00159"/>
    <w:rsid w:val="00F0094B"/>
    <w:rsid w:val="00F01DEC"/>
    <w:rsid w:val="00F02027"/>
    <w:rsid w:val="00F0235F"/>
    <w:rsid w:val="00F02620"/>
    <w:rsid w:val="00F04982"/>
    <w:rsid w:val="00F05BC8"/>
    <w:rsid w:val="00F0705F"/>
    <w:rsid w:val="00F113B5"/>
    <w:rsid w:val="00F11773"/>
    <w:rsid w:val="00F117E7"/>
    <w:rsid w:val="00F11DEE"/>
    <w:rsid w:val="00F123D7"/>
    <w:rsid w:val="00F15170"/>
    <w:rsid w:val="00F22918"/>
    <w:rsid w:val="00F2318F"/>
    <w:rsid w:val="00F2611F"/>
    <w:rsid w:val="00F305CB"/>
    <w:rsid w:val="00F3119D"/>
    <w:rsid w:val="00F3259D"/>
    <w:rsid w:val="00F327A4"/>
    <w:rsid w:val="00F332AE"/>
    <w:rsid w:val="00F33DB8"/>
    <w:rsid w:val="00F351C1"/>
    <w:rsid w:val="00F36366"/>
    <w:rsid w:val="00F407CC"/>
    <w:rsid w:val="00F40CAF"/>
    <w:rsid w:val="00F412F2"/>
    <w:rsid w:val="00F43794"/>
    <w:rsid w:val="00F45DFF"/>
    <w:rsid w:val="00F461E8"/>
    <w:rsid w:val="00F46988"/>
    <w:rsid w:val="00F510F7"/>
    <w:rsid w:val="00F5594B"/>
    <w:rsid w:val="00F56423"/>
    <w:rsid w:val="00F564FF"/>
    <w:rsid w:val="00F57997"/>
    <w:rsid w:val="00F61358"/>
    <w:rsid w:val="00F613FF"/>
    <w:rsid w:val="00F61EE0"/>
    <w:rsid w:val="00F62A6D"/>
    <w:rsid w:val="00F63F30"/>
    <w:rsid w:val="00F65987"/>
    <w:rsid w:val="00F662CB"/>
    <w:rsid w:val="00F71CAF"/>
    <w:rsid w:val="00F7589A"/>
    <w:rsid w:val="00F76444"/>
    <w:rsid w:val="00F77C2F"/>
    <w:rsid w:val="00F80E7F"/>
    <w:rsid w:val="00F81B5F"/>
    <w:rsid w:val="00F865E6"/>
    <w:rsid w:val="00F8684D"/>
    <w:rsid w:val="00F94046"/>
    <w:rsid w:val="00F94B4C"/>
    <w:rsid w:val="00F95442"/>
    <w:rsid w:val="00FA073F"/>
    <w:rsid w:val="00FA22B8"/>
    <w:rsid w:val="00FA257C"/>
    <w:rsid w:val="00FA465E"/>
    <w:rsid w:val="00FA61D9"/>
    <w:rsid w:val="00FA7B48"/>
    <w:rsid w:val="00FB2356"/>
    <w:rsid w:val="00FB24F3"/>
    <w:rsid w:val="00FB2C83"/>
    <w:rsid w:val="00FB30E3"/>
    <w:rsid w:val="00FB3103"/>
    <w:rsid w:val="00FB3255"/>
    <w:rsid w:val="00FB337C"/>
    <w:rsid w:val="00FB33BB"/>
    <w:rsid w:val="00FB34F7"/>
    <w:rsid w:val="00FB3C8A"/>
    <w:rsid w:val="00FB5CFB"/>
    <w:rsid w:val="00FB7B8F"/>
    <w:rsid w:val="00FC13CC"/>
    <w:rsid w:val="00FC26A6"/>
    <w:rsid w:val="00FC3650"/>
    <w:rsid w:val="00FC36D6"/>
    <w:rsid w:val="00FC594C"/>
    <w:rsid w:val="00FC6B3D"/>
    <w:rsid w:val="00FC7A2E"/>
    <w:rsid w:val="00FD43CE"/>
    <w:rsid w:val="00FD5BD7"/>
    <w:rsid w:val="00FE2062"/>
    <w:rsid w:val="00FE2208"/>
    <w:rsid w:val="00FE2891"/>
    <w:rsid w:val="00FE62C6"/>
    <w:rsid w:val="00FF2A7E"/>
    <w:rsid w:val="00FF4066"/>
    <w:rsid w:val="00FF709D"/>
    <w:rsid w:val="00FF71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E064"/>
  <w15:docId w15:val="{68A58175-940E-284C-BE28-1855B12E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33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816D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4816D3"/>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4816D3"/>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alk4">
    <w:name w:val="heading 4"/>
    <w:basedOn w:val="Normal"/>
    <w:next w:val="Normal"/>
    <w:link w:val="Balk4Char"/>
    <w:uiPriority w:val="9"/>
    <w:unhideWhenUsed/>
    <w:qFormat/>
    <w:rsid w:val="004816D3"/>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16D3"/>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4816D3"/>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rsid w:val="004816D3"/>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4816D3"/>
    <w:rPr>
      <w:rFonts w:asciiTheme="majorHAnsi" w:eastAsiaTheme="majorEastAsia" w:hAnsiTheme="majorHAnsi" w:cstheme="majorBidi"/>
      <w:i/>
      <w:iCs/>
      <w:color w:val="2E74B5" w:themeColor="accent1" w:themeShade="BF"/>
      <w:lang w:eastAsia="tr-TR"/>
    </w:rPr>
  </w:style>
  <w:style w:type="paragraph" w:styleId="ListeParagraf">
    <w:name w:val="List Paragraph"/>
    <w:basedOn w:val="Normal"/>
    <w:uiPriority w:val="34"/>
    <w:qFormat/>
    <w:rsid w:val="004816D3"/>
    <w:pPr>
      <w:spacing w:after="200" w:line="276" w:lineRule="auto"/>
      <w:ind w:left="720"/>
      <w:contextualSpacing/>
    </w:pPr>
    <w:rPr>
      <w:rFonts w:asciiTheme="minorHAnsi" w:eastAsiaTheme="minorEastAsia" w:hAnsiTheme="minorHAnsi" w:cstheme="minorBidi"/>
      <w:sz w:val="22"/>
      <w:szCs w:val="22"/>
    </w:rPr>
  </w:style>
  <w:style w:type="paragraph" w:styleId="HTMLncedenBiimlendirilmi">
    <w:name w:val="HTML Preformatted"/>
    <w:basedOn w:val="Normal"/>
    <w:link w:val="HTMLncedenBiimlendirilmiChar"/>
    <w:uiPriority w:val="99"/>
    <w:unhideWhenUsed/>
    <w:rsid w:val="004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816D3"/>
    <w:rPr>
      <w:rFonts w:ascii="Courier New" w:eastAsia="Times New Roman" w:hAnsi="Courier New" w:cs="Courier New"/>
      <w:sz w:val="20"/>
      <w:szCs w:val="20"/>
      <w:lang w:eastAsia="tr-TR"/>
    </w:rPr>
  </w:style>
  <w:style w:type="paragraph" w:styleId="KonuBal">
    <w:name w:val="Title"/>
    <w:basedOn w:val="Normal"/>
    <w:next w:val="Normal"/>
    <w:link w:val="KonuBalChar"/>
    <w:uiPriority w:val="10"/>
    <w:qFormat/>
    <w:rsid w:val="004816D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4816D3"/>
    <w:rPr>
      <w:rFonts w:asciiTheme="majorHAnsi" w:eastAsiaTheme="majorEastAsia" w:hAnsiTheme="majorHAnsi" w:cstheme="majorBidi"/>
      <w:color w:val="323E4F" w:themeColor="text2" w:themeShade="BF"/>
      <w:spacing w:val="5"/>
      <w:kern w:val="28"/>
      <w:sz w:val="52"/>
      <w:szCs w:val="52"/>
      <w:lang w:eastAsia="tr-TR"/>
    </w:rPr>
  </w:style>
  <w:style w:type="paragraph" w:styleId="NormalWeb">
    <w:name w:val="Normal (Web)"/>
    <w:basedOn w:val="Normal"/>
    <w:uiPriority w:val="99"/>
    <w:unhideWhenUsed/>
    <w:rsid w:val="004816D3"/>
    <w:pPr>
      <w:spacing w:before="100" w:beforeAutospacing="1" w:after="100" w:afterAutospacing="1"/>
    </w:pPr>
  </w:style>
  <w:style w:type="character" w:customStyle="1" w:styleId="h1">
    <w:name w:val="h1"/>
    <w:basedOn w:val="VarsaylanParagrafYazTipi"/>
    <w:rsid w:val="004816D3"/>
  </w:style>
  <w:style w:type="character" w:customStyle="1" w:styleId="headingendmark">
    <w:name w:val="headingendmark"/>
    <w:basedOn w:val="VarsaylanParagrafYazTipi"/>
    <w:rsid w:val="004816D3"/>
  </w:style>
  <w:style w:type="character" w:styleId="Kpr">
    <w:name w:val="Hyperlink"/>
    <w:basedOn w:val="VarsaylanParagrafYazTipi"/>
    <w:uiPriority w:val="99"/>
    <w:unhideWhenUsed/>
    <w:rsid w:val="004816D3"/>
    <w:rPr>
      <w:color w:val="0000FF"/>
      <w:u w:val="single"/>
    </w:rPr>
  </w:style>
  <w:style w:type="paragraph" w:customStyle="1" w:styleId="bulletndent1">
    <w:name w:val="bulletındent1"/>
    <w:basedOn w:val="Normal"/>
    <w:rsid w:val="004816D3"/>
    <w:pPr>
      <w:spacing w:before="100" w:beforeAutospacing="1" w:after="100" w:afterAutospacing="1"/>
    </w:pPr>
  </w:style>
  <w:style w:type="character" w:customStyle="1" w:styleId="glyph">
    <w:name w:val="glyph"/>
    <w:basedOn w:val="VarsaylanParagrafYazTipi"/>
    <w:rsid w:val="004816D3"/>
  </w:style>
  <w:style w:type="character" w:styleId="Vurgu">
    <w:name w:val="Emphasis"/>
    <w:basedOn w:val="VarsaylanParagrafYazTipi"/>
    <w:uiPriority w:val="20"/>
    <w:qFormat/>
    <w:rsid w:val="004816D3"/>
    <w:rPr>
      <w:i/>
      <w:iCs/>
    </w:rPr>
  </w:style>
  <w:style w:type="character" w:customStyle="1" w:styleId="apple-converted-space">
    <w:name w:val="apple-converted-space"/>
    <w:basedOn w:val="VarsaylanParagrafYazTipi"/>
    <w:rsid w:val="004816D3"/>
  </w:style>
  <w:style w:type="character" w:styleId="zlenenKpr">
    <w:name w:val="FollowedHyperlink"/>
    <w:basedOn w:val="VarsaylanParagrafYazTipi"/>
    <w:uiPriority w:val="99"/>
    <w:semiHidden/>
    <w:unhideWhenUsed/>
    <w:rsid w:val="004816D3"/>
    <w:rPr>
      <w:color w:val="954F72" w:themeColor="followedHyperlink"/>
      <w:u w:val="single"/>
    </w:rPr>
  </w:style>
  <w:style w:type="character" w:customStyle="1" w:styleId="nowrap">
    <w:name w:val="nowrap"/>
    <w:basedOn w:val="VarsaylanParagrafYazTipi"/>
    <w:rsid w:val="004816D3"/>
  </w:style>
  <w:style w:type="paragraph" w:customStyle="1" w:styleId="headinganchor">
    <w:name w:val="headinganchor"/>
    <w:basedOn w:val="Normal"/>
    <w:rsid w:val="004816D3"/>
    <w:pPr>
      <w:spacing w:before="100" w:beforeAutospacing="1" w:after="100" w:afterAutospacing="1"/>
    </w:pPr>
  </w:style>
  <w:style w:type="character" w:styleId="Gl">
    <w:name w:val="Strong"/>
    <w:basedOn w:val="VarsaylanParagrafYazTipi"/>
    <w:uiPriority w:val="22"/>
    <w:qFormat/>
    <w:rsid w:val="004816D3"/>
    <w:rPr>
      <w:b/>
      <w:bCs/>
    </w:rPr>
  </w:style>
  <w:style w:type="character" w:customStyle="1" w:styleId="highlighted">
    <w:name w:val="highlighted"/>
    <w:basedOn w:val="VarsaylanParagrafYazTipi"/>
    <w:rsid w:val="004816D3"/>
  </w:style>
  <w:style w:type="character" w:customStyle="1" w:styleId="h2">
    <w:name w:val="h2"/>
    <w:basedOn w:val="VarsaylanParagrafYazTipi"/>
    <w:rsid w:val="004816D3"/>
  </w:style>
  <w:style w:type="paragraph" w:customStyle="1" w:styleId="svarticle">
    <w:name w:val="svarticle"/>
    <w:basedOn w:val="Normal"/>
    <w:rsid w:val="004816D3"/>
    <w:pPr>
      <w:spacing w:before="100" w:beforeAutospacing="1" w:after="100" w:afterAutospacing="1"/>
    </w:pPr>
  </w:style>
  <w:style w:type="character" w:customStyle="1" w:styleId="highlight">
    <w:name w:val="highlight"/>
    <w:basedOn w:val="VarsaylanParagrafYazTipi"/>
    <w:rsid w:val="004816D3"/>
  </w:style>
  <w:style w:type="paragraph" w:customStyle="1" w:styleId="paragraph">
    <w:name w:val="paragraph"/>
    <w:basedOn w:val="Normal"/>
    <w:rsid w:val="004816D3"/>
    <w:pPr>
      <w:spacing w:before="100" w:beforeAutospacing="1" w:after="100" w:afterAutospacing="1"/>
    </w:pPr>
  </w:style>
  <w:style w:type="character" w:customStyle="1" w:styleId="normaltextrun">
    <w:name w:val="normaltextrun"/>
    <w:basedOn w:val="VarsaylanParagrafYazTipi"/>
    <w:rsid w:val="004816D3"/>
  </w:style>
  <w:style w:type="character" w:customStyle="1" w:styleId="spellingerror">
    <w:name w:val="spellingerror"/>
    <w:basedOn w:val="VarsaylanParagrafYazTipi"/>
    <w:rsid w:val="004816D3"/>
  </w:style>
  <w:style w:type="character" w:customStyle="1" w:styleId="eop">
    <w:name w:val="eop"/>
    <w:basedOn w:val="VarsaylanParagrafYazTipi"/>
    <w:rsid w:val="004816D3"/>
  </w:style>
  <w:style w:type="character" w:styleId="AklamaBavurusu">
    <w:name w:val="annotation reference"/>
    <w:basedOn w:val="VarsaylanParagrafYazTipi"/>
    <w:uiPriority w:val="99"/>
    <w:semiHidden/>
    <w:unhideWhenUsed/>
    <w:rsid w:val="004816D3"/>
    <w:rPr>
      <w:sz w:val="16"/>
      <w:szCs w:val="16"/>
    </w:rPr>
  </w:style>
  <w:style w:type="paragraph" w:styleId="AklamaMetni">
    <w:name w:val="annotation text"/>
    <w:basedOn w:val="Normal"/>
    <w:link w:val="AklamaMetniChar"/>
    <w:uiPriority w:val="99"/>
    <w:unhideWhenUsed/>
    <w:rsid w:val="004816D3"/>
    <w:pPr>
      <w:spacing w:after="200"/>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rsid w:val="004816D3"/>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4816D3"/>
    <w:rPr>
      <w:b/>
      <w:bCs/>
    </w:rPr>
  </w:style>
  <w:style w:type="character" w:customStyle="1" w:styleId="AklamaKonusuChar">
    <w:name w:val="Açıklama Konusu Char"/>
    <w:basedOn w:val="AklamaMetniChar"/>
    <w:link w:val="AklamaKonusu"/>
    <w:uiPriority w:val="99"/>
    <w:semiHidden/>
    <w:rsid w:val="004816D3"/>
    <w:rPr>
      <w:rFonts w:eastAsiaTheme="minorEastAsia"/>
      <w:b/>
      <w:bCs/>
      <w:sz w:val="20"/>
      <w:szCs w:val="20"/>
      <w:lang w:eastAsia="tr-TR"/>
    </w:rPr>
  </w:style>
  <w:style w:type="paragraph" w:styleId="BalonMetni">
    <w:name w:val="Balloon Text"/>
    <w:basedOn w:val="Normal"/>
    <w:link w:val="BalonMetniChar"/>
    <w:uiPriority w:val="99"/>
    <w:semiHidden/>
    <w:unhideWhenUsed/>
    <w:rsid w:val="004816D3"/>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004816D3"/>
    <w:rPr>
      <w:rFonts w:ascii="Tahoma" w:eastAsiaTheme="minorEastAsia" w:hAnsi="Tahoma" w:cs="Tahoma"/>
      <w:sz w:val="16"/>
      <w:szCs w:val="16"/>
      <w:lang w:eastAsia="tr-TR"/>
    </w:rPr>
  </w:style>
  <w:style w:type="character" w:customStyle="1" w:styleId="medcalcfontcctab">
    <w:name w:val="medcalcfontcctab"/>
    <w:basedOn w:val="VarsaylanParagrafYazTipi"/>
    <w:rsid w:val="004816D3"/>
  </w:style>
  <w:style w:type="paragraph" w:customStyle="1" w:styleId="bulletindent1">
    <w:name w:val="bulletindent1"/>
    <w:basedOn w:val="Normal"/>
    <w:rsid w:val="004816D3"/>
    <w:pPr>
      <w:spacing w:before="100" w:beforeAutospacing="1" w:after="100" w:afterAutospacing="1"/>
    </w:pPr>
  </w:style>
  <w:style w:type="character" w:customStyle="1" w:styleId="cit">
    <w:name w:val="cit"/>
    <w:basedOn w:val="VarsaylanParagrafYazTipi"/>
    <w:rsid w:val="004816D3"/>
  </w:style>
  <w:style w:type="character" w:customStyle="1" w:styleId="fm-vol-iss-date">
    <w:name w:val="fm-vol-iss-date"/>
    <w:basedOn w:val="VarsaylanParagrafYazTipi"/>
    <w:rsid w:val="004816D3"/>
  </w:style>
  <w:style w:type="character" w:customStyle="1" w:styleId="doi">
    <w:name w:val="doi"/>
    <w:basedOn w:val="VarsaylanParagrafYazTipi"/>
    <w:rsid w:val="004816D3"/>
  </w:style>
  <w:style w:type="character" w:customStyle="1" w:styleId="fm-citation-ids-label">
    <w:name w:val="fm-citation-ids-label"/>
    <w:basedOn w:val="VarsaylanParagrafYazTipi"/>
    <w:rsid w:val="004816D3"/>
  </w:style>
  <w:style w:type="character" w:customStyle="1" w:styleId="title-text">
    <w:name w:val="title-text"/>
    <w:basedOn w:val="VarsaylanParagrafYazTipi"/>
    <w:rsid w:val="004816D3"/>
  </w:style>
  <w:style w:type="character" w:customStyle="1" w:styleId="published-date">
    <w:name w:val="published-date"/>
    <w:basedOn w:val="VarsaylanParagrafYazTipi"/>
    <w:rsid w:val="004816D3"/>
  </w:style>
  <w:style w:type="character" w:customStyle="1" w:styleId="subhead-sans">
    <w:name w:val="subhead-sans"/>
    <w:basedOn w:val="VarsaylanParagrafYazTipi"/>
    <w:rsid w:val="004816D3"/>
  </w:style>
  <w:style w:type="character" w:customStyle="1" w:styleId="zmlenmeyenBahsetme1">
    <w:name w:val="Çözümlenmeyen Bahsetme1"/>
    <w:basedOn w:val="VarsaylanParagrafYazTipi"/>
    <w:uiPriority w:val="99"/>
    <w:semiHidden/>
    <w:unhideWhenUsed/>
    <w:rsid w:val="00160C9A"/>
    <w:rPr>
      <w:color w:val="808080"/>
      <w:shd w:val="clear" w:color="auto" w:fill="E6E6E6"/>
    </w:rPr>
  </w:style>
  <w:style w:type="character" w:customStyle="1" w:styleId="zmlenmeyenBahsetme2">
    <w:name w:val="Çözümlenmeyen Bahsetme2"/>
    <w:basedOn w:val="VarsaylanParagrafYazTipi"/>
    <w:uiPriority w:val="99"/>
    <w:semiHidden/>
    <w:unhideWhenUsed/>
    <w:rsid w:val="007B0AC0"/>
    <w:rPr>
      <w:color w:val="808080"/>
      <w:shd w:val="clear" w:color="auto" w:fill="E6E6E6"/>
    </w:rPr>
  </w:style>
  <w:style w:type="paragraph" w:styleId="Dzeltme">
    <w:name w:val="Revision"/>
    <w:hidden/>
    <w:uiPriority w:val="99"/>
    <w:semiHidden/>
    <w:rsid w:val="0008628F"/>
    <w:pPr>
      <w:spacing w:after="0" w:line="240" w:lineRule="auto"/>
    </w:pPr>
    <w:rPr>
      <w:rFonts w:eastAsiaTheme="minorEastAsia"/>
      <w:lang w:eastAsia="tr-TR"/>
    </w:rPr>
  </w:style>
  <w:style w:type="paragraph" w:customStyle="1" w:styleId="title1">
    <w:name w:val="title1"/>
    <w:basedOn w:val="Normal"/>
    <w:rsid w:val="002B1554"/>
    <w:rPr>
      <w:sz w:val="27"/>
      <w:szCs w:val="27"/>
    </w:rPr>
  </w:style>
  <w:style w:type="paragraph" w:customStyle="1" w:styleId="desc2">
    <w:name w:val="desc2"/>
    <w:basedOn w:val="Normal"/>
    <w:rsid w:val="002B1554"/>
    <w:rPr>
      <w:sz w:val="26"/>
      <w:szCs w:val="26"/>
    </w:rPr>
  </w:style>
  <w:style w:type="paragraph" w:customStyle="1" w:styleId="details1">
    <w:name w:val="details1"/>
    <w:basedOn w:val="Normal"/>
    <w:rsid w:val="002B1554"/>
    <w:rPr>
      <w:sz w:val="22"/>
      <w:szCs w:val="22"/>
    </w:rPr>
  </w:style>
  <w:style w:type="character" w:customStyle="1" w:styleId="jrnl">
    <w:name w:val="jrnl"/>
    <w:basedOn w:val="VarsaylanParagrafYazTipi"/>
    <w:rsid w:val="002B1554"/>
  </w:style>
  <w:style w:type="character" w:customStyle="1" w:styleId="reference2">
    <w:name w:val="reference2"/>
    <w:basedOn w:val="VarsaylanParagrafYazTipi"/>
    <w:rsid w:val="00A43D2C"/>
  </w:style>
  <w:style w:type="paragraph" w:customStyle="1" w:styleId="p">
    <w:name w:val="p"/>
    <w:basedOn w:val="Normal"/>
    <w:rsid w:val="00632179"/>
    <w:pPr>
      <w:spacing w:before="100" w:beforeAutospacing="1" w:after="100" w:afterAutospacing="1"/>
    </w:pPr>
  </w:style>
  <w:style w:type="character" w:customStyle="1" w:styleId="element-citation">
    <w:name w:val="element-citation"/>
    <w:basedOn w:val="VarsaylanParagrafYazTipi"/>
    <w:rsid w:val="00632179"/>
  </w:style>
  <w:style w:type="character" w:customStyle="1" w:styleId="ref-journal">
    <w:name w:val="ref-journal"/>
    <w:basedOn w:val="VarsaylanParagrafYazTipi"/>
    <w:rsid w:val="00632179"/>
  </w:style>
  <w:style w:type="character" w:customStyle="1" w:styleId="ref-vol">
    <w:name w:val="ref-vol"/>
    <w:basedOn w:val="VarsaylanParagrafYazTipi"/>
    <w:rsid w:val="00632179"/>
  </w:style>
  <w:style w:type="character" w:customStyle="1" w:styleId="A0">
    <w:name w:val="A0"/>
    <w:uiPriority w:val="99"/>
    <w:rsid w:val="007528C0"/>
    <w:rPr>
      <w:rFonts w:cs="Times"/>
      <w:color w:val="000000"/>
      <w:sz w:val="18"/>
      <w:szCs w:val="18"/>
    </w:rPr>
  </w:style>
  <w:style w:type="paragraph" w:customStyle="1" w:styleId="xydpa63fa9c4yiv7303835055ydpbaf6fb72yiv8453841409ydp3fb8dab1msonormal">
    <w:name w:val="x_ydpa63fa9c4yiv7303835055ydpbaf6fb72yiv8453841409ydp3fb8dab1msonormal"/>
    <w:basedOn w:val="Normal"/>
    <w:rsid w:val="005A33D2"/>
    <w:pPr>
      <w:spacing w:before="100" w:beforeAutospacing="1" w:after="100" w:afterAutospacing="1"/>
    </w:pPr>
  </w:style>
  <w:style w:type="paragraph" w:customStyle="1" w:styleId="Saptanm">
    <w:name w:val="Saptanmış"/>
    <w:rsid w:val="003E5FC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tr-TR"/>
    </w:rPr>
  </w:style>
  <w:style w:type="paragraph" w:customStyle="1" w:styleId="xydp98b0ef9amsonormal">
    <w:name w:val="x_ydp98b0ef9amsonormal"/>
    <w:basedOn w:val="Normal"/>
    <w:rsid w:val="005712F8"/>
    <w:pPr>
      <w:spacing w:before="100" w:beforeAutospacing="1" w:after="100" w:afterAutospacing="1"/>
    </w:pPr>
  </w:style>
  <w:style w:type="character" w:customStyle="1" w:styleId="xydp98b0ef9amsohyperlink">
    <w:name w:val="x_ydp98b0ef9amsohyperlink"/>
    <w:basedOn w:val="VarsaylanParagrafYazTipi"/>
    <w:rsid w:val="005712F8"/>
  </w:style>
  <w:style w:type="character" w:customStyle="1" w:styleId="user-generated">
    <w:name w:val="user-generated"/>
    <w:basedOn w:val="VarsaylanParagrafYazTipi"/>
    <w:rsid w:val="001D5654"/>
  </w:style>
  <w:style w:type="character" w:customStyle="1" w:styleId="zmlenmeyenBahsetme3">
    <w:name w:val="Çözümlenmeyen Bahsetme3"/>
    <w:basedOn w:val="VarsaylanParagrafYazTipi"/>
    <w:uiPriority w:val="99"/>
    <w:semiHidden/>
    <w:unhideWhenUsed/>
    <w:rsid w:val="001978D3"/>
    <w:rPr>
      <w:color w:val="808080"/>
      <w:shd w:val="clear" w:color="auto" w:fill="E6E6E6"/>
    </w:rPr>
  </w:style>
  <w:style w:type="paragraph" w:customStyle="1" w:styleId="xydpfcd73491msonormal">
    <w:name w:val="x_ydpfcd73491msonormal"/>
    <w:basedOn w:val="Normal"/>
    <w:rsid w:val="001978D3"/>
    <w:pPr>
      <w:spacing w:before="100" w:beforeAutospacing="1" w:after="100" w:afterAutospacing="1"/>
    </w:pPr>
  </w:style>
  <w:style w:type="character" w:customStyle="1" w:styleId="HTMLPreformattedChar">
    <w:name w:val="HTML Preformatted Char"/>
    <w:basedOn w:val="VarsaylanParagrafYazTipi"/>
    <w:uiPriority w:val="99"/>
    <w:rsid w:val="001978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909">
      <w:bodyDiv w:val="1"/>
      <w:marLeft w:val="0"/>
      <w:marRight w:val="0"/>
      <w:marTop w:val="0"/>
      <w:marBottom w:val="0"/>
      <w:divBdr>
        <w:top w:val="none" w:sz="0" w:space="0" w:color="auto"/>
        <w:left w:val="none" w:sz="0" w:space="0" w:color="auto"/>
        <w:bottom w:val="none" w:sz="0" w:space="0" w:color="auto"/>
        <w:right w:val="none" w:sz="0" w:space="0" w:color="auto"/>
      </w:divBdr>
      <w:divsChild>
        <w:div w:id="82264733">
          <w:marLeft w:val="0"/>
          <w:marRight w:val="0"/>
          <w:marTop w:val="0"/>
          <w:marBottom w:val="0"/>
          <w:divBdr>
            <w:top w:val="none" w:sz="0" w:space="0" w:color="auto"/>
            <w:left w:val="none" w:sz="0" w:space="0" w:color="auto"/>
            <w:bottom w:val="none" w:sz="0" w:space="0" w:color="auto"/>
            <w:right w:val="none" w:sz="0" w:space="0" w:color="auto"/>
          </w:divBdr>
        </w:div>
        <w:div w:id="621502678">
          <w:marLeft w:val="0"/>
          <w:marRight w:val="0"/>
          <w:marTop w:val="0"/>
          <w:marBottom w:val="0"/>
          <w:divBdr>
            <w:top w:val="none" w:sz="0" w:space="0" w:color="auto"/>
            <w:left w:val="none" w:sz="0" w:space="0" w:color="auto"/>
            <w:bottom w:val="none" w:sz="0" w:space="0" w:color="auto"/>
            <w:right w:val="none" w:sz="0" w:space="0" w:color="auto"/>
          </w:divBdr>
        </w:div>
        <w:div w:id="327562977">
          <w:marLeft w:val="0"/>
          <w:marRight w:val="0"/>
          <w:marTop w:val="0"/>
          <w:marBottom w:val="0"/>
          <w:divBdr>
            <w:top w:val="none" w:sz="0" w:space="0" w:color="auto"/>
            <w:left w:val="none" w:sz="0" w:space="0" w:color="auto"/>
            <w:bottom w:val="none" w:sz="0" w:space="0" w:color="auto"/>
            <w:right w:val="none" w:sz="0" w:space="0" w:color="auto"/>
          </w:divBdr>
        </w:div>
      </w:divsChild>
    </w:div>
    <w:div w:id="10886160">
      <w:bodyDiv w:val="1"/>
      <w:marLeft w:val="0"/>
      <w:marRight w:val="0"/>
      <w:marTop w:val="0"/>
      <w:marBottom w:val="0"/>
      <w:divBdr>
        <w:top w:val="none" w:sz="0" w:space="0" w:color="auto"/>
        <w:left w:val="none" w:sz="0" w:space="0" w:color="auto"/>
        <w:bottom w:val="none" w:sz="0" w:space="0" w:color="auto"/>
        <w:right w:val="none" w:sz="0" w:space="0" w:color="auto"/>
      </w:divBdr>
    </w:div>
    <w:div w:id="14620892">
      <w:bodyDiv w:val="1"/>
      <w:marLeft w:val="0"/>
      <w:marRight w:val="0"/>
      <w:marTop w:val="0"/>
      <w:marBottom w:val="0"/>
      <w:divBdr>
        <w:top w:val="none" w:sz="0" w:space="0" w:color="auto"/>
        <w:left w:val="none" w:sz="0" w:space="0" w:color="auto"/>
        <w:bottom w:val="none" w:sz="0" w:space="0" w:color="auto"/>
        <w:right w:val="none" w:sz="0" w:space="0" w:color="auto"/>
      </w:divBdr>
    </w:div>
    <w:div w:id="61565106">
      <w:bodyDiv w:val="1"/>
      <w:marLeft w:val="0"/>
      <w:marRight w:val="0"/>
      <w:marTop w:val="0"/>
      <w:marBottom w:val="0"/>
      <w:divBdr>
        <w:top w:val="none" w:sz="0" w:space="0" w:color="auto"/>
        <w:left w:val="none" w:sz="0" w:space="0" w:color="auto"/>
        <w:bottom w:val="none" w:sz="0" w:space="0" w:color="auto"/>
        <w:right w:val="none" w:sz="0" w:space="0" w:color="auto"/>
      </w:divBdr>
    </w:div>
    <w:div w:id="69276022">
      <w:bodyDiv w:val="1"/>
      <w:marLeft w:val="0"/>
      <w:marRight w:val="0"/>
      <w:marTop w:val="0"/>
      <w:marBottom w:val="0"/>
      <w:divBdr>
        <w:top w:val="none" w:sz="0" w:space="0" w:color="auto"/>
        <w:left w:val="none" w:sz="0" w:space="0" w:color="auto"/>
        <w:bottom w:val="none" w:sz="0" w:space="0" w:color="auto"/>
        <w:right w:val="none" w:sz="0" w:space="0" w:color="auto"/>
      </w:divBdr>
      <w:divsChild>
        <w:div w:id="1054505732">
          <w:marLeft w:val="0"/>
          <w:marRight w:val="0"/>
          <w:marTop w:val="0"/>
          <w:marBottom w:val="0"/>
          <w:divBdr>
            <w:top w:val="none" w:sz="0" w:space="0" w:color="auto"/>
            <w:left w:val="none" w:sz="0" w:space="0" w:color="auto"/>
            <w:bottom w:val="none" w:sz="0" w:space="0" w:color="auto"/>
            <w:right w:val="none" w:sz="0" w:space="0" w:color="auto"/>
          </w:divBdr>
          <w:divsChild>
            <w:div w:id="32193912">
              <w:marLeft w:val="0"/>
              <w:marRight w:val="0"/>
              <w:marTop w:val="0"/>
              <w:marBottom w:val="0"/>
              <w:divBdr>
                <w:top w:val="none" w:sz="0" w:space="0" w:color="auto"/>
                <w:left w:val="none" w:sz="0" w:space="0" w:color="auto"/>
                <w:bottom w:val="none" w:sz="0" w:space="0" w:color="auto"/>
                <w:right w:val="none" w:sz="0" w:space="0" w:color="auto"/>
              </w:divBdr>
              <w:divsChild>
                <w:div w:id="1346707531">
                  <w:marLeft w:val="-268"/>
                  <w:marRight w:val="-268"/>
                  <w:marTop w:val="0"/>
                  <w:marBottom w:val="0"/>
                  <w:divBdr>
                    <w:top w:val="none" w:sz="0" w:space="0" w:color="auto"/>
                    <w:left w:val="none" w:sz="0" w:space="0" w:color="auto"/>
                    <w:bottom w:val="none" w:sz="0" w:space="0" w:color="auto"/>
                    <w:right w:val="none" w:sz="0" w:space="0" w:color="auto"/>
                  </w:divBdr>
                  <w:divsChild>
                    <w:div w:id="335772656">
                      <w:marLeft w:val="0"/>
                      <w:marRight w:val="0"/>
                      <w:marTop w:val="0"/>
                      <w:marBottom w:val="0"/>
                      <w:divBdr>
                        <w:top w:val="none" w:sz="0" w:space="0" w:color="auto"/>
                        <w:left w:val="none" w:sz="0" w:space="0" w:color="auto"/>
                        <w:bottom w:val="none" w:sz="0" w:space="0" w:color="auto"/>
                        <w:right w:val="none" w:sz="0" w:space="0" w:color="auto"/>
                      </w:divBdr>
                      <w:divsChild>
                        <w:div w:id="1206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9013">
      <w:bodyDiv w:val="1"/>
      <w:marLeft w:val="0"/>
      <w:marRight w:val="0"/>
      <w:marTop w:val="0"/>
      <w:marBottom w:val="0"/>
      <w:divBdr>
        <w:top w:val="none" w:sz="0" w:space="0" w:color="auto"/>
        <w:left w:val="none" w:sz="0" w:space="0" w:color="auto"/>
        <w:bottom w:val="none" w:sz="0" w:space="0" w:color="auto"/>
        <w:right w:val="none" w:sz="0" w:space="0" w:color="auto"/>
      </w:divBdr>
    </w:div>
    <w:div w:id="87896001">
      <w:bodyDiv w:val="1"/>
      <w:marLeft w:val="0"/>
      <w:marRight w:val="0"/>
      <w:marTop w:val="0"/>
      <w:marBottom w:val="0"/>
      <w:divBdr>
        <w:top w:val="none" w:sz="0" w:space="0" w:color="auto"/>
        <w:left w:val="none" w:sz="0" w:space="0" w:color="auto"/>
        <w:bottom w:val="none" w:sz="0" w:space="0" w:color="auto"/>
        <w:right w:val="none" w:sz="0" w:space="0" w:color="auto"/>
      </w:divBdr>
    </w:div>
    <w:div w:id="93133058">
      <w:bodyDiv w:val="1"/>
      <w:marLeft w:val="0"/>
      <w:marRight w:val="0"/>
      <w:marTop w:val="0"/>
      <w:marBottom w:val="0"/>
      <w:divBdr>
        <w:top w:val="none" w:sz="0" w:space="0" w:color="auto"/>
        <w:left w:val="none" w:sz="0" w:space="0" w:color="auto"/>
        <w:bottom w:val="none" w:sz="0" w:space="0" w:color="auto"/>
        <w:right w:val="none" w:sz="0" w:space="0" w:color="auto"/>
      </w:divBdr>
    </w:div>
    <w:div w:id="111367861">
      <w:bodyDiv w:val="1"/>
      <w:marLeft w:val="0"/>
      <w:marRight w:val="0"/>
      <w:marTop w:val="0"/>
      <w:marBottom w:val="0"/>
      <w:divBdr>
        <w:top w:val="none" w:sz="0" w:space="0" w:color="auto"/>
        <w:left w:val="none" w:sz="0" w:space="0" w:color="auto"/>
        <w:bottom w:val="none" w:sz="0" w:space="0" w:color="auto"/>
        <w:right w:val="none" w:sz="0" w:space="0" w:color="auto"/>
      </w:divBdr>
    </w:div>
    <w:div w:id="112603911">
      <w:bodyDiv w:val="1"/>
      <w:marLeft w:val="0"/>
      <w:marRight w:val="0"/>
      <w:marTop w:val="0"/>
      <w:marBottom w:val="0"/>
      <w:divBdr>
        <w:top w:val="none" w:sz="0" w:space="0" w:color="auto"/>
        <w:left w:val="none" w:sz="0" w:space="0" w:color="auto"/>
        <w:bottom w:val="none" w:sz="0" w:space="0" w:color="auto"/>
        <w:right w:val="none" w:sz="0" w:space="0" w:color="auto"/>
      </w:divBdr>
    </w:div>
    <w:div w:id="158885647">
      <w:bodyDiv w:val="1"/>
      <w:marLeft w:val="0"/>
      <w:marRight w:val="0"/>
      <w:marTop w:val="0"/>
      <w:marBottom w:val="0"/>
      <w:divBdr>
        <w:top w:val="none" w:sz="0" w:space="0" w:color="auto"/>
        <w:left w:val="none" w:sz="0" w:space="0" w:color="auto"/>
        <w:bottom w:val="none" w:sz="0" w:space="0" w:color="auto"/>
        <w:right w:val="none" w:sz="0" w:space="0" w:color="auto"/>
      </w:divBdr>
    </w:div>
    <w:div w:id="164633115">
      <w:bodyDiv w:val="1"/>
      <w:marLeft w:val="0"/>
      <w:marRight w:val="0"/>
      <w:marTop w:val="0"/>
      <w:marBottom w:val="0"/>
      <w:divBdr>
        <w:top w:val="none" w:sz="0" w:space="0" w:color="auto"/>
        <w:left w:val="none" w:sz="0" w:space="0" w:color="auto"/>
        <w:bottom w:val="none" w:sz="0" w:space="0" w:color="auto"/>
        <w:right w:val="none" w:sz="0" w:space="0" w:color="auto"/>
      </w:divBdr>
    </w:div>
    <w:div w:id="167644115">
      <w:bodyDiv w:val="1"/>
      <w:marLeft w:val="0"/>
      <w:marRight w:val="0"/>
      <w:marTop w:val="0"/>
      <w:marBottom w:val="0"/>
      <w:divBdr>
        <w:top w:val="none" w:sz="0" w:space="0" w:color="auto"/>
        <w:left w:val="none" w:sz="0" w:space="0" w:color="auto"/>
        <w:bottom w:val="none" w:sz="0" w:space="0" w:color="auto"/>
        <w:right w:val="none" w:sz="0" w:space="0" w:color="auto"/>
      </w:divBdr>
    </w:div>
    <w:div w:id="186260661">
      <w:bodyDiv w:val="1"/>
      <w:marLeft w:val="0"/>
      <w:marRight w:val="0"/>
      <w:marTop w:val="0"/>
      <w:marBottom w:val="0"/>
      <w:divBdr>
        <w:top w:val="none" w:sz="0" w:space="0" w:color="auto"/>
        <w:left w:val="none" w:sz="0" w:space="0" w:color="auto"/>
        <w:bottom w:val="none" w:sz="0" w:space="0" w:color="auto"/>
        <w:right w:val="none" w:sz="0" w:space="0" w:color="auto"/>
      </w:divBdr>
    </w:div>
    <w:div w:id="212667605">
      <w:bodyDiv w:val="1"/>
      <w:marLeft w:val="0"/>
      <w:marRight w:val="0"/>
      <w:marTop w:val="0"/>
      <w:marBottom w:val="0"/>
      <w:divBdr>
        <w:top w:val="none" w:sz="0" w:space="0" w:color="auto"/>
        <w:left w:val="none" w:sz="0" w:space="0" w:color="auto"/>
        <w:bottom w:val="none" w:sz="0" w:space="0" w:color="auto"/>
        <w:right w:val="none" w:sz="0" w:space="0" w:color="auto"/>
      </w:divBdr>
    </w:div>
    <w:div w:id="213467430">
      <w:bodyDiv w:val="1"/>
      <w:marLeft w:val="0"/>
      <w:marRight w:val="0"/>
      <w:marTop w:val="0"/>
      <w:marBottom w:val="0"/>
      <w:divBdr>
        <w:top w:val="none" w:sz="0" w:space="0" w:color="auto"/>
        <w:left w:val="none" w:sz="0" w:space="0" w:color="auto"/>
        <w:bottom w:val="none" w:sz="0" w:space="0" w:color="auto"/>
        <w:right w:val="none" w:sz="0" w:space="0" w:color="auto"/>
      </w:divBdr>
    </w:div>
    <w:div w:id="231043993">
      <w:bodyDiv w:val="1"/>
      <w:marLeft w:val="0"/>
      <w:marRight w:val="0"/>
      <w:marTop w:val="0"/>
      <w:marBottom w:val="0"/>
      <w:divBdr>
        <w:top w:val="none" w:sz="0" w:space="0" w:color="auto"/>
        <w:left w:val="none" w:sz="0" w:space="0" w:color="auto"/>
        <w:bottom w:val="none" w:sz="0" w:space="0" w:color="auto"/>
        <w:right w:val="none" w:sz="0" w:space="0" w:color="auto"/>
      </w:divBdr>
    </w:div>
    <w:div w:id="232743568">
      <w:bodyDiv w:val="1"/>
      <w:marLeft w:val="0"/>
      <w:marRight w:val="0"/>
      <w:marTop w:val="0"/>
      <w:marBottom w:val="0"/>
      <w:divBdr>
        <w:top w:val="none" w:sz="0" w:space="0" w:color="auto"/>
        <w:left w:val="none" w:sz="0" w:space="0" w:color="auto"/>
        <w:bottom w:val="none" w:sz="0" w:space="0" w:color="auto"/>
        <w:right w:val="none" w:sz="0" w:space="0" w:color="auto"/>
      </w:divBdr>
    </w:div>
    <w:div w:id="245069721">
      <w:bodyDiv w:val="1"/>
      <w:marLeft w:val="0"/>
      <w:marRight w:val="0"/>
      <w:marTop w:val="0"/>
      <w:marBottom w:val="0"/>
      <w:divBdr>
        <w:top w:val="none" w:sz="0" w:space="0" w:color="auto"/>
        <w:left w:val="none" w:sz="0" w:space="0" w:color="auto"/>
        <w:bottom w:val="none" w:sz="0" w:space="0" w:color="auto"/>
        <w:right w:val="none" w:sz="0" w:space="0" w:color="auto"/>
      </w:divBdr>
    </w:div>
    <w:div w:id="274799657">
      <w:bodyDiv w:val="1"/>
      <w:marLeft w:val="0"/>
      <w:marRight w:val="0"/>
      <w:marTop w:val="0"/>
      <w:marBottom w:val="0"/>
      <w:divBdr>
        <w:top w:val="none" w:sz="0" w:space="0" w:color="auto"/>
        <w:left w:val="none" w:sz="0" w:space="0" w:color="auto"/>
        <w:bottom w:val="none" w:sz="0" w:space="0" w:color="auto"/>
        <w:right w:val="none" w:sz="0" w:space="0" w:color="auto"/>
      </w:divBdr>
    </w:div>
    <w:div w:id="305012631">
      <w:bodyDiv w:val="1"/>
      <w:marLeft w:val="0"/>
      <w:marRight w:val="0"/>
      <w:marTop w:val="0"/>
      <w:marBottom w:val="0"/>
      <w:divBdr>
        <w:top w:val="none" w:sz="0" w:space="0" w:color="auto"/>
        <w:left w:val="none" w:sz="0" w:space="0" w:color="auto"/>
        <w:bottom w:val="none" w:sz="0" w:space="0" w:color="auto"/>
        <w:right w:val="none" w:sz="0" w:space="0" w:color="auto"/>
      </w:divBdr>
    </w:div>
    <w:div w:id="320741076">
      <w:bodyDiv w:val="1"/>
      <w:marLeft w:val="0"/>
      <w:marRight w:val="0"/>
      <w:marTop w:val="0"/>
      <w:marBottom w:val="0"/>
      <w:divBdr>
        <w:top w:val="none" w:sz="0" w:space="0" w:color="auto"/>
        <w:left w:val="none" w:sz="0" w:space="0" w:color="auto"/>
        <w:bottom w:val="none" w:sz="0" w:space="0" w:color="auto"/>
        <w:right w:val="none" w:sz="0" w:space="0" w:color="auto"/>
      </w:divBdr>
    </w:div>
    <w:div w:id="341516390">
      <w:bodyDiv w:val="1"/>
      <w:marLeft w:val="0"/>
      <w:marRight w:val="0"/>
      <w:marTop w:val="0"/>
      <w:marBottom w:val="0"/>
      <w:divBdr>
        <w:top w:val="none" w:sz="0" w:space="0" w:color="auto"/>
        <w:left w:val="none" w:sz="0" w:space="0" w:color="auto"/>
        <w:bottom w:val="none" w:sz="0" w:space="0" w:color="auto"/>
        <w:right w:val="none" w:sz="0" w:space="0" w:color="auto"/>
      </w:divBdr>
    </w:div>
    <w:div w:id="350029750">
      <w:bodyDiv w:val="1"/>
      <w:marLeft w:val="0"/>
      <w:marRight w:val="0"/>
      <w:marTop w:val="0"/>
      <w:marBottom w:val="0"/>
      <w:divBdr>
        <w:top w:val="none" w:sz="0" w:space="0" w:color="auto"/>
        <w:left w:val="none" w:sz="0" w:space="0" w:color="auto"/>
        <w:bottom w:val="none" w:sz="0" w:space="0" w:color="auto"/>
        <w:right w:val="none" w:sz="0" w:space="0" w:color="auto"/>
      </w:divBdr>
    </w:div>
    <w:div w:id="361174255">
      <w:bodyDiv w:val="1"/>
      <w:marLeft w:val="0"/>
      <w:marRight w:val="0"/>
      <w:marTop w:val="0"/>
      <w:marBottom w:val="0"/>
      <w:divBdr>
        <w:top w:val="none" w:sz="0" w:space="0" w:color="auto"/>
        <w:left w:val="none" w:sz="0" w:space="0" w:color="auto"/>
        <w:bottom w:val="none" w:sz="0" w:space="0" w:color="auto"/>
        <w:right w:val="none" w:sz="0" w:space="0" w:color="auto"/>
      </w:divBdr>
    </w:div>
    <w:div w:id="374426655">
      <w:bodyDiv w:val="1"/>
      <w:marLeft w:val="0"/>
      <w:marRight w:val="0"/>
      <w:marTop w:val="0"/>
      <w:marBottom w:val="0"/>
      <w:divBdr>
        <w:top w:val="none" w:sz="0" w:space="0" w:color="auto"/>
        <w:left w:val="none" w:sz="0" w:space="0" w:color="auto"/>
        <w:bottom w:val="none" w:sz="0" w:space="0" w:color="auto"/>
        <w:right w:val="none" w:sz="0" w:space="0" w:color="auto"/>
      </w:divBdr>
    </w:div>
    <w:div w:id="384837210">
      <w:bodyDiv w:val="1"/>
      <w:marLeft w:val="0"/>
      <w:marRight w:val="0"/>
      <w:marTop w:val="0"/>
      <w:marBottom w:val="0"/>
      <w:divBdr>
        <w:top w:val="none" w:sz="0" w:space="0" w:color="auto"/>
        <w:left w:val="none" w:sz="0" w:space="0" w:color="auto"/>
        <w:bottom w:val="none" w:sz="0" w:space="0" w:color="auto"/>
        <w:right w:val="none" w:sz="0" w:space="0" w:color="auto"/>
      </w:divBdr>
    </w:div>
    <w:div w:id="436217577">
      <w:bodyDiv w:val="1"/>
      <w:marLeft w:val="0"/>
      <w:marRight w:val="0"/>
      <w:marTop w:val="0"/>
      <w:marBottom w:val="0"/>
      <w:divBdr>
        <w:top w:val="none" w:sz="0" w:space="0" w:color="auto"/>
        <w:left w:val="none" w:sz="0" w:space="0" w:color="auto"/>
        <w:bottom w:val="none" w:sz="0" w:space="0" w:color="auto"/>
        <w:right w:val="none" w:sz="0" w:space="0" w:color="auto"/>
      </w:divBdr>
    </w:div>
    <w:div w:id="440416107">
      <w:bodyDiv w:val="1"/>
      <w:marLeft w:val="0"/>
      <w:marRight w:val="0"/>
      <w:marTop w:val="0"/>
      <w:marBottom w:val="0"/>
      <w:divBdr>
        <w:top w:val="none" w:sz="0" w:space="0" w:color="auto"/>
        <w:left w:val="none" w:sz="0" w:space="0" w:color="auto"/>
        <w:bottom w:val="none" w:sz="0" w:space="0" w:color="auto"/>
        <w:right w:val="none" w:sz="0" w:space="0" w:color="auto"/>
      </w:divBdr>
    </w:div>
    <w:div w:id="443572356">
      <w:bodyDiv w:val="1"/>
      <w:marLeft w:val="0"/>
      <w:marRight w:val="0"/>
      <w:marTop w:val="0"/>
      <w:marBottom w:val="0"/>
      <w:divBdr>
        <w:top w:val="none" w:sz="0" w:space="0" w:color="auto"/>
        <w:left w:val="none" w:sz="0" w:space="0" w:color="auto"/>
        <w:bottom w:val="none" w:sz="0" w:space="0" w:color="auto"/>
        <w:right w:val="none" w:sz="0" w:space="0" w:color="auto"/>
      </w:divBdr>
    </w:div>
    <w:div w:id="445347773">
      <w:bodyDiv w:val="1"/>
      <w:marLeft w:val="0"/>
      <w:marRight w:val="0"/>
      <w:marTop w:val="0"/>
      <w:marBottom w:val="0"/>
      <w:divBdr>
        <w:top w:val="none" w:sz="0" w:space="0" w:color="auto"/>
        <w:left w:val="none" w:sz="0" w:space="0" w:color="auto"/>
        <w:bottom w:val="none" w:sz="0" w:space="0" w:color="auto"/>
        <w:right w:val="none" w:sz="0" w:space="0" w:color="auto"/>
      </w:divBdr>
    </w:div>
    <w:div w:id="460266656">
      <w:bodyDiv w:val="1"/>
      <w:marLeft w:val="0"/>
      <w:marRight w:val="0"/>
      <w:marTop w:val="0"/>
      <w:marBottom w:val="0"/>
      <w:divBdr>
        <w:top w:val="none" w:sz="0" w:space="0" w:color="auto"/>
        <w:left w:val="none" w:sz="0" w:space="0" w:color="auto"/>
        <w:bottom w:val="none" w:sz="0" w:space="0" w:color="auto"/>
        <w:right w:val="none" w:sz="0" w:space="0" w:color="auto"/>
      </w:divBdr>
    </w:div>
    <w:div w:id="466123588">
      <w:bodyDiv w:val="1"/>
      <w:marLeft w:val="0"/>
      <w:marRight w:val="0"/>
      <w:marTop w:val="0"/>
      <w:marBottom w:val="0"/>
      <w:divBdr>
        <w:top w:val="none" w:sz="0" w:space="0" w:color="auto"/>
        <w:left w:val="none" w:sz="0" w:space="0" w:color="auto"/>
        <w:bottom w:val="none" w:sz="0" w:space="0" w:color="auto"/>
        <w:right w:val="none" w:sz="0" w:space="0" w:color="auto"/>
      </w:divBdr>
    </w:div>
    <w:div w:id="469907361">
      <w:bodyDiv w:val="1"/>
      <w:marLeft w:val="0"/>
      <w:marRight w:val="0"/>
      <w:marTop w:val="0"/>
      <w:marBottom w:val="0"/>
      <w:divBdr>
        <w:top w:val="none" w:sz="0" w:space="0" w:color="auto"/>
        <w:left w:val="none" w:sz="0" w:space="0" w:color="auto"/>
        <w:bottom w:val="none" w:sz="0" w:space="0" w:color="auto"/>
        <w:right w:val="none" w:sz="0" w:space="0" w:color="auto"/>
      </w:divBdr>
    </w:div>
    <w:div w:id="516892679">
      <w:bodyDiv w:val="1"/>
      <w:marLeft w:val="0"/>
      <w:marRight w:val="0"/>
      <w:marTop w:val="0"/>
      <w:marBottom w:val="0"/>
      <w:divBdr>
        <w:top w:val="none" w:sz="0" w:space="0" w:color="auto"/>
        <w:left w:val="none" w:sz="0" w:space="0" w:color="auto"/>
        <w:bottom w:val="none" w:sz="0" w:space="0" w:color="auto"/>
        <w:right w:val="none" w:sz="0" w:space="0" w:color="auto"/>
      </w:divBdr>
    </w:div>
    <w:div w:id="528492431">
      <w:bodyDiv w:val="1"/>
      <w:marLeft w:val="0"/>
      <w:marRight w:val="0"/>
      <w:marTop w:val="0"/>
      <w:marBottom w:val="0"/>
      <w:divBdr>
        <w:top w:val="none" w:sz="0" w:space="0" w:color="auto"/>
        <w:left w:val="none" w:sz="0" w:space="0" w:color="auto"/>
        <w:bottom w:val="none" w:sz="0" w:space="0" w:color="auto"/>
        <w:right w:val="none" w:sz="0" w:space="0" w:color="auto"/>
      </w:divBdr>
    </w:div>
    <w:div w:id="531573026">
      <w:bodyDiv w:val="1"/>
      <w:marLeft w:val="0"/>
      <w:marRight w:val="0"/>
      <w:marTop w:val="0"/>
      <w:marBottom w:val="0"/>
      <w:divBdr>
        <w:top w:val="none" w:sz="0" w:space="0" w:color="auto"/>
        <w:left w:val="none" w:sz="0" w:space="0" w:color="auto"/>
        <w:bottom w:val="none" w:sz="0" w:space="0" w:color="auto"/>
        <w:right w:val="none" w:sz="0" w:space="0" w:color="auto"/>
      </w:divBdr>
    </w:div>
    <w:div w:id="532501774">
      <w:bodyDiv w:val="1"/>
      <w:marLeft w:val="0"/>
      <w:marRight w:val="0"/>
      <w:marTop w:val="0"/>
      <w:marBottom w:val="0"/>
      <w:divBdr>
        <w:top w:val="none" w:sz="0" w:space="0" w:color="auto"/>
        <w:left w:val="none" w:sz="0" w:space="0" w:color="auto"/>
        <w:bottom w:val="none" w:sz="0" w:space="0" w:color="auto"/>
        <w:right w:val="none" w:sz="0" w:space="0" w:color="auto"/>
      </w:divBdr>
    </w:div>
    <w:div w:id="552428363">
      <w:bodyDiv w:val="1"/>
      <w:marLeft w:val="0"/>
      <w:marRight w:val="0"/>
      <w:marTop w:val="0"/>
      <w:marBottom w:val="0"/>
      <w:divBdr>
        <w:top w:val="none" w:sz="0" w:space="0" w:color="auto"/>
        <w:left w:val="none" w:sz="0" w:space="0" w:color="auto"/>
        <w:bottom w:val="none" w:sz="0" w:space="0" w:color="auto"/>
        <w:right w:val="none" w:sz="0" w:space="0" w:color="auto"/>
      </w:divBdr>
    </w:div>
    <w:div w:id="557668185">
      <w:bodyDiv w:val="1"/>
      <w:marLeft w:val="0"/>
      <w:marRight w:val="0"/>
      <w:marTop w:val="0"/>
      <w:marBottom w:val="0"/>
      <w:divBdr>
        <w:top w:val="none" w:sz="0" w:space="0" w:color="auto"/>
        <w:left w:val="none" w:sz="0" w:space="0" w:color="auto"/>
        <w:bottom w:val="none" w:sz="0" w:space="0" w:color="auto"/>
        <w:right w:val="none" w:sz="0" w:space="0" w:color="auto"/>
      </w:divBdr>
    </w:div>
    <w:div w:id="573662284">
      <w:bodyDiv w:val="1"/>
      <w:marLeft w:val="0"/>
      <w:marRight w:val="0"/>
      <w:marTop w:val="0"/>
      <w:marBottom w:val="0"/>
      <w:divBdr>
        <w:top w:val="none" w:sz="0" w:space="0" w:color="auto"/>
        <w:left w:val="none" w:sz="0" w:space="0" w:color="auto"/>
        <w:bottom w:val="none" w:sz="0" w:space="0" w:color="auto"/>
        <w:right w:val="none" w:sz="0" w:space="0" w:color="auto"/>
      </w:divBdr>
    </w:div>
    <w:div w:id="584269425">
      <w:bodyDiv w:val="1"/>
      <w:marLeft w:val="0"/>
      <w:marRight w:val="0"/>
      <w:marTop w:val="0"/>
      <w:marBottom w:val="0"/>
      <w:divBdr>
        <w:top w:val="none" w:sz="0" w:space="0" w:color="auto"/>
        <w:left w:val="none" w:sz="0" w:space="0" w:color="auto"/>
        <w:bottom w:val="none" w:sz="0" w:space="0" w:color="auto"/>
        <w:right w:val="none" w:sz="0" w:space="0" w:color="auto"/>
      </w:divBdr>
    </w:div>
    <w:div w:id="617024853">
      <w:bodyDiv w:val="1"/>
      <w:marLeft w:val="0"/>
      <w:marRight w:val="0"/>
      <w:marTop w:val="0"/>
      <w:marBottom w:val="0"/>
      <w:divBdr>
        <w:top w:val="none" w:sz="0" w:space="0" w:color="auto"/>
        <w:left w:val="none" w:sz="0" w:space="0" w:color="auto"/>
        <w:bottom w:val="none" w:sz="0" w:space="0" w:color="auto"/>
        <w:right w:val="none" w:sz="0" w:space="0" w:color="auto"/>
      </w:divBdr>
    </w:div>
    <w:div w:id="664476209">
      <w:bodyDiv w:val="1"/>
      <w:marLeft w:val="0"/>
      <w:marRight w:val="0"/>
      <w:marTop w:val="0"/>
      <w:marBottom w:val="0"/>
      <w:divBdr>
        <w:top w:val="none" w:sz="0" w:space="0" w:color="auto"/>
        <w:left w:val="none" w:sz="0" w:space="0" w:color="auto"/>
        <w:bottom w:val="none" w:sz="0" w:space="0" w:color="auto"/>
        <w:right w:val="none" w:sz="0" w:space="0" w:color="auto"/>
      </w:divBdr>
    </w:div>
    <w:div w:id="690692164">
      <w:bodyDiv w:val="1"/>
      <w:marLeft w:val="0"/>
      <w:marRight w:val="0"/>
      <w:marTop w:val="0"/>
      <w:marBottom w:val="0"/>
      <w:divBdr>
        <w:top w:val="none" w:sz="0" w:space="0" w:color="auto"/>
        <w:left w:val="none" w:sz="0" w:space="0" w:color="auto"/>
        <w:bottom w:val="none" w:sz="0" w:space="0" w:color="auto"/>
        <w:right w:val="none" w:sz="0" w:space="0" w:color="auto"/>
      </w:divBdr>
    </w:div>
    <w:div w:id="691149314">
      <w:bodyDiv w:val="1"/>
      <w:marLeft w:val="0"/>
      <w:marRight w:val="0"/>
      <w:marTop w:val="0"/>
      <w:marBottom w:val="0"/>
      <w:divBdr>
        <w:top w:val="none" w:sz="0" w:space="0" w:color="auto"/>
        <w:left w:val="none" w:sz="0" w:space="0" w:color="auto"/>
        <w:bottom w:val="none" w:sz="0" w:space="0" w:color="auto"/>
        <w:right w:val="none" w:sz="0" w:space="0" w:color="auto"/>
      </w:divBdr>
      <w:divsChild>
        <w:div w:id="438961183">
          <w:marLeft w:val="0"/>
          <w:marRight w:val="0"/>
          <w:marTop w:val="0"/>
          <w:marBottom w:val="0"/>
          <w:divBdr>
            <w:top w:val="none" w:sz="0" w:space="0" w:color="auto"/>
            <w:left w:val="none" w:sz="0" w:space="0" w:color="auto"/>
            <w:bottom w:val="none" w:sz="0" w:space="0" w:color="auto"/>
            <w:right w:val="none" w:sz="0" w:space="0" w:color="auto"/>
          </w:divBdr>
        </w:div>
        <w:div w:id="1544440054">
          <w:marLeft w:val="0"/>
          <w:marRight w:val="0"/>
          <w:marTop w:val="0"/>
          <w:marBottom w:val="0"/>
          <w:divBdr>
            <w:top w:val="none" w:sz="0" w:space="0" w:color="auto"/>
            <w:left w:val="none" w:sz="0" w:space="0" w:color="auto"/>
            <w:bottom w:val="none" w:sz="0" w:space="0" w:color="auto"/>
            <w:right w:val="none" w:sz="0" w:space="0" w:color="auto"/>
          </w:divBdr>
        </w:div>
      </w:divsChild>
    </w:div>
    <w:div w:id="747118091">
      <w:bodyDiv w:val="1"/>
      <w:marLeft w:val="0"/>
      <w:marRight w:val="0"/>
      <w:marTop w:val="0"/>
      <w:marBottom w:val="0"/>
      <w:divBdr>
        <w:top w:val="none" w:sz="0" w:space="0" w:color="auto"/>
        <w:left w:val="none" w:sz="0" w:space="0" w:color="auto"/>
        <w:bottom w:val="none" w:sz="0" w:space="0" w:color="auto"/>
        <w:right w:val="none" w:sz="0" w:space="0" w:color="auto"/>
      </w:divBdr>
    </w:div>
    <w:div w:id="760376399">
      <w:bodyDiv w:val="1"/>
      <w:marLeft w:val="0"/>
      <w:marRight w:val="0"/>
      <w:marTop w:val="0"/>
      <w:marBottom w:val="0"/>
      <w:divBdr>
        <w:top w:val="none" w:sz="0" w:space="0" w:color="auto"/>
        <w:left w:val="none" w:sz="0" w:space="0" w:color="auto"/>
        <w:bottom w:val="none" w:sz="0" w:space="0" w:color="auto"/>
        <w:right w:val="none" w:sz="0" w:space="0" w:color="auto"/>
      </w:divBdr>
    </w:div>
    <w:div w:id="766265546">
      <w:bodyDiv w:val="1"/>
      <w:marLeft w:val="0"/>
      <w:marRight w:val="0"/>
      <w:marTop w:val="0"/>
      <w:marBottom w:val="0"/>
      <w:divBdr>
        <w:top w:val="none" w:sz="0" w:space="0" w:color="auto"/>
        <w:left w:val="none" w:sz="0" w:space="0" w:color="auto"/>
        <w:bottom w:val="none" w:sz="0" w:space="0" w:color="auto"/>
        <w:right w:val="none" w:sz="0" w:space="0" w:color="auto"/>
      </w:divBdr>
      <w:divsChild>
        <w:div w:id="2587613">
          <w:marLeft w:val="0"/>
          <w:marRight w:val="0"/>
          <w:marTop w:val="0"/>
          <w:marBottom w:val="0"/>
          <w:divBdr>
            <w:top w:val="none" w:sz="0" w:space="0" w:color="auto"/>
            <w:left w:val="none" w:sz="0" w:space="0" w:color="auto"/>
            <w:bottom w:val="none" w:sz="0" w:space="0" w:color="auto"/>
            <w:right w:val="none" w:sz="0" w:space="0" w:color="auto"/>
          </w:divBdr>
        </w:div>
        <w:div w:id="1825774935">
          <w:marLeft w:val="0"/>
          <w:marRight w:val="0"/>
          <w:marTop w:val="0"/>
          <w:marBottom w:val="0"/>
          <w:divBdr>
            <w:top w:val="none" w:sz="0" w:space="0" w:color="auto"/>
            <w:left w:val="none" w:sz="0" w:space="0" w:color="auto"/>
            <w:bottom w:val="none" w:sz="0" w:space="0" w:color="auto"/>
            <w:right w:val="none" w:sz="0" w:space="0" w:color="auto"/>
          </w:divBdr>
        </w:div>
        <w:div w:id="503516362">
          <w:marLeft w:val="0"/>
          <w:marRight w:val="0"/>
          <w:marTop w:val="0"/>
          <w:marBottom w:val="0"/>
          <w:divBdr>
            <w:top w:val="none" w:sz="0" w:space="0" w:color="auto"/>
            <w:left w:val="none" w:sz="0" w:space="0" w:color="auto"/>
            <w:bottom w:val="none" w:sz="0" w:space="0" w:color="auto"/>
            <w:right w:val="none" w:sz="0" w:space="0" w:color="auto"/>
          </w:divBdr>
        </w:div>
      </w:divsChild>
    </w:div>
    <w:div w:id="767579912">
      <w:bodyDiv w:val="1"/>
      <w:marLeft w:val="0"/>
      <w:marRight w:val="0"/>
      <w:marTop w:val="0"/>
      <w:marBottom w:val="0"/>
      <w:divBdr>
        <w:top w:val="none" w:sz="0" w:space="0" w:color="auto"/>
        <w:left w:val="none" w:sz="0" w:space="0" w:color="auto"/>
        <w:bottom w:val="none" w:sz="0" w:space="0" w:color="auto"/>
        <w:right w:val="none" w:sz="0" w:space="0" w:color="auto"/>
      </w:divBdr>
    </w:div>
    <w:div w:id="770012269">
      <w:bodyDiv w:val="1"/>
      <w:marLeft w:val="0"/>
      <w:marRight w:val="0"/>
      <w:marTop w:val="0"/>
      <w:marBottom w:val="0"/>
      <w:divBdr>
        <w:top w:val="none" w:sz="0" w:space="0" w:color="auto"/>
        <w:left w:val="none" w:sz="0" w:space="0" w:color="auto"/>
        <w:bottom w:val="none" w:sz="0" w:space="0" w:color="auto"/>
        <w:right w:val="none" w:sz="0" w:space="0" w:color="auto"/>
      </w:divBdr>
    </w:div>
    <w:div w:id="776632873">
      <w:bodyDiv w:val="1"/>
      <w:marLeft w:val="0"/>
      <w:marRight w:val="0"/>
      <w:marTop w:val="0"/>
      <w:marBottom w:val="0"/>
      <w:divBdr>
        <w:top w:val="none" w:sz="0" w:space="0" w:color="auto"/>
        <w:left w:val="none" w:sz="0" w:space="0" w:color="auto"/>
        <w:bottom w:val="none" w:sz="0" w:space="0" w:color="auto"/>
        <w:right w:val="none" w:sz="0" w:space="0" w:color="auto"/>
      </w:divBdr>
    </w:div>
    <w:div w:id="807629187">
      <w:bodyDiv w:val="1"/>
      <w:marLeft w:val="0"/>
      <w:marRight w:val="0"/>
      <w:marTop w:val="0"/>
      <w:marBottom w:val="0"/>
      <w:divBdr>
        <w:top w:val="none" w:sz="0" w:space="0" w:color="auto"/>
        <w:left w:val="none" w:sz="0" w:space="0" w:color="auto"/>
        <w:bottom w:val="none" w:sz="0" w:space="0" w:color="auto"/>
        <w:right w:val="none" w:sz="0" w:space="0" w:color="auto"/>
      </w:divBdr>
    </w:div>
    <w:div w:id="825977613">
      <w:bodyDiv w:val="1"/>
      <w:marLeft w:val="0"/>
      <w:marRight w:val="0"/>
      <w:marTop w:val="0"/>
      <w:marBottom w:val="0"/>
      <w:divBdr>
        <w:top w:val="none" w:sz="0" w:space="0" w:color="auto"/>
        <w:left w:val="none" w:sz="0" w:space="0" w:color="auto"/>
        <w:bottom w:val="none" w:sz="0" w:space="0" w:color="auto"/>
        <w:right w:val="none" w:sz="0" w:space="0" w:color="auto"/>
      </w:divBdr>
    </w:div>
    <w:div w:id="848494783">
      <w:bodyDiv w:val="1"/>
      <w:marLeft w:val="0"/>
      <w:marRight w:val="0"/>
      <w:marTop w:val="0"/>
      <w:marBottom w:val="0"/>
      <w:divBdr>
        <w:top w:val="none" w:sz="0" w:space="0" w:color="auto"/>
        <w:left w:val="none" w:sz="0" w:space="0" w:color="auto"/>
        <w:bottom w:val="none" w:sz="0" w:space="0" w:color="auto"/>
        <w:right w:val="none" w:sz="0" w:space="0" w:color="auto"/>
      </w:divBdr>
      <w:divsChild>
        <w:div w:id="727388262">
          <w:marLeft w:val="0"/>
          <w:marRight w:val="0"/>
          <w:marTop w:val="0"/>
          <w:marBottom w:val="0"/>
          <w:divBdr>
            <w:top w:val="none" w:sz="0" w:space="0" w:color="auto"/>
            <w:left w:val="none" w:sz="0" w:space="0" w:color="auto"/>
            <w:bottom w:val="none" w:sz="0" w:space="0" w:color="auto"/>
            <w:right w:val="none" w:sz="0" w:space="0" w:color="auto"/>
          </w:divBdr>
        </w:div>
        <w:div w:id="824933105">
          <w:marLeft w:val="0"/>
          <w:marRight w:val="0"/>
          <w:marTop w:val="0"/>
          <w:marBottom w:val="0"/>
          <w:divBdr>
            <w:top w:val="none" w:sz="0" w:space="0" w:color="auto"/>
            <w:left w:val="none" w:sz="0" w:space="0" w:color="auto"/>
            <w:bottom w:val="none" w:sz="0" w:space="0" w:color="auto"/>
            <w:right w:val="none" w:sz="0" w:space="0" w:color="auto"/>
          </w:divBdr>
        </w:div>
      </w:divsChild>
    </w:div>
    <w:div w:id="912469540">
      <w:bodyDiv w:val="1"/>
      <w:marLeft w:val="0"/>
      <w:marRight w:val="0"/>
      <w:marTop w:val="0"/>
      <w:marBottom w:val="0"/>
      <w:divBdr>
        <w:top w:val="none" w:sz="0" w:space="0" w:color="auto"/>
        <w:left w:val="none" w:sz="0" w:space="0" w:color="auto"/>
        <w:bottom w:val="none" w:sz="0" w:space="0" w:color="auto"/>
        <w:right w:val="none" w:sz="0" w:space="0" w:color="auto"/>
      </w:divBdr>
    </w:div>
    <w:div w:id="913470836">
      <w:bodyDiv w:val="1"/>
      <w:marLeft w:val="0"/>
      <w:marRight w:val="0"/>
      <w:marTop w:val="0"/>
      <w:marBottom w:val="0"/>
      <w:divBdr>
        <w:top w:val="none" w:sz="0" w:space="0" w:color="auto"/>
        <w:left w:val="none" w:sz="0" w:space="0" w:color="auto"/>
        <w:bottom w:val="none" w:sz="0" w:space="0" w:color="auto"/>
        <w:right w:val="none" w:sz="0" w:space="0" w:color="auto"/>
      </w:divBdr>
    </w:div>
    <w:div w:id="986593482">
      <w:bodyDiv w:val="1"/>
      <w:marLeft w:val="0"/>
      <w:marRight w:val="0"/>
      <w:marTop w:val="0"/>
      <w:marBottom w:val="0"/>
      <w:divBdr>
        <w:top w:val="none" w:sz="0" w:space="0" w:color="auto"/>
        <w:left w:val="none" w:sz="0" w:space="0" w:color="auto"/>
        <w:bottom w:val="none" w:sz="0" w:space="0" w:color="auto"/>
        <w:right w:val="none" w:sz="0" w:space="0" w:color="auto"/>
      </w:divBdr>
      <w:divsChild>
        <w:div w:id="1663003737">
          <w:marLeft w:val="0"/>
          <w:marRight w:val="0"/>
          <w:marTop w:val="0"/>
          <w:marBottom w:val="0"/>
          <w:divBdr>
            <w:top w:val="none" w:sz="0" w:space="0" w:color="auto"/>
            <w:left w:val="none" w:sz="0" w:space="0" w:color="auto"/>
            <w:bottom w:val="none" w:sz="0" w:space="0" w:color="auto"/>
            <w:right w:val="none" w:sz="0" w:space="0" w:color="auto"/>
          </w:divBdr>
        </w:div>
      </w:divsChild>
    </w:div>
    <w:div w:id="986974958">
      <w:bodyDiv w:val="1"/>
      <w:marLeft w:val="0"/>
      <w:marRight w:val="0"/>
      <w:marTop w:val="0"/>
      <w:marBottom w:val="0"/>
      <w:divBdr>
        <w:top w:val="none" w:sz="0" w:space="0" w:color="auto"/>
        <w:left w:val="none" w:sz="0" w:space="0" w:color="auto"/>
        <w:bottom w:val="none" w:sz="0" w:space="0" w:color="auto"/>
        <w:right w:val="none" w:sz="0" w:space="0" w:color="auto"/>
      </w:divBdr>
    </w:div>
    <w:div w:id="1011227056">
      <w:bodyDiv w:val="1"/>
      <w:marLeft w:val="0"/>
      <w:marRight w:val="0"/>
      <w:marTop w:val="0"/>
      <w:marBottom w:val="0"/>
      <w:divBdr>
        <w:top w:val="none" w:sz="0" w:space="0" w:color="auto"/>
        <w:left w:val="none" w:sz="0" w:space="0" w:color="auto"/>
        <w:bottom w:val="none" w:sz="0" w:space="0" w:color="auto"/>
        <w:right w:val="none" w:sz="0" w:space="0" w:color="auto"/>
      </w:divBdr>
    </w:div>
    <w:div w:id="1056778274">
      <w:bodyDiv w:val="1"/>
      <w:marLeft w:val="0"/>
      <w:marRight w:val="0"/>
      <w:marTop w:val="0"/>
      <w:marBottom w:val="0"/>
      <w:divBdr>
        <w:top w:val="none" w:sz="0" w:space="0" w:color="auto"/>
        <w:left w:val="none" w:sz="0" w:space="0" w:color="auto"/>
        <w:bottom w:val="none" w:sz="0" w:space="0" w:color="auto"/>
        <w:right w:val="none" w:sz="0" w:space="0" w:color="auto"/>
      </w:divBdr>
    </w:div>
    <w:div w:id="1064185320">
      <w:bodyDiv w:val="1"/>
      <w:marLeft w:val="0"/>
      <w:marRight w:val="0"/>
      <w:marTop w:val="0"/>
      <w:marBottom w:val="0"/>
      <w:divBdr>
        <w:top w:val="none" w:sz="0" w:space="0" w:color="auto"/>
        <w:left w:val="none" w:sz="0" w:space="0" w:color="auto"/>
        <w:bottom w:val="none" w:sz="0" w:space="0" w:color="auto"/>
        <w:right w:val="none" w:sz="0" w:space="0" w:color="auto"/>
      </w:divBdr>
    </w:div>
    <w:div w:id="1072241992">
      <w:bodyDiv w:val="1"/>
      <w:marLeft w:val="0"/>
      <w:marRight w:val="0"/>
      <w:marTop w:val="0"/>
      <w:marBottom w:val="0"/>
      <w:divBdr>
        <w:top w:val="none" w:sz="0" w:space="0" w:color="auto"/>
        <w:left w:val="none" w:sz="0" w:space="0" w:color="auto"/>
        <w:bottom w:val="none" w:sz="0" w:space="0" w:color="auto"/>
        <w:right w:val="none" w:sz="0" w:space="0" w:color="auto"/>
      </w:divBdr>
    </w:div>
    <w:div w:id="1078869770">
      <w:bodyDiv w:val="1"/>
      <w:marLeft w:val="0"/>
      <w:marRight w:val="0"/>
      <w:marTop w:val="0"/>
      <w:marBottom w:val="0"/>
      <w:divBdr>
        <w:top w:val="none" w:sz="0" w:space="0" w:color="auto"/>
        <w:left w:val="none" w:sz="0" w:space="0" w:color="auto"/>
        <w:bottom w:val="none" w:sz="0" w:space="0" w:color="auto"/>
        <w:right w:val="none" w:sz="0" w:space="0" w:color="auto"/>
      </w:divBdr>
    </w:div>
    <w:div w:id="1088120155">
      <w:bodyDiv w:val="1"/>
      <w:marLeft w:val="0"/>
      <w:marRight w:val="0"/>
      <w:marTop w:val="0"/>
      <w:marBottom w:val="0"/>
      <w:divBdr>
        <w:top w:val="none" w:sz="0" w:space="0" w:color="auto"/>
        <w:left w:val="none" w:sz="0" w:space="0" w:color="auto"/>
        <w:bottom w:val="none" w:sz="0" w:space="0" w:color="auto"/>
        <w:right w:val="none" w:sz="0" w:space="0" w:color="auto"/>
      </w:divBdr>
    </w:div>
    <w:div w:id="1092049385">
      <w:bodyDiv w:val="1"/>
      <w:marLeft w:val="0"/>
      <w:marRight w:val="0"/>
      <w:marTop w:val="0"/>
      <w:marBottom w:val="0"/>
      <w:divBdr>
        <w:top w:val="none" w:sz="0" w:space="0" w:color="auto"/>
        <w:left w:val="none" w:sz="0" w:space="0" w:color="auto"/>
        <w:bottom w:val="none" w:sz="0" w:space="0" w:color="auto"/>
        <w:right w:val="none" w:sz="0" w:space="0" w:color="auto"/>
      </w:divBdr>
    </w:div>
    <w:div w:id="1097214066">
      <w:bodyDiv w:val="1"/>
      <w:marLeft w:val="0"/>
      <w:marRight w:val="0"/>
      <w:marTop w:val="0"/>
      <w:marBottom w:val="0"/>
      <w:divBdr>
        <w:top w:val="none" w:sz="0" w:space="0" w:color="auto"/>
        <w:left w:val="none" w:sz="0" w:space="0" w:color="auto"/>
        <w:bottom w:val="none" w:sz="0" w:space="0" w:color="auto"/>
        <w:right w:val="none" w:sz="0" w:space="0" w:color="auto"/>
      </w:divBdr>
    </w:div>
    <w:div w:id="1103114462">
      <w:bodyDiv w:val="1"/>
      <w:marLeft w:val="0"/>
      <w:marRight w:val="0"/>
      <w:marTop w:val="0"/>
      <w:marBottom w:val="0"/>
      <w:divBdr>
        <w:top w:val="none" w:sz="0" w:space="0" w:color="auto"/>
        <w:left w:val="none" w:sz="0" w:space="0" w:color="auto"/>
        <w:bottom w:val="none" w:sz="0" w:space="0" w:color="auto"/>
        <w:right w:val="none" w:sz="0" w:space="0" w:color="auto"/>
      </w:divBdr>
    </w:div>
    <w:div w:id="1159078336">
      <w:bodyDiv w:val="1"/>
      <w:marLeft w:val="0"/>
      <w:marRight w:val="0"/>
      <w:marTop w:val="0"/>
      <w:marBottom w:val="0"/>
      <w:divBdr>
        <w:top w:val="none" w:sz="0" w:space="0" w:color="auto"/>
        <w:left w:val="none" w:sz="0" w:space="0" w:color="auto"/>
        <w:bottom w:val="none" w:sz="0" w:space="0" w:color="auto"/>
        <w:right w:val="none" w:sz="0" w:space="0" w:color="auto"/>
      </w:divBdr>
    </w:div>
    <w:div w:id="1205099236">
      <w:bodyDiv w:val="1"/>
      <w:marLeft w:val="0"/>
      <w:marRight w:val="0"/>
      <w:marTop w:val="0"/>
      <w:marBottom w:val="0"/>
      <w:divBdr>
        <w:top w:val="none" w:sz="0" w:space="0" w:color="auto"/>
        <w:left w:val="none" w:sz="0" w:space="0" w:color="auto"/>
        <w:bottom w:val="none" w:sz="0" w:space="0" w:color="auto"/>
        <w:right w:val="none" w:sz="0" w:space="0" w:color="auto"/>
      </w:divBdr>
    </w:div>
    <w:div w:id="1206719346">
      <w:bodyDiv w:val="1"/>
      <w:marLeft w:val="0"/>
      <w:marRight w:val="0"/>
      <w:marTop w:val="0"/>
      <w:marBottom w:val="0"/>
      <w:divBdr>
        <w:top w:val="none" w:sz="0" w:space="0" w:color="auto"/>
        <w:left w:val="none" w:sz="0" w:space="0" w:color="auto"/>
        <w:bottom w:val="none" w:sz="0" w:space="0" w:color="auto"/>
        <w:right w:val="none" w:sz="0" w:space="0" w:color="auto"/>
      </w:divBdr>
    </w:div>
    <w:div w:id="1319725716">
      <w:bodyDiv w:val="1"/>
      <w:marLeft w:val="0"/>
      <w:marRight w:val="0"/>
      <w:marTop w:val="0"/>
      <w:marBottom w:val="0"/>
      <w:divBdr>
        <w:top w:val="none" w:sz="0" w:space="0" w:color="auto"/>
        <w:left w:val="none" w:sz="0" w:space="0" w:color="auto"/>
        <w:bottom w:val="none" w:sz="0" w:space="0" w:color="auto"/>
        <w:right w:val="none" w:sz="0" w:space="0" w:color="auto"/>
      </w:divBdr>
    </w:div>
    <w:div w:id="1324315996">
      <w:bodyDiv w:val="1"/>
      <w:marLeft w:val="0"/>
      <w:marRight w:val="0"/>
      <w:marTop w:val="0"/>
      <w:marBottom w:val="0"/>
      <w:divBdr>
        <w:top w:val="none" w:sz="0" w:space="0" w:color="auto"/>
        <w:left w:val="none" w:sz="0" w:space="0" w:color="auto"/>
        <w:bottom w:val="none" w:sz="0" w:space="0" w:color="auto"/>
        <w:right w:val="none" w:sz="0" w:space="0" w:color="auto"/>
      </w:divBdr>
    </w:div>
    <w:div w:id="1367172126">
      <w:bodyDiv w:val="1"/>
      <w:marLeft w:val="0"/>
      <w:marRight w:val="0"/>
      <w:marTop w:val="0"/>
      <w:marBottom w:val="0"/>
      <w:divBdr>
        <w:top w:val="none" w:sz="0" w:space="0" w:color="auto"/>
        <w:left w:val="none" w:sz="0" w:space="0" w:color="auto"/>
        <w:bottom w:val="none" w:sz="0" w:space="0" w:color="auto"/>
        <w:right w:val="none" w:sz="0" w:space="0" w:color="auto"/>
      </w:divBdr>
    </w:div>
    <w:div w:id="1368290867">
      <w:bodyDiv w:val="1"/>
      <w:marLeft w:val="0"/>
      <w:marRight w:val="0"/>
      <w:marTop w:val="0"/>
      <w:marBottom w:val="0"/>
      <w:divBdr>
        <w:top w:val="none" w:sz="0" w:space="0" w:color="auto"/>
        <w:left w:val="none" w:sz="0" w:space="0" w:color="auto"/>
        <w:bottom w:val="none" w:sz="0" w:space="0" w:color="auto"/>
        <w:right w:val="none" w:sz="0" w:space="0" w:color="auto"/>
      </w:divBdr>
    </w:div>
    <w:div w:id="1392997129">
      <w:bodyDiv w:val="1"/>
      <w:marLeft w:val="0"/>
      <w:marRight w:val="0"/>
      <w:marTop w:val="0"/>
      <w:marBottom w:val="0"/>
      <w:divBdr>
        <w:top w:val="none" w:sz="0" w:space="0" w:color="auto"/>
        <w:left w:val="none" w:sz="0" w:space="0" w:color="auto"/>
        <w:bottom w:val="none" w:sz="0" w:space="0" w:color="auto"/>
        <w:right w:val="none" w:sz="0" w:space="0" w:color="auto"/>
      </w:divBdr>
    </w:div>
    <w:div w:id="1405880552">
      <w:bodyDiv w:val="1"/>
      <w:marLeft w:val="0"/>
      <w:marRight w:val="0"/>
      <w:marTop w:val="0"/>
      <w:marBottom w:val="0"/>
      <w:divBdr>
        <w:top w:val="none" w:sz="0" w:space="0" w:color="auto"/>
        <w:left w:val="none" w:sz="0" w:space="0" w:color="auto"/>
        <w:bottom w:val="none" w:sz="0" w:space="0" w:color="auto"/>
        <w:right w:val="none" w:sz="0" w:space="0" w:color="auto"/>
      </w:divBdr>
    </w:div>
    <w:div w:id="1452170456">
      <w:bodyDiv w:val="1"/>
      <w:marLeft w:val="0"/>
      <w:marRight w:val="0"/>
      <w:marTop w:val="0"/>
      <w:marBottom w:val="0"/>
      <w:divBdr>
        <w:top w:val="none" w:sz="0" w:space="0" w:color="auto"/>
        <w:left w:val="none" w:sz="0" w:space="0" w:color="auto"/>
        <w:bottom w:val="none" w:sz="0" w:space="0" w:color="auto"/>
        <w:right w:val="none" w:sz="0" w:space="0" w:color="auto"/>
      </w:divBdr>
    </w:div>
    <w:div w:id="1466848181">
      <w:bodyDiv w:val="1"/>
      <w:marLeft w:val="0"/>
      <w:marRight w:val="0"/>
      <w:marTop w:val="0"/>
      <w:marBottom w:val="0"/>
      <w:divBdr>
        <w:top w:val="none" w:sz="0" w:space="0" w:color="auto"/>
        <w:left w:val="none" w:sz="0" w:space="0" w:color="auto"/>
        <w:bottom w:val="none" w:sz="0" w:space="0" w:color="auto"/>
        <w:right w:val="none" w:sz="0" w:space="0" w:color="auto"/>
      </w:divBdr>
    </w:div>
    <w:div w:id="1508443110">
      <w:bodyDiv w:val="1"/>
      <w:marLeft w:val="0"/>
      <w:marRight w:val="0"/>
      <w:marTop w:val="0"/>
      <w:marBottom w:val="0"/>
      <w:divBdr>
        <w:top w:val="none" w:sz="0" w:space="0" w:color="auto"/>
        <w:left w:val="none" w:sz="0" w:space="0" w:color="auto"/>
        <w:bottom w:val="none" w:sz="0" w:space="0" w:color="auto"/>
        <w:right w:val="none" w:sz="0" w:space="0" w:color="auto"/>
      </w:divBdr>
    </w:div>
    <w:div w:id="1531453627">
      <w:bodyDiv w:val="1"/>
      <w:marLeft w:val="0"/>
      <w:marRight w:val="0"/>
      <w:marTop w:val="0"/>
      <w:marBottom w:val="0"/>
      <w:divBdr>
        <w:top w:val="none" w:sz="0" w:space="0" w:color="auto"/>
        <w:left w:val="none" w:sz="0" w:space="0" w:color="auto"/>
        <w:bottom w:val="none" w:sz="0" w:space="0" w:color="auto"/>
        <w:right w:val="none" w:sz="0" w:space="0" w:color="auto"/>
      </w:divBdr>
    </w:div>
    <w:div w:id="1542938515">
      <w:bodyDiv w:val="1"/>
      <w:marLeft w:val="0"/>
      <w:marRight w:val="0"/>
      <w:marTop w:val="0"/>
      <w:marBottom w:val="0"/>
      <w:divBdr>
        <w:top w:val="none" w:sz="0" w:space="0" w:color="auto"/>
        <w:left w:val="none" w:sz="0" w:space="0" w:color="auto"/>
        <w:bottom w:val="none" w:sz="0" w:space="0" w:color="auto"/>
        <w:right w:val="none" w:sz="0" w:space="0" w:color="auto"/>
      </w:divBdr>
    </w:div>
    <w:div w:id="1547833872">
      <w:bodyDiv w:val="1"/>
      <w:marLeft w:val="0"/>
      <w:marRight w:val="0"/>
      <w:marTop w:val="0"/>
      <w:marBottom w:val="0"/>
      <w:divBdr>
        <w:top w:val="none" w:sz="0" w:space="0" w:color="auto"/>
        <w:left w:val="none" w:sz="0" w:space="0" w:color="auto"/>
        <w:bottom w:val="none" w:sz="0" w:space="0" w:color="auto"/>
        <w:right w:val="none" w:sz="0" w:space="0" w:color="auto"/>
      </w:divBdr>
    </w:div>
    <w:div w:id="1556893146">
      <w:bodyDiv w:val="1"/>
      <w:marLeft w:val="0"/>
      <w:marRight w:val="0"/>
      <w:marTop w:val="0"/>
      <w:marBottom w:val="0"/>
      <w:divBdr>
        <w:top w:val="none" w:sz="0" w:space="0" w:color="auto"/>
        <w:left w:val="none" w:sz="0" w:space="0" w:color="auto"/>
        <w:bottom w:val="none" w:sz="0" w:space="0" w:color="auto"/>
        <w:right w:val="none" w:sz="0" w:space="0" w:color="auto"/>
      </w:divBdr>
    </w:div>
    <w:div w:id="1582761236">
      <w:bodyDiv w:val="1"/>
      <w:marLeft w:val="0"/>
      <w:marRight w:val="0"/>
      <w:marTop w:val="0"/>
      <w:marBottom w:val="0"/>
      <w:divBdr>
        <w:top w:val="none" w:sz="0" w:space="0" w:color="auto"/>
        <w:left w:val="none" w:sz="0" w:space="0" w:color="auto"/>
        <w:bottom w:val="none" w:sz="0" w:space="0" w:color="auto"/>
        <w:right w:val="none" w:sz="0" w:space="0" w:color="auto"/>
      </w:divBdr>
    </w:div>
    <w:div w:id="1600135262">
      <w:bodyDiv w:val="1"/>
      <w:marLeft w:val="0"/>
      <w:marRight w:val="0"/>
      <w:marTop w:val="0"/>
      <w:marBottom w:val="0"/>
      <w:divBdr>
        <w:top w:val="none" w:sz="0" w:space="0" w:color="auto"/>
        <w:left w:val="none" w:sz="0" w:space="0" w:color="auto"/>
        <w:bottom w:val="none" w:sz="0" w:space="0" w:color="auto"/>
        <w:right w:val="none" w:sz="0" w:space="0" w:color="auto"/>
      </w:divBdr>
    </w:div>
    <w:div w:id="1605768916">
      <w:bodyDiv w:val="1"/>
      <w:marLeft w:val="0"/>
      <w:marRight w:val="0"/>
      <w:marTop w:val="0"/>
      <w:marBottom w:val="0"/>
      <w:divBdr>
        <w:top w:val="none" w:sz="0" w:space="0" w:color="auto"/>
        <w:left w:val="none" w:sz="0" w:space="0" w:color="auto"/>
        <w:bottom w:val="none" w:sz="0" w:space="0" w:color="auto"/>
        <w:right w:val="none" w:sz="0" w:space="0" w:color="auto"/>
      </w:divBdr>
    </w:div>
    <w:div w:id="1613365898">
      <w:bodyDiv w:val="1"/>
      <w:marLeft w:val="0"/>
      <w:marRight w:val="0"/>
      <w:marTop w:val="0"/>
      <w:marBottom w:val="0"/>
      <w:divBdr>
        <w:top w:val="none" w:sz="0" w:space="0" w:color="auto"/>
        <w:left w:val="none" w:sz="0" w:space="0" w:color="auto"/>
        <w:bottom w:val="none" w:sz="0" w:space="0" w:color="auto"/>
        <w:right w:val="none" w:sz="0" w:space="0" w:color="auto"/>
      </w:divBdr>
    </w:div>
    <w:div w:id="1641573700">
      <w:bodyDiv w:val="1"/>
      <w:marLeft w:val="0"/>
      <w:marRight w:val="0"/>
      <w:marTop w:val="0"/>
      <w:marBottom w:val="0"/>
      <w:divBdr>
        <w:top w:val="none" w:sz="0" w:space="0" w:color="auto"/>
        <w:left w:val="none" w:sz="0" w:space="0" w:color="auto"/>
        <w:bottom w:val="none" w:sz="0" w:space="0" w:color="auto"/>
        <w:right w:val="none" w:sz="0" w:space="0" w:color="auto"/>
      </w:divBdr>
      <w:divsChild>
        <w:div w:id="376324163">
          <w:marLeft w:val="0"/>
          <w:marRight w:val="0"/>
          <w:marTop w:val="0"/>
          <w:marBottom w:val="0"/>
          <w:divBdr>
            <w:top w:val="none" w:sz="0" w:space="0" w:color="auto"/>
            <w:left w:val="none" w:sz="0" w:space="0" w:color="auto"/>
            <w:bottom w:val="none" w:sz="0" w:space="0" w:color="auto"/>
            <w:right w:val="none" w:sz="0" w:space="0" w:color="auto"/>
          </w:divBdr>
          <w:divsChild>
            <w:div w:id="311451765">
              <w:marLeft w:val="0"/>
              <w:marRight w:val="0"/>
              <w:marTop w:val="0"/>
              <w:marBottom w:val="0"/>
              <w:divBdr>
                <w:top w:val="none" w:sz="0" w:space="0" w:color="auto"/>
                <w:left w:val="none" w:sz="0" w:space="0" w:color="auto"/>
                <w:bottom w:val="none" w:sz="0" w:space="0" w:color="auto"/>
                <w:right w:val="none" w:sz="0" w:space="0" w:color="auto"/>
              </w:divBdr>
              <w:divsChild>
                <w:div w:id="1208107410">
                  <w:marLeft w:val="0"/>
                  <w:marRight w:val="0"/>
                  <w:marTop w:val="0"/>
                  <w:marBottom w:val="0"/>
                  <w:divBdr>
                    <w:top w:val="none" w:sz="0" w:space="0" w:color="auto"/>
                    <w:left w:val="none" w:sz="0" w:space="0" w:color="auto"/>
                    <w:bottom w:val="none" w:sz="0" w:space="0" w:color="auto"/>
                    <w:right w:val="none" w:sz="0" w:space="0" w:color="auto"/>
                  </w:divBdr>
                  <w:divsChild>
                    <w:div w:id="1733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4431">
      <w:bodyDiv w:val="1"/>
      <w:marLeft w:val="0"/>
      <w:marRight w:val="0"/>
      <w:marTop w:val="0"/>
      <w:marBottom w:val="0"/>
      <w:divBdr>
        <w:top w:val="none" w:sz="0" w:space="0" w:color="auto"/>
        <w:left w:val="none" w:sz="0" w:space="0" w:color="auto"/>
        <w:bottom w:val="none" w:sz="0" w:space="0" w:color="auto"/>
        <w:right w:val="none" w:sz="0" w:space="0" w:color="auto"/>
      </w:divBdr>
    </w:div>
    <w:div w:id="1665666764">
      <w:bodyDiv w:val="1"/>
      <w:marLeft w:val="0"/>
      <w:marRight w:val="0"/>
      <w:marTop w:val="0"/>
      <w:marBottom w:val="0"/>
      <w:divBdr>
        <w:top w:val="none" w:sz="0" w:space="0" w:color="auto"/>
        <w:left w:val="none" w:sz="0" w:space="0" w:color="auto"/>
        <w:bottom w:val="none" w:sz="0" w:space="0" w:color="auto"/>
        <w:right w:val="none" w:sz="0" w:space="0" w:color="auto"/>
      </w:divBdr>
    </w:div>
    <w:div w:id="1673532260">
      <w:bodyDiv w:val="1"/>
      <w:marLeft w:val="0"/>
      <w:marRight w:val="0"/>
      <w:marTop w:val="0"/>
      <w:marBottom w:val="0"/>
      <w:divBdr>
        <w:top w:val="none" w:sz="0" w:space="0" w:color="auto"/>
        <w:left w:val="none" w:sz="0" w:space="0" w:color="auto"/>
        <w:bottom w:val="none" w:sz="0" w:space="0" w:color="auto"/>
        <w:right w:val="none" w:sz="0" w:space="0" w:color="auto"/>
      </w:divBdr>
    </w:div>
    <w:div w:id="1691686343">
      <w:bodyDiv w:val="1"/>
      <w:marLeft w:val="0"/>
      <w:marRight w:val="0"/>
      <w:marTop w:val="0"/>
      <w:marBottom w:val="0"/>
      <w:divBdr>
        <w:top w:val="none" w:sz="0" w:space="0" w:color="auto"/>
        <w:left w:val="none" w:sz="0" w:space="0" w:color="auto"/>
        <w:bottom w:val="none" w:sz="0" w:space="0" w:color="auto"/>
        <w:right w:val="none" w:sz="0" w:space="0" w:color="auto"/>
      </w:divBdr>
    </w:div>
    <w:div w:id="1698965452">
      <w:bodyDiv w:val="1"/>
      <w:marLeft w:val="0"/>
      <w:marRight w:val="0"/>
      <w:marTop w:val="0"/>
      <w:marBottom w:val="0"/>
      <w:divBdr>
        <w:top w:val="none" w:sz="0" w:space="0" w:color="auto"/>
        <w:left w:val="none" w:sz="0" w:space="0" w:color="auto"/>
        <w:bottom w:val="none" w:sz="0" w:space="0" w:color="auto"/>
        <w:right w:val="none" w:sz="0" w:space="0" w:color="auto"/>
      </w:divBdr>
    </w:div>
    <w:div w:id="1750034085">
      <w:bodyDiv w:val="1"/>
      <w:marLeft w:val="0"/>
      <w:marRight w:val="0"/>
      <w:marTop w:val="0"/>
      <w:marBottom w:val="0"/>
      <w:divBdr>
        <w:top w:val="none" w:sz="0" w:space="0" w:color="auto"/>
        <w:left w:val="none" w:sz="0" w:space="0" w:color="auto"/>
        <w:bottom w:val="none" w:sz="0" w:space="0" w:color="auto"/>
        <w:right w:val="none" w:sz="0" w:space="0" w:color="auto"/>
      </w:divBdr>
      <w:divsChild>
        <w:div w:id="428233203">
          <w:marLeft w:val="0"/>
          <w:marRight w:val="0"/>
          <w:marTop w:val="0"/>
          <w:marBottom w:val="0"/>
          <w:divBdr>
            <w:top w:val="none" w:sz="0" w:space="0" w:color="auto"/>
            <w:left w:val="none" w:sz="0" w:space="0" w:color="auto"/>
            <w:bottom w:val="none" w:sz="0" w:space="0" w:color="auto"/>
            <w:right w:val="none" w:sz="0" w:space="0" w:color="auto"/>
          </w:divBdr>
          <w:divsChild>
            <w:div w:id="1571427814">
              <w:marLeft w:val="0"/>
              <w:marRight w:val="0"/>
              <w:marTop w:val="0"/>
              <w:marBottom w:val="0"/>
              <w:divBdr>
                <w:top w:val="none" w:sz="0" w:space="0" w:color="auto"/>
                <w:left w:val="none" w:sz="0" w:space="0" w:color="auto"/>
                <w:bottom w:val="none" w:sz="0" w:space="0" w:color="auto"/>
                <w:right w:val="none" w:sz="0" w:space="0" w:color="auto"/>
              </w:divBdr>
              <w:divsChild>
                <w:div w:id="1881554434">
                  <w:marLeft w:val="-268"/>
                  <w:marRight w:val="-268"/>
                  <w:marTop w:val="0"/>
                  <w:marBottom w:val="0"/>
                  <w:divBdr>
                    <w:top w:val="none" w:sz="0" w:space="0" w:color="auto"/>
                    <w:left w:val="none" w:sz="0" w:space="0" w:color="auto"/>
                    <w:bottom w:val="none" w:sz="0" w:space="0" w:color="auto"/>
                    <w:right w:val="none" w:sz="0" w:space="0" w:color="auto"/>
                  </w:divBdr>
                  <w:divsChild>
                    <w:div w:id="438183021">
                      <w:marLeft w:val="0"/>
                      <w:marRight w:val="0"/>
                      <w:marTop w:val="0"/>
                      <w:marBottom w:val="0"/>
                      <w:divBdr>
                        <w:top w:val="none" w:sz="0" w:space="0" w:color="auto"/>
                        <w:left w:val="none" w:sz="0" w:space="0" w:color="auto"/>
                        <w:bottom w:val="none" w:sz="0" w:space="0" w:color="auto"/>
                        <w:right w:val="none" w:sz="0" w:space="0" w:color="auto"/>
                      </w:divBdr>
                      <w:divsChild>
                        <w:div w:id="572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158306">
      <w:bodyDiv w:val="1"/>
      <w:marLeft w:val="0"/>
      <w:marRight w:val="0"/>
      <w:marTop w:val="0"/>
      <w:marBottom w:val="0"/>
      <w:divBdr>
        <w:top w:val="none" w:sz="0" w:space="0" w:color="auto"/>
        <w:left w:val="none" w:sz="0" w:space="0" w:color="auto"/>
        <w:bottom w:val="none" w:sz="0" w:space="0" w:color="auto"/>
        <w:right w:val="none" w:sz="0" w:space="0" w:color="auto"/>
      </w:divBdr>
    </w:div>
    <w:div w:id="1762679726">
      <w:bodyDiv w:val="1"/>
      <w:marLeft w:val="0"/>
      <w:marRight w:val="0"/>
      <w:marTop w:val="0"/>
      <w:marBottom w:val="0"/>
      <w:divBdr>
        <w:top w:val="none" w:sz="0" w:space="0" w:color="auto"/>
        <w:left w:val="none" w:sz="0" w:space="0" w:color="auto"/>
        <w:bottom w:val="none" w:sz="0" w:space="0" w:color="auto"/>
        <w:right w:val="none" w:sz="0" w:space="0" w:color="auto"/>
      </w:divBdr>
    </w:div>
    <w:div w:id="1767651808">
      <w:bodyDiv w:val="1"/>
      <w:marLeft w:val="0"/>
      <w:marRight w:val="0"/>
      <w:marTop w:val="0"/>
      <w:marBottom w:val="0"/>
      <w:divBdr>
        <w:top w:val="none" w:sz="0" w:space="0" w:color="auto"/>
        <w:left w:val="none" w:sz="0" w:space="0" w:color="auto"/>
        <w:bottom w:val="none" w:sz="0" w:space="0" w:color="auto"/>
        <w:right w:val="none" w:sz="0" w:space="0" w:color="auto"/>
      </w:divBdr>
    </w:div>
    <w:div w:id="1825387350">
      <w:bodyDiv w:val="1"/>
      <w:marLeft w:val="0"/>
      <w:marRight w:val="0"/>
      <w:marTop w:val="0"/>
      <w:marBottom w:val="0"/>
      <w:divBdr>
        <w:top w:val="none" w:sz="0" w:space="0" w:color="auto"/>
        <w:left w:val="none" w:sz="0" w:space="0" w:color="auto"/>
        <w:bottom w:val="none" w:sz="0" w:space="0" w:color="auto"/>
        <w:right w:val="none" w:sz="0" w:space="0" w:color="auto"/>
      </w:divBdr>
    </w:div>
    <w:div w:id="1834685668">
      <w:bodyDiv w:val="1"/>
      <w:marLeft w:val="0"/>
      <w:marRight w:val="0"/>
      <w:marTop w:val="0"/>
      <w:marBottom w:val="0"/>
      <w:divBdr>
        <w:top w:val="none" w:sz="0" w:space="0" w:color="auto"/>
        <w:left w:val="none" w:sz="0" w:space="0" w:color="auto"/>
        <w:bottom w:val="none" w:sz="0" w:space="0" w:color="auto"/>
        <w:right w:val="none" w:sz="0" w:space="0" w:color="auto"/>
      </w:divBdr>
    </w:div>
    <w:div w:id="1868979581">
      <w:bodyDiv w:val="1"/>
      <w:marLeft w:val="0"/>
      <w:marRight w:val="0"/>
      <w:marTop w:val="0"/>
      <w:marBottom w:val="0"/>
      <w:divBdr>
        <w:top w:val="none" w:sz="0" w:space="0" w:color="auto"/>
        <w:left w:val="none" w:sz="0" w:space="0" w:color="auto"/>
        <w:bottom w:val="none" w:sz="0" w:space="0" w:color="auto"/>
        <w:right w:val="none" w:sz="0" w:space="0" w:color="auto"/>
      </w:divBdr>
    </w:div>
    <w:div w:id="1919754570">
      <w:bodyDiv w:val="1"/>
      <w:marLeft w:val="0"/>
      <w:marRight w:val="0"/>
      <w:marTop w:val="0"/>
      <w:marBottom w:val="0"/>
      <w:divBdr>
        <w:top w:val="none" w:sz="0" w:space="0" w:color="auto"/>
        <w:left w:val="none" w:sz="0" w:space="0" w:color="auto"/>
        <w:bottom w:val="none" w:sz="0" w:space="0" w:color="auto"/>
        <w:right w:val="none" w:sz="0" w:space="0" w:color="auto"/>
      </w:divBdr>
    </w:div>
    <w:div w:id="1923878243">
      <w:bodyDiv w:val="1"/>
      <w:marLeft w:val="0"/>
      <w:marRight w:val="0"/>
      <w:marTop w:val="0"/>
      <w:marBottom w:val="0"/>
      <w:divBdr>
        <w:top w:val="none" w:sz="0" w:space="0" w:color="auto"/>
        <w:left w:val="none" w:sz="0" w:space="0" w:color="auto"/>
        <w:bottom w:val="none" w:sz="0" w:space="0" w:color="auto"/>
        <w:right w:val="none" w:sz="0" w:space="0" w:color="auto"/>
      </w:divBdr>
    </w:div>
    <w:div w:id="1928883045">
      <w:bodyDiv w:val="1"/>
      <w:marLeft w:val="0"/>
      <w:marRight w:val="0"/>
      <w:marTop w:val="0"/>
      <w:marBottom w:val="0"/>
      <w:divBdr>
        <w:top w:val="none" w:sz="0" w:space="0" w:color="auto"/>
        <w:left w:val="none" w:sz="0" w:space="0" w:color="auto"/>
        <w:bottom w:val="none" w:sz="0" w:space="0" w:color="auto"/>
        <w:right w:val="none" w:sz="0" w:space="0" w:color="auto"/>
      </w:divBdr>
    </w:div>
    <w:div w:id="1929347069">
      <w:bodyDiv w:val="1"/>
      <w:marLeft w:val="0"/>
      <w:marRight w:val="0"/>
      <w:marTop w:val="0"/>
      <w:marBottom w:val="0"/>
      <w:divBdr>
        <w:top w:val="none" w:sz="0" w:space="0" w:color="auto"/>
        <w:left w:val="none" w:sz="0" w:space="0" w:color="auto"/>
        <w:bottom w:val="none" w:sz="0" w:space="0" w:color="auto"/>
        <w:right w:val="none" w:sz="0" w:space="0" w:color="auto"/>
      </w:divBdr>
    </w:div>
    <w:div w:id="1951669879">
      <w:bodyDiv w:val="1"/>
      <w:marLeft w:val="0"/>
      <w:marRight w:val="0"/>
      <w:marTop w:val="0"/>
      <w:marBottom w:val="0"/>
      <w:divBdr>
        <w:top w:val="none" w:sz="0" w:space="0" w:color="auto"/>
        <w:left w:val="none" w:sz="0" w:space="0" w:color="auto"/>
        <w:bottom w:val="none" w:sz="0" w:space="0" w:color="auto"/>
        <w:right w:val="none" w:sz="0" w:space="0" w:color="auto"/>
      </w:divBdr>
    </w:div>
    <w:div w:id="1963655848">
      <w:bodyDiv w:val="1"/>
      <w:marLeft w:val="0"/>
      <w:marRight w:val="0"/>
      <w:marTop w:val="0"/>
      <w:marBottom w:val="0"/>
      <w:divBdr>
        <w:top w:val="none" w:sz="0" w:space="0" w:color="auto"/>
        <w:left w:val="none" w:sz="0" w:space="0" w:color="auto"/>
        <w:bottom w:val="none" w:sz="0" w:space="0" w:color="auto"/>
        <w:right w:val="none" w:sz="0" w:space="0" w:color="auto"/>
      </w:divBdr>
    </w:div>
    <w:div w:id="1989552414">
      <w:bodyDiv w:val="1"/>
      <w:marLeft w:val="0"/>
      <w:marRight w:val="0"/>
      <w:marTop w:val="0"/>
      <w:marBottom w:val="0"/>
      <w:divBdr>
        <w:top w:val="none" w:sz="0" w:space="0" w:color="auto"/>
        <w:left w:val="none" w:sz="0" w:space="0" w:color="auto"/>
        <w:bottom w:val="none" w:sz="0" w:space="0" w:color="auto"/>
        <w:right w:val="none" w:sz="0" w:space="0" w:color="auto"/>
      </w:divBdr>
    </w:div>
    <w:div w:id="1991136479">
      <w:bodyDiv w:val="1"/>
      <w:marLeft w:val="0"/>
      <w:marRight w:val="0"/>
      <w:marTop w:val="0"/>
      <w:marBottom w:val="0"/>
      <w:divBdr>
        <w:top w:val="none" w:sz="0" w:space="0" w:color="auto"/>
        <w:left w:val="none" w:sz="0" w:space="0" w:color="auto"/>
        <w:bottom w:val="none" w:sz="0" w:space="0" w:color="auto"/>
        <w:right w:val="none" w:sz="0" w:space="0" w:color="auto"/>
      </w:divBdr>
    </w:div>
    <w:div w:id="2004430510">
      <w:bodyDiv w:val="1"/>
      <w:marLeft w:val="0"/>
      <w:marRight w:val="0"/>
      <w:marTop w:val="0"/>
      <w:marBottom w:val="0"/>
      <w:divBdr>
        <w:top w:val="none" w:sz="0" w:space="0" w:color="auto"/>
        <w:left w:val="none" w:sz="0" w:space="0" w:color="auto"/>
        <w:bottom w:val="none" w:sz="0" w:space="0" w:color="auto"/>
        <w:right w:val="none" w:sz="0" w:space="0" w:color="auto"/>
      </w:divBdr>
    </w:div>
    <w:div w:id="2006935155">
      <w:bodyDiv w:val="1"/>
      <w:marLeft w:val="0"/>
      <w:marRight w:val="0"/>
      <w:marTop w:val="0"/>
      <w:marBottom w:val="0"/>
      <w:divBdr>
        <w:top w:val="none" w:sz="0" w:space="0" w:color="auto"/>
        <w:left w:val="none" w:sz="0" w:space="0" w:color="auto"/>
        <w:bottom w:val="none" w:sz="0" w:space="0" w:color="auto"/>
        <w:right w:val="none" w:sz="0" w:space="0" w:color="auto"/>
      </w:divBdr>
    </w:div>
    <w:div w:id="2051833568">
      <w:bodyDiv w:val="1"/>
      <w:marLeft w:val="0"/>
      <w:marRight w:val="0"/>
      <w:marTop w:val="0"/>
      <w:marBottom w:val="0"/>
      <w:divBdr>
        <w:top w:val="none" w:sz="0" w:space="0" w:color="auto"/>
        <w:left w:val="none" w:sz="0" w:space="0" w:color="auto"/>
        <w:bottom w:val="none" w:sz="0" w:space="0" w:color="auto"/>
        <w:right w:val="none" w:sz="0" w:space="0" w:color="auto"/>
      </w:divBdr>
    </w:div>
    <w:div w:id="2056930972">
      <w:bodyDiv w:val="1"/>
      <w:marLeft w:val="0"/>
      <w:marRight w:val="0"/>
      <w:marTop w:val="0"/>
      <w:marBottom w:val="0"/>
      <w:divBdr>
        <w:top w:val="none" w:sz="0" w:space="0" w:color="auto"/>
        <w:left w:val="none" w:sz="0" w:space="0" w:color="auto"/>
        <w:bottom w:val="none" w:sz="0" w:space="0" w:color="auto"/>
        <w:right w:val="none" w:sz="0" w:space="0" w:color="auto"/>
      </w:divBdr>
    </w:div>
    <w:div w:id="2070035183">
      <w:bodyDiv w:val="1"/>
      <w:marLeft w:val="0"/>
      <w:marRight w:val="0"/>
      <w:marTop w:val="0"/>
      <w:marBottom w:val="0"/>
      <w:divBdr>
        <w:top w:val="none" w:sz="0" w:space="0" w:color="auto"/>
        <w:left w:val="none" w:sz="0" w:space="0" w:color="auto"/>
        <w:bottom w:val="none" w:sz="0" w:space="0" w:color="auto"/>
        <w:right w:val="none" w:sz="0" w:space="0" w:color="auto"/>
      </w:divBdr>
    </w:div>
    <w:div w:id="2074770254">
      <w:bodyDiv w:val="1"/>
      <w:marLeft w:val="0"/>
      <w:marRight w:val="0"/>
      <w:marTop w:val="0"/>
      <w:marBottom w:val="0"/>
      <w:divBdr>
        <w:top w:val="none" w:sz="0" w:space="0" w:color="auto"/>
        <w:left w:val="none" w:sz="0" w:space="0" w:color="auto"/>
        <w:bottom w:val="none" w:sz="0" w:space="0" w:color="auto"/>
        <w:right w:val="none" w:sz="0" w:space="0" w:color="auto"/>
      </w:divBdr>
    </w:div>
    <w:div w:id="2082942289">
      <w:bodyDiv w:val="1"/>
      <w:marLeft w:val="0"/>
      <w:marRight w:val="0"/>
      <w:marTop w:val="0"/>
      <w:marBottom w:val="0"/>
      <w:divBdr>
        <w:top w:val="none" w:sz="0" w:space="0" w:color="auto"/>
        <w:left w:val="none" w:sz="0" w:space="0" w:color="auto"/>
        <w:bottom w:val="none" w:sz="0" w:space="0" w:color="auto"/>
        <w:right w:val="none" w:sz="0" w:space="0" w:color="auto"/>
      </w:divBdr>
    </w:div>
    <w:div w:id="2119252342">
      <w:bodyDiv w:val="1"/>
      <w:marLeft w:val="0"/>
      <w:marRight w:val="0"/>
      <w:marTop w:val="0"/>
      <w:marBottom w:val="0"/>
      <w:divBdr>
        <w:top w:val="none" w:sz="0" w:space="0" w:color="auto"/>
        <w:left w:val="none" w:sz="0" w:space="0" w:color="auto"/>
        <w:bottom w:val="none" w:sz="0" w:space="0" w:color="auto"/>
        <w:right w:val="none" w:sz="0" w:space="0" w:color="auto"/>
      </w:divBdr>
    </w:div>
    <w:div w:id="2127964257">
      <w:bodyDiv w:val="1"/>
      <w:marLeft w:val="0"/>
      <w:marRight w:val="0"/>
      <w:marTop w:val="0"/>
      <w:marBottom w:val="0"/>
      <w:divBdr>
        <w:top w:val="none" w:sz="0" w:space="0" w:color="auto"/>
        <w:left w:val="none" w:sz="0" w:space="0" w:color="auto"/>
        <w:bottom w:val="none" w:sz="0" w:space="0" w:color="auto"/>
        <w:right w:val="none" w:sz="0" w:space="0" w:color="auto"/>
      </w:divBdr>
    </w:div>
    <w:div w:id="21358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5CD2-3167-7649-A5EF-59C99164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6336</Words>
  <Characters>36118</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gulistanbahat</dc:creator>
  <cp:lastModifiedBy>Tugba Obekli</cp:lastModifiedBy>
  <cp:revision>3</cp:revision>
  <dcterms:created xsi:type="dcterms:W3CDTF">2021-10-25T06:12:00Z</dcterms:created>
  <dcterms:modified xsi:type="dcterms:W3CDTF">2021-10-25T06:25:00Z</dcterms:modified>
</cp:coreProperties>
</file>