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580636" w:rsidRPr="00AE15DA" w:rsidP="0043334F" w14:paraId="0C41DCF9" w14:textId="77777777">
      <w:pPr>
        <w:contextualSpacing/>
        <w:rPr>
          <w:rFonts w:cstheme="minorHAnsi"/>
          <w:color w:val="000000"/>
        </w:rPr>
      </w:pPr>
    </w:p>
    <w:p w:rsidR="007D5087" w:rsidRPr="00AE15DA" w:rsidP="0043334F" w14:paraId="55C6EC09" w14:textId="77777777">
      <w:pPr>
        <w:pStyle w:val="Heading3"/>
        <w:pBdr>
          <w:bottom w:val="single" w:sz="6" w:space="1" w:color="auto"/>
        </w:pBdr>
        <w:bidi w:val="0"/>
        <w:spacing w:line="240" w:lineRule="auto"/>
        <w:contextualSpacing/>
        <w:jc w:val="both"/>
        <w:rPr>
          <w:rFonts w:asciiTheme="minorHAnsi" w:hAnsiTheme="minorHAnsi" w:cstheme="minorHAnsi"/>
          <w:color w:val="FF0000"/>
          <w:sz w:val="24"/>
          <w:szCs w:val="24"/>
          <w:u w:val="single"/>
        </w:rPr>
      </w:pPr>
      <w:r w:rsidRPr="00AE15DA">
        <w:rPr>
          <w:rFonts w:asciiTheme="minorHAnsi" w:hAnsiTheme="minorHAnsi" w:cstheme="minorHAnsi"/>
          <w:color w:val="FF0000"/>
          <w:sz w:val="24"/>
          <w:szCs w:val="24"/>
          <w:u w:val="single"/>
          <w:rtl w:val="0"/>
          <w:lang w:val="ru"/>
        </w:rPr>
        <w:t>ПОРА ПРЕКРАТИТЬ - ЛЕКАРСТВЕННЫЕ СРЕДСТВА, НЕ РЕКОМЕНДУЕМЫЕ ПОЖИЛЫМ ЛЮДЯМ</w:t>
      </w:r>
    </w:p>
    <w:p w:rsidR="00580636" w:rsidRPr="00AE15DA" w:rsidP="0043334F" w14:paraId="4B59FC38" w14:textId="77777777">
      <w:pPr>
        <w:bidi w:val="0"/>
        <w:contextualSpacing/>
        <w:rPr>
          <w:rFonts w:asciiTheme="minorHAnsi" w:hAnsiTheme="minorHAnsi" w:cstheme="minorHAnsi"/>
          <w:b/>
          <w:color w:val="FF0000"/>
        </w:rPr>
      </w:pPr>
      <w:r w:rsidRPr="00AE15DA">
        <w:rPr>
          <w:rFonts w:asciiTheme="minorHAnsi" w:hAnsiTheme="minorHAnsi" w:cstheme="minorHAnsi"/>
          <w:b/>
          <w:color w:val="FF0000"/>
          <w:rtl w:val="0"/>
          <w:lang w:val="ru"/>
        </w:rPr>
        <w:t>Использование этой группы медикаментов в условиях, соответствующих критериям, может вызвать у пожилых людей «сильные» побочные эффекты из-за взаимодействий «лекарство-болезнь», «лекарство-гериатрический синдром» и/или «лекарство-лекарство» и характеризуется как «потенциально несоответствующее употребление лекарств». Врачи-клиницисты должны принимать решение, исходя из потенциальной пользы и вреда препарата для пациента (баланс пользы и вреда) и целей лечения, определенных в соответствии с предпочтениями пациента/лица, осуществляющего уход. В некоторых случаях врачи-клиницисты могут счесть целесообразным использование этой группы препаратов. Выбирая эти препараты, их следует использовать с осторожностью и внимательно следить за клиническими проявлениями на предмет наличия побочных эффектов.</w:t>
      </w:r>
    </w:p>
    <w:p w:rsidR="007D5087" w:rsidRPr="00AE15DA" w:rsidP="0043334F" w14:paraId="562DE036" w14:textId="77777777">
      <w:pPr>
        <w:contextualSpacing/>
        <w:rPr>
          <w:rFonts w:cstheme="minorHAnsi"/>
          <w:b/>
          <w:bCs/>
          <w:lang w:eastAsia="en-GB"/>
        </w:rPr>
      </w:pPr>
    </w:p>
    <w:p w:rsidR="00FE62C6" w:rsidRPr="00FE62C6" w:rsidP="00FE62C6" w14:paraId="160AFB41" w14:textId="77777777">
      <w:pPr>
        <w:pStyle w:val="Heading3"/>
        <w:pBdr>
          <w:bottom w:val="single" w:sz="6" w:space="1" w:color="000000"/>
        </w:pBdr>
        <w:bidi w:val="0"/>
        <w:spacing w:line="360" w:lineRule="auto"/>
        <w:jc w:val="both"/>
        <w:rPr>
          <w:i/>
          <w:color w:val="000000"/>
        </w:rPr>
      </w:pPr>
      <w:r w:rsidRPr="00FE62C6">
        <w:rPr>
          <w:i/>
          <w:color w:val="000000"/>
          <w:rtl w:val="0"/>
          <w:lang w:val="ru"/>
        </w:rPr>
        <w:t>Для облегчения клинического использования к некоторым критериям добавлены пояснения, выделенные курсивом с префиксом *.</w:t>
      </w:r>
    </w:p>
    <w:p w:rsidR="00FE62C6" w:rsidP="00FE62C6" w14:paraId="3E55B837" w14:textId="77777777">
      <w:pPr>
        <w:pStyle w:val="Heading3"/>
        <w:pBdr>
          <w:bottom w:val="single" w:sz="6" w:space="1" w:color="000000"/>
        </w:pBdr>
        <w:bidi w:val="0"/>
        <w:spacing w:line="360" w:lineRule="auto"/>
        <w:jc w:val="both"/>
        <w:rPr>
          <w:i/>
          <w:color w:val="000000"/>
        </w:rPr>
      </w:pPr>
      <w:r w:rsidRPr="00FE62C6">
        <w:rPr>
          <w:i/>
          <w:color w:val="000000"/>
          <w:rtl w:val="0"/>
          <w:lang w:val="ru"/>
        </w:rPr>
        <w:t xml:space="preserve">Ссылки относятся к критериям и пояснениям, если таковые имеются. </w:t>
      </w:r>
    </w:p>
    <w:p w:rsidR="00580636" w:rsidRPr="00AE15DA" w:rsidP="0043334F" w14:paraId="38FF58BA" w14:textId="77777777">
      <w:pPr>
        <w:contextualSpacing/>
        <w:rPr>
          <w:rFonts w:cstheme="minorHAnsi"/>
          <w:bCs/>
          <w:lang w:eastAsia="en-GB"/>
        </w:rPr>
      </w:pPr>
    </w:p>
    <w:p w:rsidR="007D5087" w:rsidRPr="00AE15DA" w:rsidP="0043334F" w14:paraId="36FB9AA2" w14:textId="77777777">
      <w:pPr>
        <w:contextualSpacing/>
        <w:rPr>
          <w:rFonts w:asciiTheme="minorHAnsi" w:hAnsiTheme="minorHAnsi" w:cstheme="minorHAnsi"/>
          <w:b/>
          <w:bCs/>
          <w:sz w:val="28"/>
          <w:szCs w:val="28"/>
          <w:u w:val="single"/>
          <w:lang w:eastAsia="en-GB"/>
        </w:rPr>
      </w:pPr>
    </w:p>
    <w:p w:rsidR="00580636" w:rsidRPr="00AE15DA" w:rsidP="0043334F" w14:paraId="6D680221" w14:textId="77777777">
      <w:pPr>
        <w:bidi w:val="0"/>
        <w:contextualSpacing/>
        <w:rPr>
          <w:rFonts w:asciiTheme="minorHAnsi" w:hAnsiTheme="minorHAnsi" w:cstheme="minorHAnsi"/>
          <w:b/>
          <w:bCs/>
          <w:sz w:val="28"/>
          <w:szCs w:val="28"/>
          <w:u w:val="single"/>
          <w:lang w:eastAsia="en-GB"/>
        </w:rPr>
      </w:pPr>
      <w:r w:rsidRPr="00AE15DA">
        <w:rPr>
          <w:rFonts w:asciiTheme="minorHAnsi" w:hAnsiTheme="minorHAnsi" w:cstheme="minorHAnsi"/>
          <w:b/>
          <w:bCs/>
          <w:sz w:val="28"/>
          <w:szCs w:val="28"/>
          <w:u w:val="single"/>
          <w:rtl w:val="0"/>
          <w:lang w:val="ru" w:eastAsia="en-GB"/>
        </w:rPr>
        <w:t>Критерии НЕОБХОДИМОСТИ ПРЕКРАТИТЬ ИСПОЛЬЗОВАНИЕ (со ссылками и объяснениями)</w:t>
      </w:r>
    </w:p>
    <w:p w:rsidR="0043334F" w:rsidRPr="00AE15DA" w:rsidP="0043334F" w14:paraId="22D4841E" w14:textId="77777777">
      <w:pPr>
        <w:contextualSpacing/>
        <w:rPr>
          <w:rFonts w:asciiTheme="minorHAnsi" w:hAnsiTheme="minorHAnsi" w:cstheme="minorHAnsi"/>
          <w:b/>
          <w:bCs/>
          <w:sz w:val="28"/>
          <w:szCs w:val="28"/>
          <w:lang w:eastAsia="en-GB"/>
        </w:rPr>
      </w:pPr>
    </w:p>
    <w:p w:rsidR="00E74F94" w:rsidRPr="00AE15DA" w:rsidP="0043334F" w14:paraId="4DDD458B" w14:textId="77777777">
      <w:pPr>
        <w:pStyle w:val="paragraph"/>
        <w:bidi w:val="0"/>
        <w:spacing w:before="0" w:beforeAutospacing="0" w:after="0" w:afterAutospacing="0"/>
        <w:contextualSpacing/>
        <w:jc w:val="both"/>
        <w:textAlignment w:val="baseline"/>
        <w:rPr>
          <w:rStyle w:val="normaltextrun"/>
          <w:rFonts w:asciiTheme="minorHAnsi" w:eastAsiaTheme="majorEastAsia" w:hAnsiTheme="minorHAnsi"/>
          <w:b/>
          <w:bCs/>
          <w:sz w:val="28"/>
          <w:szCs w:val="28"/>
        </w:rPr>
      </w:pPr>
      <w:r w:rsidRPr="00AE15DA">
        <w:rPr>
          <w:rStyle w:val="normaltextrun"/>
          <w:rFonts w:asciiTheme="minorHAnsi" w:eastAsiaTheme="majorEastAsia" w:hAnsiTheme="minorHAnsi"/>
          <w:b/>
          <w:bCs/>
          <w:sz w:val="28"/>
          <w:szCs w:val="28"/>
          <w:rtl w:val="0"/>
          <w:lang w:val="ru"/>
        </w:rPr>
        <w:t>A: Критерии сердечно-сосудистой системы.</w:t>
      </w:r>
    </w:p>
    <w:p w:rsidR="00580636" w:rsidRPr="00AE15DA" w:rsidP="0043334F" w14:paraId="1E9C4FD4" w14:textId="77777777">
      <w:pPr>
        <w:pStyle w:val="paragraph"/>
        <w:spacing w:before="0" w:beforeAutospacing="0" w:after="0" w:afterAutospacing="0"/>
        <w:contextualSpacing/>
        <w:jc w:val="both"/>
        <w:textAlignment w:val="baseline"/>
        <w:rPr>
          <w:rStyle w:val="normaltextrun"/>
          <w:rFonts w:asciiTheme="minorHAnsi" w:eastAsiaTheme="majorEastAsia" w:hAnsiTheme="minorHAnsi"/>
          <w:b/>
          <w:bCs/>
          <w:sz w:val="22"/>
          <w:szCs w:val="22"/>
        </w:rPr>
      </w:pPr>
    </w:p>
    <w:p w:rsidR="00040C22" w:rsidRPr="00AE15DA" w:rsidP="0043334F" w14:paraId="6DAF3C93" w14:textId="77777777">
      <w:pPr>
        <w:pStyle w:val="paragraph"/>
        <w:bidi w:val="0"/>
        <w:spacing w:before="0" w:beforeAutospacing="0" w:after="0" w:afterAutospacing="0"/>
        <w:contextualSpacing/>
        <w:jc w:val="both"/>
        <w:textAlignment w:val="baseline"/>
        <w:rPr>
          <w:rFonts w:asciiTheme="minorHAnsi" w:eastAsiaTheme="majorEastAsia" w:hAnsiTheme="minorHAnsi"/>
          <w:b/>
          <w:bCs/>
          <w:sz w:val="22"/>
          <w:szCs w:val="22"/>
        </w:rPr>
      </w:pPr>
      <w:r w:rsidRPr="00AE15DA">
        <w:rPr>
          <w:rStyle w:val="normaltextrun"/>
          <w:rFonts w:asciiTheme="minorHAnsi" w:eastAsiaTheme="majorEastAsia" w:hAnsiTheme="minorHAnsi"/>
          <w:b/>
          <w:bCs/>
          <w:sz w:val="22"/>
          <w:szCs w:val="22"/>
          <w:rtl w:val="0"/>
          <w:lang w:val="ru"/>
        </w:rPr>
        <w:t>A1. Использование дигоксина на первом этапе лечения ФП нецелесообразно.</w:t>
      </w:r>
    </w:p>
    <w:p w:rsidR="00CA5845" w:rsidRPr="00AE15DA" w:rsidP="0043334F" w14:paraId="76B3B4F5" w14:textId="77777777">
      <w:pPr>
        <w:bidi w:val="0"/>
        <w:spacing w:after="100" w:afterAutospacing="1"/>
        <w:contextualSpacing/>
        <w:jc w:val="both"/>
        <w:rPr>
          <w:rStyle w:val="eop"/>
          <w:rFonts w:asciiTheme="minorHAnsi" w:eastAsiaTheme="majorEastAsia" w:hAnsiTheme="minorHAnsi"/>
          <w:i/>
          <w:sz w:val="22"/>
          <w:szCs w:val="22"/>
        </w:rPr>
      </w:pPr>
      <w:r w:rsidRPr="00AE15DA">
        <w:rPr>
          <w:rFonts w:asciiTheme="minorHAnsi" w:hAnsiTheme="minorHAnsi"/>
          <w:sz w:val="22"/>
          <w:szCs w:val="22"/>
          <w:rtl w:val="0"/>
          <w:lang w:val="ru"/>
        </w:rPr>
        <w:t>*</w:t>
      </w:r>
      <w:r w:rsidRPr="00AE15DA">
        <w:rPr>
          <w:rFonts w:asciiTheme="minorHAnsi" w:hAnsiTheme="minorHAnsi"/>
          <w:i/>
          <w:sz w:val="22"/>
          <w:szCs w:val="22"/>
          <w:rtl w:val="0"/>
          <w:lang w:val="ru"/>
        </w:rPr>
        <w:t xml:space="preserve"> Дигоксин при ФП можно использовать в случаях непереносимости бета-адреноблокаторов и блокаторов кальциевых каналов (например, гипотония) или в комбинированной терапии, когда этих методов лечения недостаточно. </w:t>
      </w:r>
    </w:p>
    <w:p w:rsidR="00CA5845" w:rsidRPr="00AE15DA" w:rsidP="0043334F" w14:paraId="67320806" w14:textId="77777777">
      <w:pPr>
        <w:spacing w:after="100" w:afterAutospacing="1"/>
        <w:contextualSpacing/>
        <w:jc w:val="both"/>
        <w:rPr>
          <w:rStyle w:val="eop"/>
          <w:rFonts w:asciiTheme="minorHAnsi" w:eastAsiaTheme="majorEastAsia" w:hAnsiTheme="minorHAnsi"/>
          <w:i/>
          <w:sz w:val="22"/>
          <w:szCs w:val="22"/>
        </w:rPr>
      </w:pPr>
    </w:p>
    <w:p w:rsidR="00CA5845" w:rsidRPr="00AE15DA" w:rsidP="0043334F" w14:paraId="64C3C9B5" w14:textId="77777777">
      <w:pPr>
        <w:spacing w:after="100" w:afterAutospacing="1"/>
        <w:contextualSpacing/>
        <w:jc w:val="both"/>
        <w:rPr>
          <w:rFonts w:asciiTheme="minorHAnsi" w:eastAsiaTheme="majorEastAsia" w:hAnsiTheme="minorHAnsi"/>
          <w:i/>
          <w:sz w:val="22"/>
          <w:szCs w:val="22"/>
        </w:rPr>
      </w:pPr>
    </w:p>
    <w:p w:rsidR="00CA5845" w:rsidRPr="00AE15DA" w:rsidP="0043334F" w14:paraId="461E0064" w14:textId="77777777">
      <w:pPr>
        <w:bidi w:val="0"/>
        <w:spacing w:after="100" w:afterAutospacing="1"/>
        <w:contextualSpacing/>
        <w:jc w:val="both"/>
        <w:rPr>
          <w:rFonts w:asciiTheme="minorHAnsi" w:eastAsiaTheme="majorEastAsia" w:hAnsiTheme="minorHAnsi"/>
          <w:i/>
          <w:sz w:val="22"/>
          <w:szCs w:val="22"/>
        </w:rPr>
      </w:pPr>
      <w:r w:rsidRPr="00AE15DA">
        <w:rPr>
          <w:rFonts w:asciiTheme="minorHAnsi" w:hAnsiTheme="minorHAnsi"/>
          <w:b/>
          <w:color w:val="000000"/>
          <w:sz w:val="22"/>
          <w:szCs w:val="22"/>
          <w:rtl w:val="0"/>
          <w:lang w:val="ru"/>
        </w:rPr>
        <w:t xml:space="preserve">A2. Использование дигоксина в дозах выше 0,125 мг/сут. нецелесообразно (риск токсичности). </w:t>
      </w:r>
    </w:p>
    <w:p w:rsidR="00CA5845" w:rsidRPr="00AE15DA" w:rsidP="0043334F" w14:paraId="0801DBCA" w14:textId="77777777">
      <w:pPr>
        <w:spacing w:before="100" w:beforeAutospacing="1" w:after="100" w:afterAutospacing="1"/>
        <w:contextualSpacing/>
        <w:jc w:val="both"/>
        <w:rPr>
          <w:rFonts w:asciiTheme="minorHAnsi" w:hAnsiTheme="minorHAnsi"/>
          <w:b/>
          <w:color w:val="000000"/>
          <w:sz w:val="22"/>
          <w:szCs w:val="22"/>
        </w:rPr>
      </w:pPr>
    </w:p>
    <w:p w:rsidR="0043334F" w:rsidRPr="00AE15DA" w:rsidP="0043334F" w14:paraId="528668F2" w14:textId="77777777">
      <w:pPr>
        <w:spacing w:before="100" w:beforeAutospacing="1" w:after="100" w:afterAutospacing="1"/>
        <w:contextualSpacing/>
        <w:jc w:val="both"/>
        <w:rPr>
          <w:rFonts w:asciiTheme="minorHAnsi" w:hAnsiTheme="minorHAnsi" w:cstheme="minorHAnsi"/>
          <w:sz w:val="22"/>
          <w:szCs w:val="22"/>
          <w:lang w:eastAsia="en-GB"/>
        </w:rPr>
      </w:pPr>
    </w:p>
    <w:p w:rsidR="0043334F" w:rsidRPr="00AE15DA" w:rsidP="0043334F" w14:paraId="0974EDC6" w14:textId="77777777">
      <w:pPr>
        <w:bidi w:val="0"/>
        <w:spacing w:before="100" w:beforeAutospacing="1" w:after="100" w:afterAutospacing="1"/>
        <w:contextualSpacing/>
        <w:jc w:val="both"/>
        <w:rPr>
          <w:rStyle w:val="normaltextrun"/>
          <w:rFonts w:asciiTheme="minorHAnsi" w:eastAsiaTheme="majorEastAsia" w:hAnsiTheme="minorHAnsi"/>
          <w:b/>
          <w:bCs/>
          <w:sz w:val="22"/>
          <w:szCs w:val="22"/>
        </w:rPr>
      </w:pPr>
      <w:r w:rsidRPr="00AE15DA">
        <w:rPr>
          <w:rStyle w:val="normaltextrun"/>
          <w:rFonts w:asciiTheme="minorHAnsi" w:eastAsiaTheme="majorEastAsia" w:hAnsiTheme="minorHAnsi"/>
          <w:b/>
          <w:bCs/>
          <w:sz w:val="22"/>
          <w:szCs w:val="22"/>
          <w:rtl w:val="0"/>
          <w:lang w:val="ru"/>
        </w:rPr>
        <w:t>A3. Дигоксин не подходит для применения при сердечной недостаточности с сохраненной (нормальной) ФВ.</w:t>
      </w:r>
    </w:p>
    <w:p w:rsidR="006C24B0" w:rsidRPr="00AE15DA" w:rsidP="0043334F" w14:paraId="65D280F2" w14:textId="77777777">
      <w:pPr>
        <w:bidi w:val="0"/>
        <w:spacing w:before="100" w:beforeAutospacing="1" w:after="100" w:afterAutospacing="1"/>
        <w:contextualSpacing/>
        <w:jc w:val="both"/>
        <w:rPr>
          <w:rStyle w:val="normaltextrun"/>
          <w:rFonts w:asciiTheme="minorHAnsi" w:hAnsiTheme="minorHAnsi"/>
          <w:b/>
          <w:color w:val="000000"/>
          <w:sz w:val="22"/>
          <w:szCs w:val="22"/>
        </w:rPr>
      </w:pPr>
      <w:r w:rsidRPr="00AE15DA">
        <w:rPr>
          <w:rStyle w:val="eop"/>
          <w:rFonts w:asciiTheme="minorHAnsi" w:eastAsiaTheme="majorEastAsia" w:hAnsiTheme="minorHAnsi"/>
          <w:i/>
          <w:sz w:val="22"/>
          <w:szCs w:val="22"/>
          <w:rtl w:val="0"/>
          <w:lang w:val="ru"/>
        </w:rPr>
        <w:t>* Дигоксин может быть показан при сопутствующей ФП (см. A1).</w:t>
      </w:r>
    </w:p>
    <w:p w:rsidR="00CA5845" w:rsidRPr="00AE15DA" w:rsidP="0043334F" w14:paraId="5C7ADC02" w14:textId="77777777">
      <w:pPr>
        <w:pStyle w:val="HTMLPreformatted"/>
        <w:contextualSpacing/>
        <w:jc w:val="both"/>
        <w:rPr>
          <w:rFonts w:asciiTheme="minorHAnsi" w:hAnsiTheme="minorHAnsi" w:cstheme="minorHAnsi"/>
          <w:color w:val="000000"/>
          <w:sz w:val="22"/>
          <w:szCs w:val="22"/>
        </w:rPr>
      </w:pPr>
    </w:p>
    <w:p w:rsidR="006C24B0" w:rsidRPr="00AE15DA" w:rsidP="0043334F" w14:paraId="7057272B" w14:textId="77777777">
      <w:pPr>
        <w:pStyle w:val="HTMLPreformatted"/>
        <w:bidi w:val="0"/>
        <w:contextualSpacing/>
        <w:jc w:val="both"/>
        <w:rPr>
          <w:rFonts w:asciiTheme="minorHAnsi" w:hAnsiTheme="minorHAnsi" w:cstheme="minorHAnsi"/>
          <w:color w:val="000000"/>
          <w:sz w:val="22"/>
          <w:szCs w:val="22"/>
        </w:rPr>
      </w:pPr>
      <w:r w:rsidRPr="00AE15DA">
        <w:rPr>
          <w:rFonts w:asciiTheme="minorHAnsi" w:hAnsiTheme="minorHAnsi"/>
          <w:b/>
          <w:sz w:val="22"/>
          <w:szCs w:val="22"/>
          <w:rtl w:val="0"/>
          <w:lang w:val="ru"/>
        </w:rPr>
        <w:t>A4. Использование дилтиазема или верапамила не рекомендуется при сердечной недостаточности с низким ФВ.</w:t>
      </w:r>
    </w:p>
    <w:p w:rsidR="00CA5845" w:rsidRPr="00AE15DA" w:rsidP="0043334F" w14:paraId="5A8692C8" w14:textId="77777777">
      <w:pPr>
        <w:pStyle w:val="HTMLPreformatted"/>
        <w:contextualSpacing/>
        <w:jc w:val="both"/>
        <w:rPr>
          <w:rFonts w:asciiTheme="minorHAnsi" w:hAnsiTheme="minorHAnsi" w:cstheme="minorHAnsi"/>
          <w:sz w:val="22"/>
          <w:szCs w:val="22"/>
        </w:rPr>
      </w:pPr>
    </w:p>
    <w:p w:rsidR="005E5EA5" w:rsidRPr="00AE15DA" w:rsidP="0043334F" w14:paraId="52A9EA40" w14:textId="77777777">
      <w:pPr>
        <w:spacing w:after="100" w:afterAutospacing="1"/>
        <w:contextualSpacing/>
        <w:jc w:val="both"/>
        <w:rPr>
          <w:rFonts w:asciiTheme="minorHAnsi" w:hAnsiTheme="minorHAnsi"/>
          <w:b/>
          <w:sz w:val="22"/>
          <w:szCs w:val="22"/>
        </w:rPr>
      </w:pPr>
    </w:p>
    <w:p w:rsidR="00CA5845" w:rsidRPr="00AE15DA" w:rsidP="0043334F" w14:paraId="5B8C770F" w14:textId="77777777">
      <w:pPr>
        <w:bidi w:val="0"/>
        <w:spacing w:after="100" w:afterAutospacing="1"/>
        <w:contextualSpacing/>
        <w:jc w:val="both"/>
        <w:rPr>
          <w:rFonts w:asciiTheme="minorHAnsi" w:hAnsiTheme="minorHAnsi"/>
          <w:b/>
          <w:sz w:val="22"/>
          <w:szCs w:val="22"/>
        </w:rPr>
      </w:pPr>
      <w:r w:rsidRPr="00AE15DA">
        <w:rPr>
          <w:rFonts w:asciiTheme="minorHAnsi" w:hAnsiTheme="minorHAnsi"/>
          <w:b/>
          <w:sz w:val="22"/>
          <w:szCs w:val="22"/>
          <w:rtl w:val="0"/>
          <w:lang w:val="ru"/>
        </w:rPr>
        <w:t xml:space="preserve">A5. Не рекомендуется начинать терапию, ограничивающую частоту сердечных сокращений (бета-адреноблокаторы, </w:t>
      </w:r>
      <w:r w:rsidRPr="00AE15DA">
        <w:rPr>
          <w:rFonts w:asciiTheme="minorHAnsi" w:hAnsiTheme="minorHAnsi"/>
          <w:b/>
          <w:color w:val="000000"/>
          <w:sz w:val="22"/>
          <w:szCs w:val="22"/>
          <w:rtl w:val="0"/>
          <w:lang w:val="ru"/>
        </w:rPr>
        <w:t>верапамил, дилтиазем, дигоксин)</w:t>
      </w:r>
      <w:r w:rsidRPr="00AE15DA">
        <w:rPr>
          <w:rFonts w:asciiTheme="minorHAnsi" w:hAnsiTheme="minorHAnsi"/>
          <w:b/>
          <w:sz w:val="22"/>
          <w:szCs w:val="22"/>
          <w:rtl w:val="0"/>
          <w:lang w:val="ru"/>
        </w:rPr>
        <w:t xml:space="preserve">, пациентам с брадикардией (&lt;50/мин), блокадой сердца 2-го типа или полной блокадой сердца. </w:t>
      </w:r>
    </w:p>
    <w:p w:rsidR="006C24B0" w:rsidRPr="00AE15DA" w:rsidP="0043334F" w14:paraId="36C0642D" w14:textId="77777777">
      <w:pPr>
        <w:bidi w:val="0"/>
        <w:spacing w:after="100" w:afterAutospacing="1"/>
        <w:contextualSpacing/>
        <w:jc w:val="both"/>
        <w:rPr>
          <w:rFonts w:asciiTheme="minorHAnsi" w:hAnsiTheme="minorHAnsi"/>
          <w:b/>
          <w:sz w:val="22"/>
          <w:szCs w:val="22"/>
        </w:rPr>
      </w:pPr>
      <w:r w:rsidRPr="00AE15DA">
        <w:rPr>
          <w:rFonts w:asciiTheme="minorHAnsi" w:hAnsiTheme="minorHAnsi"/>
          <w:sz w:val="22"/>
          <w:szCs w:val="22"/>
          <w:rtl w:val="0"/>
          <w:lang w:val="ru"/>
        </w:rPr>
        <w:t>*</w:t>
      </w:r>
      <w:r w:rsidRPr="00AE15DA" w:rsidR="00DB700F">
        <w:rPr>
          <w:rFonts w:asciiTheme="minorHAnsi" w:hAnsiTheme="minorHAnsi"/>
          <w:i/>
          <w:sz w:val="22"/>
          <w:szCs w:val="22"/>
          <w:rtl w:val="0"/>
          <w:lang w:val="ru"/>
        </w:rPr>
        <w:t xml:space="preserve"> Бета-адреноблокаторы относительно противопоказаны в случаях с интервалом PR&gt; 240 мс. Пациентам, которые в настоящее время принимают бета-адреноблокаторы, дилтиазем, верапамил, дигоксин, снижение дозы следует проводить при наличии брадикардии (&lt;50/мин).</w:t>
      </w:r>
    </w:p>
    <w:p w:rsidR="009B4E92" w:rsidRPr="00AE15DA" w:rsidP="0043334F" w14:paraId="0DCFD124" w14:textId="77777777">
      <w:pPr>
        <w:spacing w:before="100" w:beforeAutospacing="1" w:after="100" w:afterAutospacing="1"/>
        <w:contextualSpacing/>
        <w:jc w:val="both"/>
        <w:rPr>
          <w:rFonts w:asciiTheme="minorHAnsi" w:hAnsiTheme="minorHAnsi" w:cstheme="minorHAnsi"/>
          <w:sz w:val="22"/>
          <w:szCs w:val="22"/>
        </w:rPr>
      </w:pPr>
    </w:p>
    <w:p w:rsidR="00EB686B" w:rsidRPr="00AE15DA" w:rsidP="0043334F" w14:paraId="50B53F57" w14:textId="77777777">
      <w:pPr>
        <w:spacing w:before="100" w:beforeAutospacing="1" w:after="100" w:afterAutospacing="1"/>
        <w:contextualSpacing/>
        <w:jc w:val="both"/>
        <w:rPr>
          <w:rFonts w:asciiTheme="minorHAnsi" w:hAnsiTheme="minorHAnsi"/>
          <w:b/>
          <w:sz w:val="22"/>
          <w:szCs w:val="22"/>
        </w:rPr>
      </w:pPr>
    </w:p>
    <w:p w:rsidR="009B4E92" w:rsidRPr="00AE15DA" w:rsidP="0043334F" w14:paraId="544BBDAD" w14:textId="77777777">
      <w:pPr>
        <w:spacing w:before="100" w:beforeAutospacing="1" w:after="100" w:afterAutospacing="1"/>
        <w:contextualSpacing/>
        <w:jc w:val="both"/>
        <w:rPr>
          <w:rFonts w:asciiTheme="minorHAnsi" w:hAnsiTheme="minorHAnsi"/>
          <w:b/>
          <w:sz w:val="22"/>
          <w:szCs w:val="22"/>
        </w:rPr>
      </w:pPr>
    </w:p>
    <w:p w:rsidR="00325178" w:rsidRPr="00AE15DA" w:rsidP="0043334F" w14:paraId="78B88437" w14:textId="77777777">
      <w:pPr>
        <w:bidi w:val="0"/>
        <w:spacing w:before="100" w:beforeAutospacing="1" w:after="100" w:afterAutospacing="1"/>
        <w:contextualSpacing/>
        <w:jc w:val="both"/>
        <w:rPr>
          <w:rFonts w:asciiTheme="minorHAnsi" w:hAnsiTheme="minorHAnsi"/>
          <w:b/>
          <w:sz w:val="22"/>
          <w:szCs w:val="22"/>
        </w:rPr>
      </w:pPr>
      <w:r w:rsidRPr="00AE15DA">
        <w:rPr>
          <w:rFonts w:asciiTheme="minorHAnsi" w:hAnsiTheme="minorHAnsi"/>
          <w:b/>
          <w:sz w:val="22"/>
          <w:szCs w:val="22"/>
          <w:rtl w:val="0"/>
          <w:lang w:val="ru"/>
        </w:rPr>
        <w:t xml:space="preserve">A6. Петлевые диуретики не подходят при отеке лодыжки без клинических, биохимических или радиологических признаков сердечной недостаточности, печеночной недостаточности, нефротического синдрома или почечной недостаточности </w:t>
      </w:r>
      <w:r w:rsidRPr="00AE15DA">
        <w:rPr>
          <w:rFonts w:asciiTheme="minorHAnsi" w:hAnsiTheme="minorHAnsi"/>
          <w:b/>
          <w:color w:val="222222"/>
          <w:sz w:val="22"/>
          <w:szCs w:val="22"/>
          <w:rtl w:val="0"/>
          <w:lang w:val="ru"/>
        </w:rPr>
        <w:t>(обычно более уместны отдых с поднятыми вверх ногами и/или компрессионные чулки)</w:t>
      </w:r>
      <w:r w:rsidRPr="00AE15DA">
        <w:rPr>
          <w:rFonts w:asciiTheme="minorHAnsi" w:hAnsiTheme="minorHAnsi"/>
          <w:b/>
          <w:sz w:val="22"/>
          <w:szCs w:val="22"/>
          <w:rtl w:val="0"/>
          <w:lang w:val="ru"/>
        </w:rPr>
        <w:t>.</w:t>
      </w:r>
    </w:p>
    <w:p w:rsidR="009B4E92" w:rsidRPr="00AE15DA" w:rsidP="0043334F" w14:paraId="59B5212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rPr>
      </w:pPr>
    </w:p>
    <w:p w:rsidR="00EB686B" w:rsidRPr="00AE15DA" w:rsidP="0043334F" w14:paraId="0A4FBBC7" w14:textId="77777777">
      <w:pPr>
        <w:autoSpaceDE w:val="0"/>
        <w:autoSpaceDN w:val="0"/>
        <w:adjustRightInd w:val="0"/>
        <w:contextualSpacing/>
        <w:jc w:val="both"/>
        <w:rPr>
          <w:rFonts w:asciiTheme="minorHAnsi" w:hAnsiTheme="minorHAnsi"/>
          <w:b/>
          <w:color w:val="000000"/>
          <w:sz w:val="22"/>
          <w:szCs w:val="22"/>
        </w:rPr>
      </w:pPr>
    </w:p>
    <w:p w:rsidR="00A964BC" w:rsidRPr="00AE15DA" w:rsidP="0043334F" w14:paraId="2FE376B8" w14:textId="77777777">
      <w:pPr>
        <w:autoSpaceDE w:val="0"/>
        <w:autoSpaceDN w:val="0"/>
        <w:bidi w:val="0"/>
        <w:adjustRightInd w:val="0"/>
        <w:contextualSpacing/>
        <w:jc w:val="both"/>
        <w:rPr>
          <w:rFonts w:asciiTheme="minorHAnsi" w:hAnsiTheme="minorHAnsi"/>
          <w:b/>
          <w:color w:val="000000" w:themeColor="text1"/>
          <w:sz w:val="22"/>
          <w:szCs w:val="22"/>
        </w:rPr>
      </w:pPr>
      <w:r w:rsidRPr="00AE15DA">
        <w:rPr>
          <w:rFonts w:asciiTheme="minorHAnsi" w:hAnsiTheme="minorHAnsi"/>
          <w:b/>
          <w:color w:val="000000"/>
          <w:sz w:val="22"/>
          <w:szCs w:val="22"/>
          <w:rtl w:val="0"/>
          <w:lang w:val="ru"/>
        </w:rPr>
        <w:t xml:space="preserve">A7. Несмотря на отсутствие конкретных указаний, бета-адреноблокаторы не подходят для терапии первой линии эссенциальной ГТ </w:t>
      </w:r>
      <w:r w:rsidRPr="00AE15DA">
        <w:rPr>
          <w:rFonts w:asciiTheme="minorHAnsi" w:hAnsiTheme="minorHAnsi"/>
          <w:b/>
          <w:sz w:val="22"/>
          <w:szCs w:val="22"/>
          <w:rtl w:val="0"/>
          <w:lang w:val="ru"/>
        </w:rPr>
        <w:t>(из-за повышенного риска сердечной блокады, утомляемости, сексуальной дисфункции и меньшей эффективности в предотвращении инсульта;</w:t>
      </w:r>
      <w:r w:rsidRPr="00AE15DA">
        <w:rPr>
          <w:rFonts w:asciiTheme="minorHAnsi" w:hAnsiTheme="minorHAnsi"/>
          <w:b/>
          <w:color w:val="000000"/>
          <w:sz w:val="22"/>
          <w:szCs w:val="22"/>
          <w:rtl w:val="0"/>
          <w:lang w:val="ru"/>
        </w:rPr>
        <w:t xml:space="preserve"> кроме того, функция β-адренорецепторов снижается с возрастом).</w:t>
      </w:r>
    </w:p>
    <w:p w:rsidR="002A1E62" w:rsidRPr="00AE15DA" w:rsidP="0043334F" w14:paraId="07B91CA5" w14:textId="77777777">
      <w:pPr>
        <w:contextualSpacing/>
        <w:jc w:val="both"/>
        <w:rPr>
          <w:rFonts w:asciiTheme="minorHAnsi" w:hAnsiTheme="minorHAnsi"/>
          <w:b/>
          <w:sz w:val="22"/>
          <w:szCs w:val="22"/>
        </w:rPr>
      </w:pPr>
    </w:p>
    <w:p w:rsidR="002A1E62" w:rsidRPr="00AE15DA" w:rsidP="0043334F" w14:paraId="638CA2EE" w14:textId="77777777">
      <w:pPr>
        <w:contextualSpacing/>
        <w:jc w:val="both"/>
        <w:rPr>
          <w:rFonts w:asciiTheme="minorHAnsi" w:hAnsiTheme="minorHAnsi"/>
          <w:b/>
          <w:sz w:val="22"/>
          <w:szCs w:val="22"/>
        </w:rPr>
      </w:pPr>
    </w:p>
    <w:p w:rsidR="004E6DCE" w:rsidRPr="00AE15DA" w:rsidP="0043334F" w14:paraId="25537F1F" w14:textId="77777777">
      <w:pPr>
        <w:bidi w:val="0"/>
        <w:contextualSpacing/>
        <w:jc w:val="both"/>
        <w:rPr>
          <w:rFonts w:asciiTheme="minorHAnsi" w:hAnsiTheme="minorHAnsi"/>
          <w:b/>
          <w:sz w:val="22"/>
          <w:szCs w:val="22"/>
        </w:rPr>
      </w:pPr>
      <w:r w:rsidRPr="00AE15DA">
        <w:rPr>
          <w:rFonts w:asciiTheme="minorHAnsi" w:hAnsiTheme="minorHAnsi"/>
          <w:b/>
          <w:sz w:val="22"/>
          <w:szCs w:val="22"/>
          <w:rtl w:val="0"/>
          <w:lang w:val="ru"/>
        </w:rPr>
        <w:t>A8. У пациентов с недержанием мочи использование диуретиков не подходит для терапии первой линии эссенциальной ГТ (это может ухудшить качество жизни из-за усиления недержания мочи и чувства позывов, учащения падений).</w:t>
      </w:r>
    </w:p>
    <w:p w:rsidR="006C24B0" w:rsidRPr="00AE15DA" w:rsidP="0043334F" w14:paraId="0F408901" w14:textId="77777777">
      <w:pPr>
        <w:bidi w:val="0"/>
        <w:spacing w:after="100" w:afterAutospacing="1"/>
        <w:contextualSpacing/>
        <w:jc w:val="both"/>
        <w:rPr>
          <w:rFonts w:asciiTheme="minorHAnsi" w:hAnsiTheme="minorHAnsi"/>
          <w:i/>
          <w:color w:val="000000" w:themeColor="text1"/>
          <w:sz w:val="22"/>
          <w:szCs w:val="22"/>
        </w:rPr>
      </w:pPr>
      <w:r w:rsidRPr="00AE15DA">
        <w:rPr>
          <w:rFonts w:asciiTheme="minorHAnsi" w:hAnsiTheme="minorHAnsi"/>
          <w:i/>
          <w:color w:val="000000" w:themeColor="text1"/>
          <w:sz w:val="22"/>
          <w:szCs w:val="22"/>
          <w:rtl w:val="0"/>
          <w:lang w:val="ru"/>
        </w:rPr>
        <w:t xml:space="preserve">* В целом диуретики у пожилых людей могут уменьшать объем/ увеличивать частоту мочеиспускания, вызывать ощущение сдавливания, ухудшая качество жизни, также могут спровоцировать падение. В связи с этим, следует внимательно следить за случаями использования диуретиков.  </w:t>
      </w:r>
    </w:p>
    <w:p w:rsidR="00CA5845" w:rsidP="0043334F" w14:paraId="2DF5B03F" w14:textId="274E5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rPr>
      </w:pPr>
    </w:p>
    <w:p w:rsidR="00E85274" w:rsidRPr="00AE15DA" w:rsidP="0043334F" w14:paraId="0450052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p>
    <w:p w:rsidR="006C24B0" w:rsidRPr="00AE15DA" w:rsidP="0043334F" w14:paraId="45772BE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contextualSpacing/>
        <w:jc w:val="both"/>
        <w:rPr>
          <w:rFonts w:asciiTheme="minorHAnsi" w:hAnsiTheme="minorHAnsi" w:cstheme="minorHAnsi"/>
          <w:color w:val="000000"/>
          <w:sz w:val="22"/>
          <w:szCs w:val="22"/>
        </w:rPr>
      </w:pPr>
      <w:r w:rsidRPr="00AE15DA">
        <w:rPr>
          <w:rFonts w:asciiTheme="minorHAnsi" w:hAnsiTheme="minorHAnsi"/>
          <w:b/>
          <w:color w:val="000000"/>
          <w:sz w:val="22"/>
          <w:szCs w:val="22"/>
          <w:rtl w:val="0"/>
          <w:lang w:val="ru"/>
        </w:rPr>
        <w:t xml:space="preserve">A9. Для лечения ГТ не подходит использование блокаторов альфа-1 или гипотензивных средств </w:t>
      </w:r>
      <w:r w:rsidRPr="00AE15DA">
        <w:rPr>
          <w:rFonts w:asciiTheme="minorHAnsi" w:hAnsiTheme="minorHAnsi"/>
          <w:b/>
          <w:sz w:val="22"/>
          <w:szCs w:val="22"/>
          <w:rtl w:val="0"/>
          <w:lang w:val="ru"/>
        </w:rPr>
        <w:t xml:space="preserve">центрального действия (например, метилдопы, рилменидина, </w:t>
      </w:r>
      <w:r w:rsidRPr="00AE15DA">
        <w:rPr>
          <w:rFonts w:asciiTheme="minorHAnsi" w:hAnsiTheme="minorHAnsi"/>
          <w:b/>
          <w:color w:val="000000"/>
          <w:sz w:val="22"/>
          <w:szCs w:val="22"/>
          <w:rtl w:val="0"/>
          <w:lang w:val="ru"/>
        </w:rPr>
        <w:t>резерпина</w:t>
      </w:r>
      <w:r w:rsidRPr="00AE15DA">
        <w:rPr>
          <w:rFonts w:asciiTheme="minorHAnsi" w:hAnsiTheme="minorHAnsi"/>
          <w:b/>
          <w:sz w:val="22"/>
          <w:szCs w:val="22"/>
          <w:rtl w:val="0"/>
          <w:lang w:val="ru"/>
        </w:rPr>
        <w:t xml:space="preserve">) </w:t>
      </w:r>
      <w:r w:rsidRPr="00AE15DA">
        <w:rPr>
          <w:rFonts w:asciiTheme="minorHAnsi" w:hAnsiTheme="minorHAnsi"/>
          <w:b/>
          <w:color w:val="000000"/>
          <w:sz w:val="22"/>
          <w:szCs w:val="22"/>
          <w:rtl w:val="0"/>
          <w:lang w:val="ru"/>
        </w:rPr>
        <w:t xml:space="preserve">за исключением случаев, когда другие классы гипотензивных средств не переносятся или неэффективны </w:t>
      </w:r>
      <w:r w:rsidRPr="00AE15DA">
        <w:rPr>
          <w:rFonts w:asciiTheme="minorHAnsi" w:hAnsiTheme="minorHAnsi"/>
          <w:sz w:val="22"/>
          <w:szCs w:val="22"/>
          <w:rtl w:val="0"/>
          <w:lang w:val="ru"/>
        </w:rPr>
        <w:t>(</w:t>
      </w:r>
      <w:r w:rsidRPr="00AE15DA">
        <w:rPr>
          <w:rFonts w:asciiTheme="minorHAnsi" w:hAnsiTheme="minorHAnsi"/>
          <w:b/>
          <w:sz w:val="22"/>
          <w:szCs w:val="22"/>
          <w:rtl w:val="0"/>
          <w:lang w:val="ru"/>
        </w:rPr>
        <w:t>альфа-1-блокаторы могут вызвать сердечную недостаточность и учащение сердечно-сосудистых событий, ортостатическую гипотензию, падения, обмороки, усиление недержания мочи у женщин, антигипертензивные средства центрального действия могут вызвать побочные эффекты со стороны ЦНС, седативный эффект, депрессию, паркинсонизм и ортостатическую гипотензию, брадикардию).</w:t>
      </w:r>
    </w:p>
    <w:p w:rsidR="009B4E92" w:rsidRPr="00AE15DA" w:rsidP="0043334F" w14:paraId="07DB9CDA" w14:textId="77777777">
      <w:pPr>
        <w:pStyle w:val="HTMLPreformatted"/>
        <w:contextualSpacing/>
        <w:jc w:val="both"/>
        <w:rPr>
          <w:rFonts w:asciiTheme="minorHAnsi" w:hAnsiTheme="minorHAnsi" w:cstheme="minorHAnsi"/>
          <w:color w:val="000000" w:themeColor="text1"/>
          <w:sz w:val="22"/>
          <w:szCs w:val="22"/>
        </w:rPr>
      </w:pPr>
    </w:p>
    <w:p w:rsidR="00C75B3A" w:rsidRPr="00AE15DA" w:rsidP="0043334F" w14:paraId="70B7A5E3" w14:textId="77777777">
      <w:pPr>
        <w:pStyle w:val="HTMLPreformatted"/>
        <w:contextualSpacing/>
        <w:jc w:val="both"/>
        <w:rPr>
          <w:rFonts w:asciiTheme="minorHAnsi" w:hAnsiTheme="minorHAnsi" w:cstheme="minorHAnsi"/>
          <w:color w:val="000000"/>
          <w:sz w:val="22"/>
          <w:szCs w:val="22"/>
        </w:rPr>
      </w:pPr>
    </w:p>
    <w:p w:rsidR="006C24B0" w:rsidRPr="00AE15DA" w:rsidP="0043334F" w14:paraId="5063E76E" w14:textId="77777777">
      <w:pPr>
        <w:pStyle w:val="HTMLPreformatted"/>
        <w:bidi w:val="0"/>
        <w:contextualSpacing/>
        <w:jc w:val="both"/>
        <w:rPr>
          <w:rFonts w:asciiTheme="minorHAnsi" w:hAnsiTheme="minorHAnsi" w:cstheme="minorHAnsi"/>
          <w:color w:val="000000"/>
          <w:sz w:val="22"/>
          <w:szCs w:val="22"/>
        </w:rPr>
      </w:pPr>
      <w:r w:rsidRPr="00AE15DA">
        <w:rPr>
          <w:rFonts w:asciiTheme="minorHAnsi" w:hAnsiTheme="minorHAnsi"/>
          <w:b/>
          <w:sz w:val="22"/>
          <w:szCs w:val="22"/>
          <w:rtl w:val="0"/>
          <w:lang w:val="ru"/>
        </w:rPr>
        <w:t xml:space="preserve">A10. Сосудорасширяющие гипотензивные средства (альфа-1-блокаторы)/нитраты не подходят пациентам с ортостатической гипотензией (снижение систолического артериального давления на &gt;=20 мм рт.ст. или снижение диастолического артериального давления &gt;=10 мм рт.ст.) - риск усиления ортостатической гипотензии. </w:t>
      </w:r>
    </w:p>
    <w:p w:rsidR="008073BC" w:rsidRPr="00AE15DA" w:rsidP="0043334F" w14:paraId="23B24B71" w14:textId="77777777">
      <w:pPr>
        <w:bidi w:val="0"/>
        <w:contextualSpacing/>
        <w:jc w:val="both"/>
        <w:rPr>
          <w:rFonts w:asciiTheme="minorHAnsi" w:hAnsiTheme="minorHAnsi"/>
          <w:i/>
          <w:sz w:val="22"/>
          <w:szCs w:val="22"/>
        </w:rPr>
      </w:pPr>
      <w:r w:rsidRPr="00AE15DA">
        <w:rPr>
          <w:rFonts w:asciiTheme="minorHAnsi" w:hAnsiTheme="minorHAnsi"/>
          <w:i/>
          <w:sz w:val="22"/>
          <w:szCs w:val="22"/>
          <w:rtl w:val="0"/>
          <w:lang w:val="ru"/>
        </w:rPr>
        <w:t>* Использование сосудорасширяющих гипотензивных средств при наличии ортостатической гипотензии может быть целесообразным только в том случае, если тяжелая ГТ в положении лежа на спине не может контролироваться другими гипотензивными средствами. При их использовании одновременно должны применяться защитные меры против ортостатической гипотензии. При наличии ортостатической гипотензии все гипотензивные средства следует оценивать на предмет снижения дозы.</w:t>
      </w:r>
    </w:p>
    <w:p w:rsidR="009B4E92" w:rsidRPr="00AE15DA" w:rsidP="0043334F" w14:paraId="0A04F7C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lang w:eastAsia="en-GB"/>
        </w:rPr>
      </w:pPr>
    </w:p>
    <w:p w:rsidR="00E86B5B" w:rsidRPr="00AE15DA" w:rsidP="0043334F" w14:paraId="2E594CB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b/>
          <w:sz w:val="22"/>
          <w:szCs w:val="22"/>
        </w:rPr>
      </w:pPr>
    </w:p>
    <w:p w:rsidR="009B4E92" w:rsidRPr="00AE15DA" w:rsidP="0043334F" w14:paraId="32E0A36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contextualSpacing/>
        <w:jc w:val="both"/>
        <w:rPr>
          <w:rFonts w:asciiTheme="minorHAnsi" w:hAnsiTheme="minorHAnsi"/>
          <w:color w:val="000000"/>
          <w:sz w:val="22"/>
          <w:szCs w:val="22"/>
          <w:vertAlign w:val="superscript"/>
        </w:rPr>
      </w:pPr>
      <w:r w:rsidRPr="00AE15DA">
        <w:rPr>
          <w:rFonts w:asciiTheme="minorHAnsi" w:hAnsiTheme="minorHAnsi"/>
          <w:b/>
          <w:sz w:val="22"/>
          <w:szCs w:val="22"/>
          <w:rtl w:val="0"/>
          <w:lang w:val="ru"/>
        </w:rPr>
        <w:t xml:space="preserve">A11. Пациентам с ортостатической гипотензией/когнитивными нарушениями (например, деменцией) /функциональными ограничениями/низкой продолжительностью жизни (&lt;2 лет) /высоким риском падения не подходит жесткий контроль артериального давления (&lt;140/90 мм рт. ст.). </w:t>
      </w:r>
    </w:p>
    <w:p w:rsidR="00C75B3A" w:rsidRPr="00AE15DA" w:rsidP="0043334F" w14:paraId="5DC1FA9A" w14:textId="77777777">
      <w:pPr>
        <w:autoSpaceDE w:val="0"/>
        <w:autoSpaceDN w:val="0"/>
        <w:adjustRightInd w:val="0"/>
        <w:contextualSpacing/>
        <w:jc w:val="both"/>
        <w:rPr>
          <w:rFonts w:asciiTheme="minorHAnsi" w:eastAsiaTheme="minorHAnsi" w:hAnsiTheme="minorHAnsi" w:cstheme="minorHAnsi"/>
          <w:sz w:val="22"/>
          <w:szCs w:val="22"/>
        </w:rPr>
      </w:pPr>
    </w:p>
    <w:p w:rsidR="00C75B3A" w:rsidRPr="00AE15DA" w:rsidP="0043334F" w14:paraId="75B7CC4B" w14:textId="77777777">
      <w:pPr>
        <w:autoSpaceDE w:val="0"/>
        <w:autoSpaceDN w:val="0"/>
        <w:adjustRightInd w:val="0"/>
        <w:contextualSpacing/>
        <w:jc w:val="both"/>
        <w:rPr>
          <w:rFonts w:asciiTheme="minorHAnsi" w:eastAsiaTheme="minorHAnsi" w:hAnsiTheme="minorHAnsi" w:cstheme="minorHAnsi"/>
          <w:sz w:val="22"/>
          <w:szCs w:val="22"/>
        </w:rPr>
      </w:pPr>
    </w:p>
    <w:p w:rsidR="006C24B0" w:rsidRPr="00AE15DA" w:rsidP="0043334F" w14:paraId="27255E19" w14:textId="77777777">
      <w:pPr>
        <w:autoSpaceDE w:val="0"/>
        <w:autoSpaceDN w:val="0"/>
        <w:bidi w:val="0"/>
        <w:adjustRightInd w:val="0"/>
        <w:contextualSpacing/>
        <w:jc w:val="both"/>
        <w:rPr>
          <w:rFonts w:asciiTheme="minorHAnsi" w:eastAsiaTheme="minorHAnsi" w:hAnsiTheme="minorHAnsi" w:cstheme="minorHAnsi"/>
          <w:sz w:val="22"/>
          <w:szCs w:val="22"/>
        </w:rPr>
      </w:pPr>
      <w:r w:rsidRPr="00AE15DA">
        <w:rPr>
          <w:rFonts w:asciiTheme="minorHAnsi" w:hAnsiTheme="minorHAnsi"/>
          <w:b/>
          <w:sz w:val="22"/>
          <w:szCs w:val="22"/>
          <w:rtl w:val="0"/>
          <w:lang w:val="ru"/>
        </w:rPr>
        <w:t xml:space="preserve">A12. </w:t>
      </w:r>
      <w:r w:rsidRPr="00AE15DA" w:rsidR="00BA7BF0">
        <w:rPr>
          <w:rFonts w:asciiTheme="minorHAnsi" w:hAnsiTheme="minorHAnsi"/>
          <w:b/>
          <w:color w:val="000000"/>
          <w:sz w:val="22"/>
          <w:szCs w:val="22"/>
          <w:rtl w:val="0"/>
          <w:lang w:val="ru"/>
        </w:rPr>
        <w:t>Флюдрокортизон не подходит для лечения ортостатической гипотензии без исключения вторичных факторов и применения немедикаментозных подходов.</w:t>
      </w:r>
    </w:p>
    <w:p w:rsidR="009B4E92" w:rsidRPr="00AE15DA" w:rsidP="0043334F" w14:paraId="5F979A81" w14:textId="77777777">
      <w:pPr>
        <w:bidi w:val="0"/>
        <w:spacing w:after="100" w:afterAutospacing="1"/>
        <w:contextualSpacing/>
        <w:jc w:val="both"/>
        <w:rPr>
          <w:rFonts w:asciiTheme="minorHAnsi" w:hAnsiTheme="minorHAnsi"/>
          <w:i/>
          <w:sz w:val="22"/>
          <w:szCs w:val="22"/>
        </w:rPr>
      </w:pPr>
      <w:r w:rsidRPr="00AE15DA">
        <w:rPr>
          <w:rFonts w:asciiTheme="minorHAnsi" w:hAnsiTheme="minorHAnsi"/>
          <w:i/>
          <w:color w:val="000000" w:themeColor="text1"/>
          <w:sz w:val="22"/>
          <w:szCs w:val="22"/>
          <w:rtl w:val="0"/>
          <w:lang w:val="ru"/>
        </w:rPr>
        <w:t>* Немедикаментозные подходы к лечению ортостатической гипотензии включают в себя:</w:t>
      </w:r>
      <w:r w:rsidRPr="00AE15DA">
        <w:rPr>
          <w:rFonts w:asciiTheme="minorHAnsi" w:hAnsiTheme="minorHAnsi"/>
          <w:i/>
          <w:sz w:val="22"/>
          <w:szCs w:val="22"/>
          <w:rtl w:val="0"/>
          <w:lang w:val="ru"/>
        </w:rPr>
        <w:t xml:space="preserve"> медленное вставание, упражнения на сопротивление для нижних конечностей, ношение компрессионных чулок, адекватное потребление жидкости [2–3 л/день], отказ от алкоголя, частый прием пищи небольшими порциями, адекватное потребление соли [6-10 г/день], воздержание от потребления богатых углеводами продуктов, воздержание от интенсивных упражнений в жаркую погоду, в лежачем положении голова поднята на 30-45 градусов. </w:t>
      </w:r>
    </w:p>
    <w:p w:rsidR="00C75B3A" w:rsidRPr="00AE15DA" w:rsidP="0043334F" w14:paraId="560F3442" w14:textId="77777777">
      <w:pPr>
        <w:spacing w:after="100" w:afterAutospacing="1"/>
        <w:contextualSpacing/>
        <w:jc w:val="both"/>
        <w:rPr>
          <w:rFonts w:asciiTheme="minorHAnsi" w:hAnsiTheme="minorHAnsi"/>
          <w:i/>
          <w:sz w:val="22"/>
          <w:szCs w:val="22"/>
        </w:rPr>
      </w:pPr>
    </w:p>
    <w:p w:rsidR="0077695B" w:rsidRPr="00AE15DA" w:rsidP="0043334F" w14:paraId="63FE8218" w14:textId="77777777">
      <w:pPr>
        <w:spacing w:before="100" w:beforeAutospacing="1"/>
        <w:contextualSpacing/>
        <w:jc w:val="both"/>
        <w:rPr>
          <w:rFonts w:asciiTheme="minorHAnsi" w:hAnsiTheme="minorHAnsi"/>
          <w:b/>
          <w:sz w:val="22"/>
          <w:szCs w:val="22"/>
        </w:rPr>
      </w:pPr>
    </w:p>
    <w:p w:rsidR="006C24B0" w:rsidRPr="00AE15DA" w:rsidP="0043334F" w14:paraId="35D1CC07" w14:textId="77777777">
      <w:pPr>
        <w:bidi w:val="0"/>
        <w:spacing w:before="100" w:beforeAutospacing="1"/>
        <w:contextualSpacing/>
        <w:jc w:val="both"/>
        <w:rPr>
          <w:rFonts w:asciiTheme="minorHAnsi" w:hAnsiTheme="minorHAnsi"/>
          <w:b/>
          <w:sz w:val="22"/>
          <w:szCs w:val="22"/>
        </w:rPr>
      </w:pPr>
      <w:r w:rsidRPr="00AE15DA">
        <w:rPr>
          <w:rFonts w:asciiTheme="minorHAnsi" w:hAnsiTheme="minorHAnsi"/>
          <w:b/>
          <w:sz w:val="22"/>
          <w:szCs w:val="22"/>
          <w:rtl w:val="0"/>
          <w:lang w:val="ru"/>
        </w:rPr>
        <w:t>A13. Пациентам с ГТ не рекомендуется использование бета-адреноблокатора и комбинации верапамила/дилтиазема (риск сердечной блокады).</w:t>
      </w:r>
    </w:p>
    <w:p w:rsidR="00EC68B4" w:rsidRPr="00AE15DA" w:rsidP="0043334F" w14:paraId="4C8D054E" w14:textId="77777777">
      <w:pPr>
        <w:bidi w:val="0"/>
        <w:contextualSpacing/>
        <w:jc w:val="both"/>
        <w:rPr>
          <w:rFonts w:asciiTheme="minorHAnsi" w:hAnsiTheme="minorHAnsi"/>
          <w:i/>
          <w:color w:val="000000" w:themeColor="text1"/>
          <w:sz w:val="22"/>
          <w:szCs w:val="22"/>
        </w:rPr>
      </w:pPr>
      <w:r w:rsidRPr="00AE15DA">
        <w:rPr>
          <w:rFonts w:asciiTheme="minorHAnsi" w:hAnsiTheme="minorHAnsi"/>
          <w:i/>
          <w:color w:val="000000" w:themeColor="text1"/>
          <w:sz w:val="22"/>
          <w:szCs w:val="22"/>
          <w:rtl w:val="0"/>
          <w:lang w:val="ru"/>
        </w:rPr>
        <w:t>* При лечении ГТ у пожилых людей обычно предпочтительнее дигидропиридиновая группа блокаторов кальциевых каналов длительного действия (использование верапамила/дилтиазема может увеличить риск сердечной блокады).</w:t>
      </w:r>
    </w:p>
    <w:p w:rsidR="006C24B0" w:rsidRPr="00AE15DA" w:rsidP="0043334F" w14:paraId="5911563A" w14:textId="77777777">
      <w:pPr>
        <w:bidi w:val="0"/>
        <w:contextualSpacing/>
        <w:jc w:val="both"/>
        <w:rPr>
          <w:rFonts w:asciiTheme="minorHAnsi" w:hAnsiTheme="minorHAnsi"/>
          <w:i/>
          <w:sz w:val="22"/>
          <w:szCs w:val="22"/>
        </w:rPr>
      </w:pPr>
      <w:r w:rsidRPr="00AE15DA">
        <w:rPr>
          <w:rFonts w:asciiTheme="minorHAnsi" w:hAnsiTheme="minorHAnsi"/>
          <w:i/>
          <w:sz w:val="22"/>
          <w:szCs w:val="22"/>
          <w:rtl w:val="0"/>
          <w:lang w:val="ru"/>
        </w:rPr>
        <w:t>* Комбинация бета-адреноблокаторов с верапамилом/дилтиаземом может быть уместной в некоторых</w:t>
      </w:r>
      <w:r w:rsidRPr="00AE15DA">
        <w:rPr>
          <w:rFonts w:asciiTheme="minorHAnsi" w:hAnsiTheme="minorHAnsi"/>
          <w:i/>
          <w:color w:val="000000"/>
          <w:sz w:val="22"/>
          <w:szCs w:val="22"/>
          <w:rtl w:val="0"/>
          <w:lang w:val="ru"/>
        </w:rPr>
        <w:t xml:space="preserve"> случаях наджелудочковой тахикардии.</w:t>
      </w:r>
      <w:r w:rsidRPr="00AE15DA">
        <w:rPr>
          <w:rFonts w:asciiTheme="minorHAnsi" w:hAnsiTheme="minorHAnsi"/>
          <w:i/>
          <w:color w:val="000000"/>
          <w:sz w:val="22"/>
          <w:szCs w:val="22"/>
          <w:rtl w:val="0"/>
          <w:lang w:val="ru"/>
        </w:rPr>
        <w:t xml:space="preserve"> В этом случае их следует использовать с осторожностью. </w:t>
      </w:r>
    </w:p>
    <w:p w:rsidR="0077695B" w:rsidP="0043334F" w14:paraId="77A0F571" w14:textId="0CE1A7B2">
      <w:pPr>
        <w:contextualSpacing/>
        <w:jc w:val="both"/>
        <w:rPr>
          <w:rFonts w:asciiTheme="minorHAnsi" w:hAnsiTheme="minorHAnsi"/>
          <w:i/>
          <w:color w:val="44546A" w:themeColor="text2"/>
          <w:sz w:val="22"/>
          <w:szCs w:val="22"/>
        </w:rPr>
      </w:pPr>
    </w:p>
    <w:p w:rsidR="00E85274" w:rsidRPr="00AE15DA" w:rsidP="0043334F" w14:paraId="47EB0FEF" w14:textId="77777777">
      <w:pPr>
        <w:contextualSpacing/>
        <w:jc w:val="both"/>
        <w:rPr>
          <w:rFonts w:asciiTheme="minorHAnsi" w:hAnsiTheme="minorHAnsi"/>
          <w:b/>
          <w:sz w:val="22"/>
          <w:szCs w:val="22"/>
        </w:rPr>
      </w:pPr>
    </w:p>
    <w:p w:rsidR="0018466D" w:rsidRPr="00AE15DA" w:rsidP="0043334F" w14:paraId="74F4F62B" w14:textId="77777777">
      <w:pPr>
        <w:bidi w:val="0"/>
        <w:contextualSpacing/>
        <w:jc w:val="both"/>
        <w:rPr>
          <w:rFonts w:asciiTheme="minorHAnsi" w:hAnsiTheme="minorHAnsi"/>
          <w:b/>
          <w:sz w:val="22"/>
          <w:szCs w:val="22"/>
        </w:rPr>
      </w:pPr>
      <w:r w:rsidRPr="00AE15DA">
        <w:rPr>
          <w:rFonts w:asciiTheme="minorHAnsi" w:hAnsiTheme="minorHAnsi"/>
          <w:b/>
          <w:sz w:val="22"/>
          <w:szCs w:val="22"/>
          <w:rtl w:val="0"/>
          <w:lang w:val="ru"/>
        </w:rPr>
        <w:t xml:space="preserve">A14. Не рекомендуется назначать блокаторы РАС (ингибитор АПФ, БРА, прямой ингибитор ренина) или калийсберегающие диуретики (спиронолактон, эплеренон, амилорид, триамтерен) в случаях, когда уровень калия в сыворотке превышает 5,5 мЭкв/л. </w:t>
      </w:r>
    </w:p>
    <w:p w:rsidR="006A79E8" w:rsidRPr="00AE15DA" w:rsidP="0043334F" w14:paraId="7494D537" w14:textId="77777777">
      <w:pPr>
        <w:bidi w:val="0"/>
        <w:contextualSpacing/>
        <w:jc w:val="both"/>
        <w:rPr>
          <w:rFonts w:asciiTheme="minorHAnsi" w:hAnsiTheme="minorHAnsi"/>
          <w:i/>
          <w:sz w:val="22"/>
          <w:szCs w:val="22"/>
        </w:rPr>
      </w:pPr>
      <w:r w:rsidRPr="00AE15DA">
        <w:rPr>
          <w:rFonts w:asciiTheme="minorHAnsi" w:hAnsiTheme="minorHAnsi"/>
          <w:sz w:val="22"/>
          <w:szCs w:val="22"/>
          <w:rtl w:val="0"/>
          <w:lang w:val="ru"/>
        </w:rPr>
        <w:t>*</w:t>
      </w:r>
      <w:r w:rsidRPr="00AE15DA">
        <w:rPr>
          <w:rFonts w:asciiTheme="minorHAnsi" w:hAnsiTheme="minorHAnsi"/>
          <w:i/>
          <w:sz w:val="22"/>
          <w:szCs w:val="22"/>
          <w:rtl w:val="0"/>
          <w:lang w:val="ru"/>
        </w:rPr>
        <w:t xml:space="preserve"> Если данная группа препаратов используется в случаях с уровнем калия выше 6 мЭкв/л, их следует отменить. </w:t>
      </w:r>
    </w:p>
    <w:p w:rsidR="0018466D" w:rsidRPr="00AE15DA" w:rsidP="0043334F" w14:paraId="0CC49A17" w14:textId="77777777">
      <w:pPr>
        <w:bidi w:val="0"/>
        <w:contextualSpacing/>
        <w:jc w:val="both"/>
        <w:rPr>
          <w:rFonts w:asciiTheme="minorHAnsi" w:hAnsiTheme="minorHAnsi"/>
          <w:i/>
          <w:sz w:val="22"/>
          <w:szCs w:val="22"/>
        </w:rPr>
      </w:pPr>
      <w:r w:rsidRPr="00AE15DA">
        <w:rPr>
          <w:rFonts w:asciiTheme="minorHAnsi" w:hAnsiTheme="minorHAnsi"/>
          <w:i/>
          <w:sz w:val="22"/>
          <w:szCs w:val="22"/>
          <w:rtl w:val="0"/>
          <w:lang w:val="ru"/>
        </w:rPr>
        <w:t xml:space="preserve">* Комбинированное применение ингибиторов АПФ и БРА в антигипертензивных целях нецелесообразно. </w:t>
      </w:r>
    </w:p>
    <w:p w:rsidR="006A79E8" w:rsidRPr="00AE15DA" w:rsidP="0043334F" w14:paraId="6D58289D" w14:textId="77777777">
      <w:pPr>
        <w:contextualSpacing/>
        <w:jc w:val="both"/>
        <w:rPr>
          <w:rFonts w:asciiTheme="minorHAnsi" w:hAnsiTheme="minorHAnsi"/>
          <w:sz w:val="22"/>
          <w:szCs w:val="22"/>
          <w:vertAlign w:val="superscript"/>
        </w:rPr>
      </w:pPr>
    </w:p>
    <w:p w:rsidR="0077695B" w:rsidRPr="00AE15DA" w:rsidP="0043334F" w14:paraId="4788B18B" w14:textId="77777777">
      <w:pPr>
        <w:contextualSpacing/>
        <w:rPr>
          <w:rFonts w:asciiTheme="minorHAnsi" w:hAnsiTheme="minorHAnsi" w:cstheme="minorHAnsi"/>
          <w:color w:val="000000"/>
          <w:sz w:val="22"/>
          <w:szCs w:val="22"/>
        </w:rPr>
      </w:pPr>
    </w:p>
    <w:p w:rsidR="00234A6B" w:rsidRPr="00AE15DA" w:rsidP="0043334F" w14:paraId="620FEC46" w14:textId="77777777">
      <w:pPr>
        <w:bidi w:val="0"/>
        <w:contextualSpacing/>
        <w:rPr>
          <w:rFonts w:asciiTheme="minorHAnsi" w:hAnsiTheme="minorHAnsi" w:cstheme="minorHAnsi"/>
          <w:color w:val="000000"/>
          <w:sz w:val="22"/>
          <w:szCs w:val="22"/>
        </w:rPr>
      </w:pPr>
      <w:r w:rsidRPr="00AE15DA">
        <w:rPr>
          <w:rFonts w:asciiTheme="minorHAnsi" w:hAnsiTheme="minorHAnsi"/>
          <w:b/>
          <w:sz w:val="22"/>
          <w:szCs w:val="22"/>
          <w:rtl w:val="0"/>
          <w:lang w:val="ru"/>
        </w:rPr>
        <w:t xml:space="preserve">A15. Нецелесообразно комбинировать блокаторы РАС (ИАПФ, БРА, прямой ингибитор ренина) и калийсберегающие диуретики (спиронолактон, эплеренон, амилорид, триамтерен) без контроля уровня калия в сыворотке крови (риск опасной гиперкалиемии). </w:t>
      </w:r>
    </w:p>
    <w:p w:rsidR="0018466D" w:rsidRPr="00AE15DA" w:rsidP="0043334F" w14:paraId="17E81DE9" w14:textId="77777777">
      <w:pPr>
        <w:bidi w:val="0"/>
        <w:spacing w:after="100" w:afterAutospacing="1"/>
        <w:contextualSpacing/>
        <w:jc w:val="both"/>
        <w:rPr>
          <w:rFonts w:asciiTheme="minorHAnsi" w:hAnsiTheme="minorHAnsi"/>
          <w:i/>
          <w:sz w:val="22"/>
          <w:szCs w:val="22"/>
          <w:vertAlign w:val="superscript"/>
        </w:rPr>
      </w:pPr>
      <w:r w:rsidRPr="00AE15DA">
        <w:rPr>
          <w:rFonts w:asciiTheme="minorHAnsi" w:hAnsiTheme="minorHAnsi"/>
          <w:i/>
          <w:sz w:val="22"/>
          <w:szCs w:val="22"/>
          <w:rtl w:val="0"/>
          <w:lang w:val="ru"/>
        </w:rPr>
        <w:t xml:space="preserve">* Этот риск особенно высок у пациентов с сахарным диабетом, пациентов с почечной недостаточностью, пожилых людей и тех, кто принимает добавки с солями калия.  </w:t>
      </w:r>
    </w:p>
    <w:p w:rsidR="00E86B5B" w:rsidRPr="00AE15DA" w:rsidP="0043334F" w14:paraId="58C5921C" w14:textId="77777777">
      <w:pPr>
        <w:contextualSpacing/>
        <w:jc w:val="both"/>
        <w:rPr>
          <w:rFonts w:asciiTheme="minorHAnsi" w:hAnsiTheme="minorHAnsi"/>
          <w:b/>
          <w:color w:val="000000" w:themeColor="text1"/>
          <w:sz w:val="22"/>
          <w:szCs w:val="22"/>
        </w:rPr>
      </w:pPr>
    </w:p>
    <w:p w:rsidR="00E86B5B" w:rsidRPr="00AE15DA" w:rsidP="0043334F" w14:paraId="2E8320E0" w14:textId="77777777">
      <w:pPr>
        <w:contextualSpacing/>
        <w:jc w:val="both"/>
        <w:rPr>
          <w:rFonts w:asciiTheme="minorHAnsi" w:hAnsiTheme="minorHAnsi"/>
          <w:b/>
          <w:color w:val="000000" w:themeColor="text1"/>
          <w:sz w:val="22"/>
          <w:szCs w:val="22"/>
        </w:rPr>
      </w:pPr>
    </w:p>
    <w:p w:rsidR="003814F4" w:rsidRPr="00AE15DA" w:rsidP="0043334F" w14:paraId="77911002" w14:textId="77777777">
      <w:pPr>
        <w:bidi w:val="0"/>
        <w:contextualSpacing/>
        <w:jc w:val="both"/>
        <w:rPr>
          <w:rFonts w:asciiTheme="minorHAnsi" w:hAnsiTheme="minorHAnsi"/>
          <w:b/>
          <w:color w:val="000000" w:themeColor="text1"/>
          <w:sz w:val="22"/>
          <w:szCs w:val="22"/>
        </w:rPr>
      </w:pPr>
      <w:r w:rsidRPr="00AE15DA">
        <w:rPr>
          <w:rFonts w:asciiTheme="minorHAnsi" w:hAnsiTheme="minorHAnsi"/>
          <w:b/>
          <w:color w:val="000000" w:themeColor="text1"/>
          <w:sz w:val="22"/>
          <w:szCs w:val="22"/>
          <w:rtl w:val="0"/>
          <w:lang w:val="ru"/>
        </w:rPr>
        <w:t xml:space="preserve">A16. Калийсберегающие препараты (антагонисты альдостерона, триамтерен, амилорид, ИАПФ, БРА) не подходят пациентам с СКФ &lt;30 мл/мин/1,73 м2 и тем, у кого уровень калия в сыворотке крови невозможно тщательно контролировать (риск гиперкалиемии). </w:t>
      </w:r>
    </w:p>
    <w:p w:rsidR="001D79D5" w:rsidRPr="00AE15DA" w:rsidP="0043334F" w14:paraId="13200661" w14:textId="77777777">
      <w:pPr>
        <w:contextualSpacing/>
        <w:jc w:val="both"/>
        <w:rPr>
          <w:rFonts w:asciiTheme="minorHAnsi" w:hAnsiTheme="minorHAnsi"/>
          <w:b/>
          <w:color w:val="000000" w:themeColor="text1"/>
          <w:sz w:val="22"/>
          <w:szCs w:val="22"/>
        </w:rPr>
      </w:pPr>
    </w:p>
    <w:p w:rsidR="009B4E92" w:rsidRPr="00AE15DA" w:rsidP="0043334F" w14:paraId="486442FF" w14:textId="77777777">
      <w:pPr>
        <w:contextualSpacing/>
        <w:jc w:val="both"/>
        <w:rPr>
          <w:rFonts w:asciiTheme="minorHAnsi" w:hAnsiTheme="minorHAnsi"/>
          <w:b/>
          <w:color w:val="000000" w:themeColor="text1"/>
          <w:sz w:val="22"/>
          <w:szCs w:val="22"/>
        </w:rPr>
      </w:pPr>
    </w:p>
    <w:p w:rsidR="00C75B3A" w:rsidRPr="00AE15DA" w:rsidP="0043334F" w14:paraId="496B1557" w14:textId="77777777">
      <w:pPr>
        <w:bidi w:val="0"/>
        <w:spacing w:before="100" w:beforeAutospacing="1" w:after="100" w:afterAutospacing="1"/>
        <w:contextualSpacing/>
        <w:jc w:val="both"/>
        <w:rPr>
          <w:rFonts w:asciiTheme="minorHAnsi" w:hAnsiTheme="minorHAnsi"/>
          <w:b/>
          <w:sz w:val="22"/>
          <w:szCs w:val="22"/>
        </w:rPr>
      </w:pPr>
      <w:r w:rsidRPr="00AE15DA">
        <w:rPr>
          <w:rFonts w:asciiTheme="minorHAnsi" w:hAnsiTheme="minorHAnsi"/>
          <w:b/>
          <w:sz w:val="22"/>
          <w:szCs w:val="22"/>
          <w:rtl w:val="0"/>
          <w:lang w:val="ru"/>
        </w:rPr>
        <w:t>A17. Тиазидные диуретики не подходят для применения пациентами со значительной гипокалиемией (сывороточный K &lt;3,0 мг/л), гипонатриемией (</w:t>
      </w:r>
      <w:r w:rsidRPr="00AE15DA" w:rsidR="00626192">
        <w:rPr>
          <w:rStyle w:val="user-generated"/>
          <w:rFonts w:asciiTheme="minorHAnsi" w:eastAsiaTheme="majorEastAsia" w:hAnsiTheme="minorHAnsi" w:cstheme="minorHAnsi"/>
          <w:b/>
          <w:color w:val="000000"/>
          <w:sz w:val="22"/>
          <w:szCs w:val="22"/>
          <w:rtl w:val="0"/>
          <w:lang w:val="ru"/>
        </w:rPr>
        <w:t>сывороточный Na &lt;130 мЭкв/л</w:t>
      </w:r>
      <w:r w:rsidRPr="00AE15DA">
        <w:rPr>
          <w:rFonts w:asciiTheme="minorHAnsi" w:hAnsiTheme="minorHAnsi"/>
          <w:b/>
          <w:sz w:val="22"/>
          <w:szCs w:val="22"/>
          <w:rtl w:val="0"/>
          <w:lang w:val="ru"/>
        </w:rPr>
        <w:t xml:space="preserve">), гиперкальциемией (скорректированный сывороточный </w:t>
      </w:r>
      <w:r w:rsidRPr="00AE15DA">
        <w:rPr>
          <w:rFonts w:asciiTheme="minorHAnsi" w:hAnsiTheme="minorHAnsi"/>
          <w:b/>
          <w:color w:val="000000" w:themeColor="text1"/>
          <w:sz w:val="22"/>
          <w:szCs w:val="22"/>
          <w:rtl w:val="0"/>
          <w:lang w:val="ru"/>
        </w:rPr>
        <w:t>Ca&gt; 10,6 мг/дл)</w:t>
      </w:r>
      <w:r w:rsidRPr="00AE15DA">
        <w:rPr>
          <w:rFonts w:asciiTheme="minorHAnsi" w:hAnsiTheme="minorHAnsi"/>
          <w:b/>
          <w:sz w:val="22"/>
          <w:szCs w:val="22"/>
          <w:rtl w:val="0"/>
          <w:lang w:val="ru"/>
        </w:rPr>
        <w:t xml:space="preserve"> или подагрой в анамнезе.</w:t>
      </w:r>
    </w:p>
    <w:p w:rsidR="0077695B" w:rsidRPr="00AE15DA" w:rsidP="0043334F" w14:paraId="2C1E893E" w14:textId="77777777">
      <w:pPr>
        <w:spacing w:before="100" w:beforeAutospacing="1" w:after="100" w:afterAutospacing="1"/>
        <w:contextualSpacing/>
        <w:jc w:val="both"/>
        <w:rPr>
          <w:rFonts w:asciiTheme="minorHAnsi" w:hAnsiTheme="minorHAnsi"/>
          <w:b/>
          <w:sz w:val="22"/>
          <w:szCs w:val="22"/>
        </w:rPr>
      </w:pPr>
    </w:p>
    <w:p w:rsidR="009B4E92" w:rsidRPr="00AE15DA" w:rsidP="0043334F" w14:paraId="2FED048F" w14:textId="77777777">
      <w:pPr>
        <w:spacing w:before="100" w:beforeAutospacing="1" w:after="100" w:afterAutospacing="1"/>
        <w:contextualSpacing/>
        <w:jc w:val="both"/>
        <w:rPr>
          <w:rFonts w:asciiTheme="minorHAnsi" w:hAnsiTheme="minorHAnsi"/>
          <w:b/>
          <w:sz w:val="22"/>
          <w:szCs w:val="22"/>
        </w:rPr>
      </w:pPr>
    </w:p>
    <w:p w:rsidR="006C24B0" w:rsidRPr="00AE15DA" w:rsidP="0043334F" w14:paraId="32D4A144" w14:textId="77777777">
      <w:pPr>
        <w:bidi w:val="0"/>
        <w:spacing w:before="100" w:beforeAutospacing="1"/>
        <w:contextualSpacing/>
        <w:jc w:val="both"/>
        <w:rPr>
          <w:rFonts w:asciiTheme="minorHAnsi" w:hAnsiTheme="minorHAnsi"/>
          <w:b/>
          <w:sz w:val="22"/>
          <w:szCs w:val="22"/>
        </w:rPr>
      </w:pPr>
      <w:r w:rsidRPr="00AE15DA">
        <w:rPr>
          <w:rFonts w:asciiTheme="minorHAnsi" w:hAnsiTheme="minorHAnsi"/>
          <w:b/>
          <w:sz w:val="22"/>
          <w:szCs w:val="22"/>
          <w:rtl w:val="0"/>
          <w:lang w:val="ru"/>
        </w:rPr>
        <w:t xml:space="preserve">A18. Применение НПВП не рекомендуется пациентам с сердечно-сосудистыми заболеваниями (тяжелая артериальная гипертензия, сердечная недостаточность или перенесенный инфаркт миокарда, инсульт) - возрастание количества сердечно-сосудистых событий: риск инфаркта миокарда, инсульта, сердечной недостаточности и смерти). </w:t>
      </w:r>
    </w:p>
    <w:p w:rsidR="006C24B0" w:rsidRPr="00AE15DA" w:rsidP="0043334F" w14:paraId="223B73D7" w14:textId="77777777">
      <w:pPr>
        <w:bidi w:val="0"/>
        <w:contextualSpacing/>
        <w:jc w:val="both"/>
        <w:rPr>
          <w:rFonts w:asciiTheme="minorHAnsi" w:hAnsiTheme="minorHAnsi"/>
          <w:i/>
          <w:sz w:val="22"/>
          <w:szCs w:val="22"/>
        </w:rPr>
      </w:pPr>
      <w:r w:rsidRPr="00AE15DA">
        <w:rPr>
          <w:rFonts w:asciiTheme="minorHAnsi" w:hAnsiTheme="minorHAnsi"/>
          <w:i/>
          <w:sz w:val="22"/>
          <w:szCs w:val="22"/>
          <w:rtl w:val="0"/>
          <w:lang w:val="ru"/>
        </w:rPr>
        <w:t xml:space="preserve">* В случаях, когда использование НПВП клинически показано, может быть предпочтительным краткосрочное применение с тщательным клиническим мониторингом и в минимально возможных дозах. </w:t>
      </w:r>
    </w:p>
    <w:p w:rsidR="006025E9" w:rsidRPr="00AE15DA" w:rsidP="0043334F" w14:paraId="5DD7B32E" w14:textId="77777777">
      <w:pPr>
        <w:bidi w:val="0"/>
        <w:contextualSpacing/>
        <w:jc w:val="both"/>
        <w:rPr>
          <w:rFonts w:asciiTheme="minorHAnsi" w:hAnsiTheme="minorHAnsi"/>
          <w:i/>
          <w:sz w:val="22"/>
          <w:szCs w:val="22"/>
        </w:rPr>
      </w:pPr>
      <w:r w:rsidRPr="00AE15DA">
        <w:rPr>
          <w:rFonts w:asciiTheme="minorHAnsi" w:hAnsiTheme="minorHAnsi"/>
          <w:i/>
          <w:color w:val="000000" w:themeColor="text1"/>
          <w:sz w:val="22"/>
          <w:szCs w:val="22"/>
          <w:rtl w:val="0"/>
          <w:lang w:val="ru"/>
        </w:rPr>
        <w:t xml:space="preserve">* Хотя все НПВП опасны для </w:t>
      </w:r>
      <w:r w:rsidRPr="00AE15DA" w:rsidR="00654832">
        <w:rPr>
          <w:rFonts w:asciiTheme="minorHAnsi" w:hAnsiTheme="minorHAnsi"/>
          <w:i/>
          <w:sz w:val="22"/>
          <w:szCs w:val="22"/>
          <w:rtl w:val="0"/>
          <w:lang w:val="ru"/>
        </w:rPr>
        <w:t>сердечно-сосудистой системы</w:t>
      </w:r>
      <w:r w:rsidRPr="00AE15DA" w:rsidR="00654832">
        <w:rPr>
          <w:rFonts w:asciiTheme="minorHAnsi" w:hAnsiTheme="minorHAnsi"/>
          <w:i/>
          <w:color w:val="000000" w:themeColor="text1"/>
          <w:sz w:val="22"/>
          <w:szCs w:val="22"/>
          <w:rtl w:val="0"/>
          <w:lang w:val="ru"/>
        </w:rPr>
        <w:t xml:space="preserve">, относительно </w:t>
      </w:r>
      <w:r w:rsidRPr="00AE15DA" w:rsidR="00654832">
        <w:rPr>
          <w:rFonts w:asciiTheme="minorHAnsi" w:hAnsiTheme="minorHAnsi"/>
          <w:i/>
          <w:sz w:val="22"/>
          <w:szCs w:val="22"/>
          <w:rtl w:val="0"/>
          <w:lang w:val="ru"/>
        </w:rPr>
        <w:t xml:space="preserve">безопасными могут быть напроксен и ибупрофен. </w:t>
      </w:r>
    </w:p>
    <w:p w:rsidR="006025E9" w:rsidRPr="00AE15DA" w:rsidP="0043334F" w14:paraId="3701CEC4" w14:textId="77777777">
      <w:pPr>
        <w:bidi w:val="0"/>
        <w:contextualSpacing/>
        <w:jc w:val="both"/>
        <w:rPr>
          <w:rFonts w:asciiTheme="minorHAnsi" w:hAnsiTheme="minorHAnsi"/>
          <w:i/>
          <w:sz w:val="22"/>
          <w:szCs w:val="22"/>
        </w:rPr>
      </w:pPr>
      <w:r w:rsidRPr="00AE15DA">
        <w:rPr>
          <w:rFonts w:asciiTheme="minorHAnsi" w:hAnsiTheme="minorHAnsi"/>
          <w:i/>
          <w:sz w:val="22"/>
          <w:szCs w:val="22"/>
          <w:rtl w:val="0"/>
          <w:lang w:val="ru"/>
        </w:rPr>
        <w:t>* Если НПВП назначают пациенту, принимающему аспирин, может быть более целесообразным вводить его не менее чем через 2 часа после приема аспирина.</w:t>
      </w:r>
    </w:p>
    <w:p w:rsidR="00D03264" w:rsidRPr="00AE15DA" w:rsidP="0043334F" w14:paraId="145E6DC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p>
    <w:p w:rsidR="00D03264" w:rsidRPr="00AE15DA" w:rsidP="0043334F" w14:paraId="05A6FCC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p>
    <w:p w:rsidR="006C24B0" w:rsidRPr="00AE15DA" w:rsidP="0043334F" w14:paraId="723C698B" w14:textId="77777777">
      <w:pPr>
        <w:bidi w:val="0"/>
        <w:spacing w:before="100" w:beforeAutospacing="1" w:after="100" w:afterAutospacing="1"/>
        <w:contextualSpacing/>
        <w:jc w:val="both"/>
        <w:rPr>
          <w:rFonts w:asciiTheme="minorHAnsi" w:hAnsiTheme="minorHAnsi"/>
          <w:b/>
          <w:sz w:val="22"/>
          <w:szCs w:val="22"/>
        </w:rPr>
      </w:pPr>
      <w:r w:rsidRPr="00AE15DA">
        <w:rPr>
          <w:rFonts w:asciiTheme="minorHAnsi" w:hAnsiTheme="minorHAnsi"/>
          <w:b/>
          <w:sz w:val="22"/>
          <w:szCs w:val="22"/>
          <w:rtl w:val="0"/>
          <w:lang w:val="ru"/>
        </w:rPr>
        <w:t>A19. Бета-адреноблокаторы не подходят пациентам с СД с частыми эпизодами гипогликемии (риск подавления гипогликемических симптомов).</w:t>
      </w:r>
    </w:p>
    <w:p w:rsidR="009B4E92" w:rsidRPr="00AE15DA" w:rsidP="0043334F" w14:paraId="12A9FCB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rPr>
      </w:pPr>
    </w:p>
    <w:p w:rsidR="00D03264" w:rsidRPr="00AE15DA" w:rsidP="0043334F" w14:paraId="1A3F951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p>
    <w:p w:rsidR="007662E6" w:rsidRPr="00AE15DA" w:rsidP="0043334F" w14:paraId="1448627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contextualSpacing/>
        <w:jc w:val="both"/>
        <w:rPr>
          <w:rFonts w:asciiTheme="minorHAnsi" w:hAnsiTheme="minorHAnsi"/>
          <w:b/>
          <w:sz w:val="22"/>
          <w:szCs w:val="22"/>
        </w:rPr>
      </w:pPr>
      <w:r w:rsidRPr="00AE15DA">
        <w:rPr>
          <w:rFonts w:asciiTheme="minorHAnsi" w:hAnsiTheme="minorHAnsi"/>
          <w:b/>
          <w:sz w:val="22"/>
          <w:szCs w:val="22"/>
          <w:rtl w:val="0"/>
          <w:lang w:val="ru"/>
        </w:rPr>
        <w:t>A20. Использование неселективных бета-адреноблокаторов (пероральных или местных при глаукоме) не рекомендуется пациентам с астмой в анамнезе (риск усиления бронхоспазма).</w:t>
      </w:r>
    </w:p>
    <w:p w:rsidR="00D03264" w:rsidRPr="00AE15DA" w:rsidP="0043334F" w14:paraId="5ECC0BAA" w14:textId="77777777">
      <w:pPr>
        <w:pStyle w:val="HTMLPreformatted"/>
        <w:contextualSpacing/>
        <w:jc w:val="both"/>
        <w:rPr>
          <w:rFonts w:asciiTheme="minorHAnsi" w:hAnsiTheme="minorHAnsi" w:cstheme="minorHAnsi"/>
          <w:color w:val="000000"/>
          <w:sz w:val="22"/>
          <w:szCs w:val="22"/>
        </w:rPr>
      </w:pPr>
    </w:p>
    <w:p w:rsidR="009B4E92" w:rsidRPr="00AE15DA" w:rsidP="0043334F" w14:paraId="54E869D3" w14:textId="77777777">
      <w:pPr>
        <w:pStyle w:val="HTMLPreformatted"/>
        <w:contextualSpacing/>
        <w:jc w:val="both"/>
        <w:rPr>
          <w:rFonts w:asciiTheme="minorHAnsi" w:hAnsiTheme="minorHAnsi" w:cstheme="minorHAnsi"/>
          <w:color w:val="000000"/>
          <w:sz w:val="22"/>
          <w:szCs w:val="22"/>
        </w:rPr>
      </w:pPr>
    </w:p>
    <w:p w:rsidR="006C24B0" w:rsidRPr="00AE15DA" w:rsidP="0043334F" w14:paraId="7330A129" w14:textId="77777777">
      <w:pPr>
        <w:pStyle w:val="HTMLPreformatted"/>
        <w:bidi w:val="0"/>
        <w:contextualSpacing/>
        <w:jc w:val="both"/>
        <w:rPr>
          <w:rFonts w:asciiTheme="minorHAnsi" w:hAnsiTheme="minorHAnsi" w:cs="Times New Roman"/>
          <w:b/>
          <w:sz w:val="22"/>
          <w:szCs w:val="22"/>
          <w:vertAlign w:val="superscript"/>
        </w:rPr>
      </w:pPr>
      <w:r w:rsidRPr="00AE15DA">
        <w:rPr>
          <w:rFonts w:asciiTheme="minorHAnsi" w:hAnsiTheme="minorHAnsi" w:cs="Times New Roman"/>
          <w:b/>
          <w:sz w:val="22"/>
          <w:szCs w:val="22"/>
          <w:rtl w:val="0"/>
          <w:lang w:val="ru"/>
        </w:rPr>
        <w:t>A21. Хроническое использование аспирина в дозах выше 75-150 мг/день не подходит для первичной или вторичной защиты сердечно-сосудистой системы (нет доказанных дополнительных преимуществ и увеличивается риск кровотечения).</w:t>
      </w:r>
    </w:p>
    <w:p w:rsidR="006C24B0" w:rsidRPr="00AE15DA" w:rsidP="0043334F" w14:paraId="2BA3961C" w14:textId="77777777">
      <w:pPr>
        <w:pStyle w:val="HTMLPreformatted"/>
        <w:contextualSpacing/>
        <w:jc w:val="both"/>
        <w:rPr>
          <w:rFonts w:asciiTheme="minorHAnsi" w:hAnsiTheme="minorHAnsi" w:cs="Times New Roman"/>
          <w:b/>
          <w:color w:val="000000" w:themeColor="text1"/>
          <w:sz w:val="22"/>
          <w:szCs w:val="22"/>
        </w:rPr>
      </w:pPr>
    </w:p>
    <w:p w:rsidR="0092741D" w:rsidRPr="00AE15DA" w:rsidP="0043334F" w14:paraId="6369DB6A" w14:textId="77777777">
      <w:pPr>
        <w:spacing w:before="100" w:beforeAutospacing="1" w:after="100" w:afterAutospacing="1"/>
        <w:contextualSpacing/>
        <w:jc w:val="both"/>
        <w:rPr>
          <w:rFonts w:asciiTheme="minorHAnsi" w:hAnsiTheme="minorHAnsi"/>
          <w:b/>
          <w:sz w:val="22"/>
          <w:szCs w:val="22"/>
        </w:rPr>
      </w:pPr>
    </w:p>
    <w:p w:rsidR="009B4E92" w:rsidRPr="00AE15DA" w:rsidP="0043334F" w14:paraId="6F136C9D" w14:textId="77777777">
      <w:pPr>
        <w:spacing w:before="100" w:beforeAutospacing="1" w:after="100" w:afterAutospacing="1"/>
        <w:contextualSpacing/>
        <w:jc w:val="both"/>
        <w:rPr>
          <w:rFonts w:asciiTheme="minorHAnsi" w:hAnsiTheme="minorHAnsi"/>
          <w:b/>
          <w:sz w:val="22"/>
          <w:szCs w:val="22"/>
        </w:rPr>
      </w:pPr>
    </w:p>
    <w:p w:rsidR="009B4E92" w:rsidRPr="00AE15DA" w:rsidP="0043334F" w14:paraId="573AAD95" w14:textId="7DEA8004">
      <w:pPr>
        <w:bidi w:val="0"/>
        <w:spacing w:before="100" w:beforeAutospacing="1" w:after="100" w:afterAutospacing="1"/>
        <w:contextualSpacing/>
        <w:jc w:val="both"/>
        <w:rPr>
          <w:rFonts w:asciiTheme="minorHAnsi" w:hAnsiTheme="minorHAnsi"/>
          <w:b/>
          <w:sz w:val="22"/>
          <w:szCs w:val="22"/>
        </w:rPr>
      </w:pPr>
      <w:r w:rsidRPr="009460D3">
        <w:rPr>
          <w:rFonts w:ascii="Calibri" w:hAnsi="Calibri" w:cs="Calibri"/>
          <w:b/>
          <w:sz w:val="22"/>
          <w:szCs w:val="22"/>
          <w:rtl w:val="0"/>
          <w:lang w:val="ru"/>
        </w:rPr>
        <w:t xml:space="preserve">#A22. Использование аспирина, клопидогреля, дипиридамола и OAK (антагонистов витамина К, прямого ингибитора тромбина или ингибиторов фактора Ха) нецелесообразно при наличии значительного риска кровотечения (например, при неконтролируемой тяжелой АГ, кровоточащем диатезе, спонтанном значительном кровотечении) - высокий риск кровотечения. </w:t>
      </w:r>
    </w:p>
    <w:p w:rsidR="00C75B3A" w:rsidRPr="00AE15DA" w:rsidP="0043334F" w14:paraId="0122125C" w14:textId="77777777">
      <w:pPr>
        <w:spacing w:before="100" w:beforeAutospacing="1" w:after="100" w:afterAutospacing="1"/>
        <w:contextualSpacing/>
        <w:jc w:val="both"/>
        <w:rPr>
          <w:rFonts w:asciiTheme="minorHAnsi" w:hAnsiTheme="minorHAnsi"/>
          <w:b/>
          <w:sz w:val="22"/>
          <w:szCs w:val="22"/>
        </w:rPr>
      </w:pPr>
    </w:p>
    <w:p w:rsidR="00C75B3A" w:rsidRPr="00AE15DA" w:rsidP="0043334F" w14:paraId="377950A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p>
    <w:p w:rsidR="00E67728" w:rsidRPr="00AE15DA" w:rsidP="0043334F" w14:paraId="4418301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contextualSpacing/>
        <w:jc w:val="both"/>
        <w:rPr>
          <w:rFonts w:asciiTheme="minorHAnsi" w:hAnsiTheme="minorHAnsi" w:cstheme="minorHAnsi"/>
          <w:color w:val="000000"/>
          <w:sz w:val="22"/>
          <w:szCs w:val="22"/>
        </w:rPr>
      </w:pPr>
      <w:r w:rsidRPr="00AE15DA">
        <w:rPr>
          <w:rFonts w:asciiTheme="minorHAnsi" w:hAnsiTheme="minorHAnsi"/>
          <w:b/>
          <w:sz w:val="22"/>
          <w:szCs w:val="22"/>
          <w:rtl w:val="0"/>
          <w:lang w:val="ru"/>
        </w:rPr>
        <w:t xml:space="preserve">A23. </w:t>
      </w:r>
      <w:r w:rsidRPr="00AE15DA">
        <w:rPr>
          <w:rFonts w:asciiTheme="minorHAnsi" w:hAnsiTheme="minorHAnsi"/>
          <w:b/>
          <w:color w:val="222222"/>
          <w:sz w:val="22"/>
          <w:szCs w:val="22"/>
          <w:rtl w:val="0"/>
          <w:lang w:val="ru"/>
        </w:rPr>
        <w:t>Одновременный прием аспирина и клопидогреля не подходит для вторичной профилактики инсульта, если нет конкретных показаний к этому.</w:t>
      </w:r>
    </w:p>
    <w:p w:rsidR="003400E8" w:rsidRPr="00AE15DA" w:rsidP="0043334F" w14:paraId="6EFAEF19" w14:textId="77777777">
      <w:pPr>
        <w:bidi w:val="0"/>
        <w:contextualSpacing/>
        <w:jc w:val="both"/>
        <w:rPr>
          <w:rFonts w:asciiTheme="minorHAnsi" w:hAnsiTheme="minorHAnsi"/>
          <w:i/>
          <w:sz w:val="22"/>
          <w:szCs w:val="22"/>
        </w:rPr>
      </w:pPr>
      <w:r w:rsidRPr="00AE15DA">
        <w:rPr>
          <w:rFonts w:asciiTheme="minorHAnsi" w:hAnsiTheme="minorHAnsi"/>
          <w:i/>
          <w:sz w:val="22"/>
          <w:szCs w:val="22"/>
          <w:rtl w:val="0"/>
          <w:lang w:val="ru"/>
        </w:rPr>
        <w:t>* Состояния, при которых уместно комбинированное применение аспирина + клопидогрела</w:t>
      </w:r>
    </w:p>
    <w:p w:rsidR="00372860" w:rsidRPr="00AE15DA" w:rsidP="0043334F" w14:paraId="2BB38A1E" w14:textId="77777777">
      <w:pPr>
        <w:pStyle w:val="HTMLPreformatted"/>
        <w:bidi w:val="0"/>
        <w:contextualSpacing/>
        <w:jc w:val="both"/>
        <w:rPr>
          <w:rFonts w:asciiTheme="minorHAnsi" w:hAnsiTheme="minorHAnsi" w:cs="Times New Roman"/>
          <w:i/>
          <w:sz w:val="22"/>
          <w:szCs w:val="22"/>
        </w:rPr>
      </w:pPr>
      <w:r w:rsidRPr="00AE15DA">
        <w:rPr>
          <w:rFonts w:asciiTheme="minorHAnsi" w:hAnsiTheme="minorHAnsi" w:cs="Times New Roman"/>
          <w:i/>
          <w:sz w:val="22"/>
          <w:szCs w:val="22"/>
          <w:rtl w:val="0"/>
          <w:lang w:val="ru"/>
        </w:rPr>
        <w:t>1. Острый коронарный синдром или коронарное вмешательство в течение последних 12 месяцев (баллон и/или стент)</w:t>
      </w:r>
    </w:p>
    <w:p w:rsidR="00372860" w:rsidRPr="00AE15DA" w:rsidP="0043334F" w14:paraId="21C67A71" w14:textId="77777777">
      <w:pPr>
        <w:pStyle w:val="HTMLPreformatted"/>
        <w:bidi w:val="0"/>
        <w:contextualSpacing/>
        <w:jc w:val="both"/>
        <w:rPr>
          <w:rFonts w:asciiTheme="minorHAnsi" w:hAnsiTheme="minorHAnsi" w:cs="Times New Roman"/>
          <w:i/>
          <w:sz w:val="22"/>
          <w:szCs w:val="22"/>
        </w:rPr>
      </w:pPr>
      <w:r w:rsidRPr="00AE15DA">
        <w:rPr>
          <w:rFonts w:asciiTheme="minorHAnsi" w:hAnsiTheme="minorHAnsi" w:cs="Times New Roman"/>
          <w:i/>
          <w:sz w:val="22"/>
          <w:szCs w:val="22"/>
          <w:rtl w:val="0"/>
          <w:lang w:val="ru"/>
        </w:rPr>
        <w:t xml:space="preserve">2. Перенесенное в течение последнего месяца вмешательство из-за заболевания периферических артерий. </w:t>
      </w:r>
    </w:p>
    <w:p w:rsidR="00372860" w:rsidRPr="00AE15DA" w:rsidP="0043334F" w14:paraId="5653F6D9" w14:textId="77777777">
      <w:pPr>
        <w:pStyle w:val="HTMLPreformatted"/>
        <w:bidi w:val="0"/>
        <w:contextualSpacing/>
        <w:jc w:val="both"/>
        <w:rPr>
          <w:rFonts w:asciiTheme="minorHAnsi" w:hAnsiTheme="minorHAnsi" w:cs="Times New Roman"/>
          <w:i/>
          <w:sz w:val="22"/>
          <w:szCs w:val="22"/>
        </w:rPr>
      </w:pPr>
      <w:r w:rsidRPr="00AE15DA">
        <w:rPr>
          <w:rFonts w:asciiTheme="minorHAnsi" w:hAnsiTheme="minorHAnsi" w:cs="Times New Roman"/>
          <w:i/>
          <w:sz w:val="22"/>
          <w:szCs w:val="22"/>
          <w:rtl w:val="0"/>
          <w:lang w:val="ru"/>
        </w:rPr>
        <w:tab/>
        <w:t>установка стента (в связи со стенозом сонной артерии / заболеванием артерии нижних конечностей) в течение последнего месяца</w:t>
      </w:r>
    </w:p>
    <w:p w:rsidR="00372860" w:rsidRPr="00AE15DA" w:rsidP="0043334F" w14:paraId="6E31CCB4" w14:textId="77777777">
      <w:pPr>
        <w:pStyle w:val="HTMLPreformatted"/>
        <w:bidi w:val="0"/>
        <w:contextualSpacing/>
        <w:jc w:val="both"/>
        <w:rPr>
          <w:rFonts w:asciiTheme="minorHAnsi" w:hAnsiTheme="minorHAnsi" w:cs="Times New Roman"/>
          <w:i/>
          <w:sz w:val="22"/>
          <w:szCs w:val="22"/>
        </w:rPr>
      </w:pPr>
      <w:r w:rsidRPr="00AE15DA">
        <w:rPr>
          <w:rFonts w:asciiTheme="minorHAnsi" w:hAnsiTheme="minorHAnsi" w:cs="Times New Roman"/>
          <w:i/>
          <w:sz w:val="22"/>
          <w:szCs w:val="22"/>
          <w:rtl w:val="0"/>
          <w:lang w:val="ru"/>
        </w:rPr>
        <w:tab/>
        <w:t>установка баллона на нижнюю конечность в течение последнего месяца</w:t>
      </w:r>
    </w:p>
    <w:p w:rsidR="00372860" w:rsidRPr="00AE15DA" w:rsidP="0043334F" w14:paraId="0787087C" w14:textId="77777777">
      <w:pPr>
        <w:bidi w:val="0"/>
        <w:contextualSpacing/>
        <w:jc w:val="both"/>
        <w:rPr>
          <w:rFonts w:asciiTheme="minorHAnsi" w:hAnsiTheme="minorHAnsi"/>
          <w:i/>
          <w:sz w:val="22"/>
          <w:szCs w:val="22"/>
        </w:rPr>
      </w:pPr>
      <w:r w:rsidRPr="00AE15DA">
        <w:rPr>
          <w:rFonts w:asciiTheme="minorHAnsi" w:hAnsiTheme="minorHAnsi"/>
          <w:i/>
          <w:sz w:val="22"/>
          <w:szCs w:val="22"/>
          <w:rtl w:val="0"/>
          <w:lang w:val="ru"/>
        </w:rPr>
        <w:t>3. Перенесенный инсульт-ТИА в течение последних 3 недель - 3 месяцев</w:t>
      </w:r>
    </w:p>
    <w:p w:rsidR="00372860" w:rsidRPr="00AE15DA" w:rsidP="0043334F" w14:paraId="625D3085" w14:textId="77777777">
      <w:pPr>
        <w:bidi w:val="0"/>
        <w:ind w:firstLine="708"/>
        <w:contextualSpacing/>
        <w:jc w:val="both"/>
        <w:rPr>
          <w:rFonts w:asciiTheme="minorHAnsi" w:hAnsiTheme="minorHAnsi"/>
          <w:i/>
          <w:sz w:val="22"/>
          <w:szCs w:val="22"/>
        </w:rPr>
      </w:pPr>
      <w:r w:rsidRPr="00AE15DA">
        <w:rPr>
          <w:rFonts w:asciiTheme="minorHAnsi" w:hAnsiTheme="minorHAnsi"/>
          <w:i/>
          <w:sz w:val="22"/>
          <w:szCs w:val="22"/>
          <w:rtl w:val="0"/>
          <w:lang w:val="ru"/>
        </w:rPr>
        <w:t>в течение 3 месяцев после инсульта или ТИА из-за внутричерепного атеросклероза</w:t>
      </w:r>
    </w:p>
    <w:p w:rsidR="00372860" w:rsidRPr="00AE15DA" w:rsidP="0043334F" w14:paraId="2C1B565A" w14:textId="77777777">
      <w:pPr>
        <w:bidi w:val="0"/>
        <w:ind w:firstLine="708"/>
        <w:contextualSpacing/>
        <w:jc w:val="both"/>
        <w:rPr>
          <w:rFonts w:asciiTheme="minorHAnsi" w:hAnsiTheme="minorHAnsi"/>
          <w:i/>
          <w:sz w:val="22"/>
          <w:szCs w:val="22"/>
        </w:rPr>
      </w:pPr>
      <w:r w:rsidRPr="00AE15DA">
        <w:rPr>
          <w:rFonts w:asciiTheme="minorHAnsi" w:hAnsiTheme="minorHAnsi"/>
          <w:i/>
          <w:sz w:val="22"/>
          <w:szCs w:val="22"/>
          <w:rtl w:val="0"/>
          <w:lang w:val="ru"/>
        </w:rPr>
        <w:t xml:space="preserve">в течение 3 недель после легкого инсульта или ТИА  </w:t>
      </w:r>
    </w:p>
    <w:p w:rsidR="00C477FF" w:rsidRPr="00AE15DA" w:rsidP="0043334F" w14:paraId="2FCC9416" w14:textId="77777777">
      <w:pPr>
        <w:ind w:firstLine="709"/>
        <w:contextualSpacing/>
        <w:jc w:val="both"/>
        <w:rPr>
          <w:rFonts w:asciiTheme="minorHAnsi" w:hAnsiTheme="minorHAnsi"/>
          <w:i/>
          <w:sz w:val="22"/>
          <w:szCs w:val="22"/>
        </w:rPr>
      </w:pPr>
    </w:p>
    <w:p w:rsidR="00701618" w:rsidRPr="00AE15DA" w:rsidP="0043334F" w14:paraId="5DAE2BFD" w14:textId="77777777">
      <w:pPr>
        <w:pStyle w:val="HTMLPreformatted"/>
        <w:contextualSpacing/>
        <w:jc w:val="both"/>
        <w:rPr>
          <w:rFonts w:asciiTheme="minorHAnsi" w:hAnsiTheme="minorHAnsi" w:cs="Times New Roman"/>
          <w:b/>
          <w:sz w:val="22"/>
          <w:szCs w:val="22"/>
        </w:rPr>
      </w:pPr>
    </w:p>
    <w:p w:rsidR="006C24B0" w:rsidRPr="00AE15DA" w:rsidP="0043334F" w14:paraId="7DDA7E52" w14:textId="2DB12F13">
      <w:pPr>
        <w:pStyle w:val="HTMLPreformatted"/>
        <w:bidi w:val="0"/>
        <w:contextualSpacing/>
        <w:jc w:val="both"/>
        <w:rPr>
          <w:rFonts w:asciiTheme="minorHAnsi" w:hAnsiTheme="minorHAnsi" w:cs="Times New Roman"/>
          <w:b/>
          <w:sz w:val="22"/>
          <w:szCs w:val="22"/>
        </w:rPr>
      </w:pPr>
      <w:r w:rsidRPr="00AE15DA">
        <w:rPr>
          <w:rFonts w:asciiTheme="minorHAnsi" w:hAnsiTheme="minorHAnsi" w:cs="Times New Roman"/>
          <w:b/>
          <w:sz w:val="22"/>
          <w:szCs w:val="22"/>
          <w:rtl w:val="0"/>
          <w:lang w:val="ru"/>
        </w:rPr>
        <w:t xml:space="preserve">A24. Если нет дополнительных показаний к применению аспирина/клопидогреля пациентами, принимающими ОАК по поводу хронической ФП или по любой другой причине, нецелесообразно добавлять аспирин/ клопидогрель к лечению </w:t>
      </w:r>
      <w:r w:rsidRPr="00FE62C6" w:rsidR="00FE62C6">
        <w:rPr>
          <w:rFonts w:ascii="Calibri" w:eastAsia="Calibri" w:hAnsi="Calibri" w:cs="Calibri"/>
          <w:color w:val="000000"/>
          <w:sz w:val="22"/>
          <w:szCs w:val="22"/>
          <w:rtl w:val="0"/>
          <w:lang w:val="ru"/>
        </w:rPr>
        <w:t>(аспирин не дает дополнительных преимуществ)</w:t>
      </w:r>
      <w:r w:rsidRPr="00AE15DA">
        <w:rPr>
          <w:rFonts w:asciiTheme="minorHAnsi" w:hAnsiTheme="minorHAnsi" w:cs="Times New Roman"/>
          <w:b/>
          <w:sz w:val="22"/>
          <w:szCs w:val="22"/>
          <w:rtl w:val="0"/>
          <w:lang w:val="ru"/>
        </w:rPr>
        <w:t>.</w:t>
      </w:r>
    </w:p>
    <w:p w:rsidR="006C24B0" w:rsidRPr="00AE15DA" w:rsidP="0043334F" w14:paraId="422D01D5" w14:textId="77777777">
      <w:pPr>
        <w:pStyle w:val="HTMLPreformatted"/>
        <w:bidi w:val="0"/>
        <w:contextualSpacing/>
        <w:jc w:val="both"/>
        <w:rPr>
          <w:rFonts w:asciiTheme="minorHAnsi" w:hAnsiTheme="minorHAnsi" w:cs="Times New Roman"/>
          <w:i/>
          <w:sz w:val="22"/>
          <w:szCs w:val="22"/>
        </w:rPr>
      </w:pPr>
      <w:r w:rsidRPr="00AE15DA">
        <w:rPr>
          <w:rFonts w:asciiTheme="minorHAnsi" w:hAnsiTheme="minorHAnsi" w:cs="Times New Roman"/>
          <w:i/>
          <w:sz w:val="22"/>
          <w:szCs w:val="22"/>
          <w:rtl w:val="0"/>
          <w:lang w:val="ru"/>
        </w:rPr>
        <w:t>* Состояния, при которых уместно добавить аспирин/клопидогрель к лечению пациентов, принимающих ОАК, следующие:</w:t>
      </w:r>
    </w:p>
    <w:p w:rsidR="00733DA9" w:rsidRPr="00AE15DA" w:rsidP="0043334F" w14:paraId="53AC0D89" w14:textId="77777777">
      <w:pPr>
        <w:pStyle w:val="HTMLPreformatted"/>
        <w:bidi w:val="0"/>
        <w:contextualSpacing/>
        <w:jc w:val="both"/>
        <w:rPr>
          <w:rFonts w:asciiTheme="minorHAnsi" w:hAnsiTheme="minorHAnsi" w:cs="Times New Roman"/>
          <w:i/>
          <w:sz w:val="22"/>
          <w:szCs w:val="22"/>
        </w:rPr>
      </w:pPr>
      <w:r w:rsidRPr="00AE15DA">
        <w:rPr>
          <w:rFonts w:asciiTheme="minorHAnsi" w:hAnsiTheme="minorHAnsi" w:cs="Times New Roman"/>
          <w:i/>
          <w:sz w:val="22"/>
          <w:szCs w:val="22"/>
          <w:rtl w:val="0"/>
          <w:lang w:val="ru"/>
        </w:rPr>
        <w:t>1. Острый коронарный синдром или коронарное вмешательство в течение последних 12 месяцев (баллон и/или стент).</w:t>
      </w:r>
    </w:p>
    <w:p w:rsidR="00733DA9" w:rsidRPr="00AE15DA" w:rsidP="0043334F" w14:paraId="0A9033B7" w14:textId="77777777">
      <w:pPr>
        <w:pStyle w:val="HTMLPreformatted"/>
        <w:bidi w:val="0"/>
        <w:contextualSpacing/>
        <w:jc w:val="both"/>
        <w:rPr>
          <w:rFonts w:asciiTheme="minorHAnsi" w:hAnsiTheme="minorHAnsi" w:cs="Times New Roman"/>
          <w:i/>
          <w:sz w:val="22"/>
          <w:szCs w:val="22"/>
        </w:rPr>
      </w:pPr>
      <w:r w:rsidRPr="00AE15DA">
        <w:rPr>
          <w:rFonts w:asciiTheme="minorHAnsi" w:hAnsiTheme="minorHAnsi" w:cs="Times New Roman"/>
          <w:i/>
          <w:sz w:val="22"/>
          <w:szCs w:val="22"/>
          <w:rtl w:val="0"/>
          <w:lang w:val="ru"/>
        </w:rPr>
        <w:t xml:space="preserve">2. Перенесенное в течение последнего месяца вмешательство из-за заболевания периферических артерий. </w:t>
      </w:r>
    </w:p>
    <w:p w:rsidR="00733DA9" w:rsidRPr="00AE15DA" w:rsidP="0043334F" w14:paraId="591C9905" w14:textId="77777777">
      <w:pPr>
        <w:pStyle w:val="HTMLPreformatted"/>
        <w:bidi w:val="0"/>
        <w:contextualSpacing/>
        <w:jc w:val="both"/>
        <w:rPr>
          <w:rFonts w:asciiTheme="minorHAnsi" w:hAnsiTheme="minorHAnsi" w:cs="Times New Roman"/>
          <w:i/>
          <w:sz w:val="22"/>
          <w:szCs w:val="22"/>
        </w:rPr>
      </w:pPr>
      <w:r w:rsidRPr="00AE15DA">
        <w:rPr>
          <w:rFonts w:asciiTheme="minorHAnsi" w:hAnsiTheme="minorHAnsi" w:cs="Times New Roman"/>
          <w:i/>
          <w:sz w:val="22"/>
          <w:szCs w:val="22"/>
          <w:rtl w:val="0"/>
          <w:lang w:val="ru"/>
        </w:rPr>
        <w:tab/>
        <w:t>установка стента (в связи со стенозом сонной артерии / заболеванием артерии нижних конечностей) в течение последнего месяца</w:t>
      </w:r>
    </w:p>
    <w:p w:rsidR="004A3626" w:rsidRPr="00AE15DA" w:rsidP="0043334F" w14:paraId="39272EBB" w14:textId="77777777">
      <w:pPr>
        <w:pStyle w:val="HTMLPreformatted"/>
        <w:bidi w:val="0"/>
        <w:contextualSpacing/>
        <w:jc w:val="both"/>
        <w:rPr>
          <w:rFonts w:asciiTheme="minorHAnsi" w:hAnsiTheme="minorHAnsi" w:cs="Times New Roman"/>
          <w:i/>
          <w:sz w:val="22"/>
          <w:szCs w:val="22"/>
        </w:rPr>
      </w:pPr>
      <w:r w:rsidRPr="00AE15DA">
        <w:rPr>
          <w:rFonts w:asciiTheme="minorHAnsi" w:hAnsiTheme="minorHAnsi" w:cs="Times New Roman"/>
          <w:i/>
          <w:sz w:val="22"/>
          <w:szCs w:val="22"/>
          <w:rtl w:val="0"/>
          <w:lang w:val="ru"/>
        </w:rPr>
        <w:tab/>
        <w:t>установка баллона на нижнюю конечность в течение последнего месяца</w:t>
      </w:r>
    </w:p>
    <w:p w:rsidR="006C24B0" w:rsidRPr="00AE15DA" w:rsidP="0043334F" w14:paraId="2F389493" w14:textId="77777777">
      <w:pPr>
        <w:pStyle w:val="HTMLPreformatted"/>
        <w:bidi w:val="0"/>
        <w:contextualSpacing/>
        <w:jc w:val="both"/>
        <w:rPr>
          <w:rFonts w:asciiTheme="minorHAnsi" w:hAnsiTheme="minorHAnsi" w:cs="Times New Roman"/>
          <w:i/>
          <w:sz w:val="22"/>
          <w:szCs w:val="22"/>
        </w:rPr>
      </w:pPr>
      <w:r w:rsidRPr="00AE15DA">
        <w:rPr>
          <w:rFonts w:asciiTheme="minorHAnsi" w:hAnsiTheme="minorHAnsi" w:cs="Times New Roman"/>
          <w:i/>
          <w:sz w:val="22"/>
          <w:szCs w:val="22"/>
          <w:rtl w:val="0"/>
          <w:lang w:val="ru"/>
        </w:rPr>
        <w:t>* Включение в лечение аспирина/клопидогреля не рекомендуется пациентам, принимающим ОАК, в следующих случаях:</w:t>
      </w:r>
    </w:p>
    <w:p w:rsidR="006C24B0" w:rsidRPr="00AE15DA" w:rsidP="0043334F" w14:paraId="28A8A0AC" w14:textId="77777777">
      <w:pPr>
        <w:pStyle w:val="HTMLPreformatted"/>
        <w:bidi w:val="0"/>
        <w:contextualSpacing/>
        <w:jc w:val="both"/>
        <w:rPr>
          <w:rFonts w:asciiTheme="minorHAnsi" w:hAnsiTheme="minorHAnsi" w:cs="Times New Roman"/>
          <w:i/>
          <w:sz w:val="22"/>
          <w:szCs w:val="22"/>
        </w:rPr>
      </w:pPr>
      <w:r w:rsidRPr="00AE15DA">
        <w:rPr>
          <w:rFonts w:asciiTheme="minorHAnsi" w:hAnsiTheme="minorHAnsi" w:cs="Times New Roman"/>
          <w:i/>
          <w:sz w:val="22"/>
          <w:szCs w:val="22"/>
          <w:rtl w:val="0"/>
          <w:lang w:val="ru"/>
        </w:rPr>
        <w:t>1. Заболевания периферических артерий (стеноз сонной артерии, заболевание артерий нижних конечностей, внутримозговый атеросклероз), за исключением перечисленных выше состояний.</w:t>
      </w:r>
    </w:p>
    <w:p w:rsidR="00C75B3A" w:rsidRPr="00AE15DA" w:rsidP="0043334F" w14:paraId="6828B515" w14:textId="77777777">
      <w:pPr>
        <w:pStyle w:val="HTMLPreformatted"/>
        <w:bidi w:val="0"/>
        <w:contextualSpacing/>
        <w:jc w:val="both"/>
        <w:rPr>
          <w:rFonts w:asciiTheme="minorHAnsi" w:hAnsiTheme="minorHAnsi" w:cs="Times New Roman"/>
          <w:i/>
          <w:sz w:val="22"/>
          <w:szCs w:val="22"/>
        </w:rPr>
      </w:pPr>
      <w:r w:rsidRPr="00AE15DA">
        <w:rPr>
          <w:rFonts w:asciiTheme="minorHAnsi" w:hAnsiTheme="minorHAnsi" w:cs="Times New Roman"/>
          <w:i/>
          <w:sz w:val="22"/>
          <w:szCs w:val="22"/>
          <w:rtl w:val="0"/>
          <w:lang w:val="ru"/>
        </w:rPr>
        <w:t>2. Стабильная ишемическая болезнь сердца (например, острый коронарный синдром более 12 месяцев назад или коронарное вмешательство)</w:t>
      </w:r>
    </w:p>
    <w:p w:rsidR="00873A44" w:rsidRPr="00AE15DA" w:rsidP="0043334F" w14:paraId="76EDB675" w14:textId="77777777">
      <w:pPr>
        <w:spacing w:before="100" w:beforeAutospacing="1" w:after="100" w:afterAutospacing="1"/>
        <w:contextualSpacing/>
        <w:jc w:val="both"/>
        <w:rPr>
          <w:rFonts w:asciiTheme="minorHAnsi" w:hAnsiTheme="minorHAnsi"/>
          <w:b/>
          <w:sz w:val="22"/>
          <w:szCs w:val="22"/>
        </w:rPr>
      </w:pPr>
    </w:p>
    <w:p w:rsidR="0096214E" w:rsidRPr="00AE15DA" w:rsidP="0043334F" w14:paraId="187D90D4" w14:textId="77777777">
      <w:pPr>
        <w:bidi w:val="0"/>
        <w:spacing w:before="100" w:beforeAutospacing="1" w:after="100" w:afterAutospacing="1"/>
        <w:contextualSpacing/>
        <w:jc w:val="both"/>
        <w:rPr>
          <w:rFonts w:asciiTheme="minorHAnsi" w:hAnsiTheme="minorHAnsi"/>
          <w:b/>
          <w:sz w:val="22"/>
          <w:szCs w:val="22"/>
        </w:rPr>
      </w:pPr>
      <w:r w:rsidRPr="00AE15DA">
        <w:rPr>
          <w:rFonts w:asciiTheme="minorHAnsi" w:hAnsiTheme="minorHAnsi"/>
          <w:b/>
          <w:sz w:val="22"/>
          <w:szCs w:val="22"/>
          <w:rtl w:val="0"/>
          <w:lang w:val="ru"/>
        </w:rPr>
        <w:t>A25. ОАК (антагонисты витамина К, прямые ингибиторы тромбина или ингибиторы фактора Ха) не подходят для использования более 6 месяцев при впервые возникшем тромбозе глубоких вен без постоянных факторов риска (отсутствие доказанных дополнительных преимуществ).</w:t>
      </w:r>
    </w:p>
    <w:p w:rsidR="00C75B3A" w:rsidRPr="00AE15DA" w:rsidP="0043334F" w14:paraId="5295DF9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p>
    <w:p w:rsidR="00C75B3A" w:rsidRPr="00AE15DA" w:rsidP="0043334F" w14:paraId="5AB0881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p>
    <w:p w:rsidR="00112690" w:rsidRPr="00AE15DA" w:rsidP="0043334F" w14:paraId="4160BB95" w14:textId="283E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contextualSpacing/>
        <w:jc w:val="both"/>
        <w:rPr>
          <w:rFonts w:asciiTheme="minorHAnsi" w:hAnsiTheme="minorHAnsi" w:cstheme="minorHAnsi"/>
          <w:color w:val="000000"/>
          <w:sz w:val="22"/>
          <w:szCs w:val="22"/>
        </w:rPr>
      </w:pPr>
      <w:r>
        <w:rPr>
          <w:rFonts w:ascii="Calibri" w:hAnsi="Calibri" w:cs="Calibri"/>
          <w:b/>
          <w:sz w:val="22"/>
          <w:szCs w:val="22"/>
          <w:rtl w:val="0"/>
          <w:lang w:val="ru"/>
        </w:rPr>
        <w:t xml:space="preserve">#A26. OAK (антагонисты витамина К, прямые ингибиторы тромбина или ингибиторы фактора Ха) не подходят для использования более 12 месяцев при впервые возникшей тромбоэмболии легочной артерии без постоянных факторов риска (отсутствие доказанных дополнительных преимуществ). </w:t>
      </w:r>
    </w:p>
    <w:p w:rsidR="00873A44" w:rsidRPr="00AE15DA" w:rsidP="0043334F" w14:paraId="370920F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lang w:eastAsia="en-GB"/>
        </w:rPr>
      </w:pPr>
    </w:p>
    <w:p w:rsidR="00873A44" w:rsidRPr="00AE15DA" w:rsidP="0043334F" w14:paraId="37312757" w14:textId="77777777">
      <w:pPr>
        <w:pStyle w:val="HTMLPreformatted"/>
        <w:contextualSpacing/>
        <w:jc w:val="both"/>
        <w:rPr>
          <w:rFonts w:asciiTheme="minorHAnsi" w:hAnsiTheme="minorHAnsi" w:cs="Times New Roman"/>
          <w:b/>
          <w:sz w:val="22"/>
          <w:szCs w:val="22"/>
        </w:rPr>
      </w:pPr>
    </w:p>
    <w:p w:rsidR="00706F21" w:rsidRPr="00AE15DA" w:rsidP="0043334F" w14:paraId="73BF1376" w14:textId="25C62E19">
      <w:pPr>
        <w:pStyle w:val="HTMLPreformatted"/>
        <w:bidi w:val="0"/>
        <w:contextualSpacing/>
        <w:jc w:val="both"/>
        <w:rPr>
          <w:rFonts w:asciiTheme="minorHAnsi" w:hAnsiTheme="minorHAnsi" w:cs="Times New Roman"/>
          <w:b/>
          <w:sz w:val="22"/>
          <w:szCs w:val="22"/>
        </w:rPr>
      </w:pPr>
      <w:r>
        <w:rPr>
          <w:rFonts w:ascii="Calibri" w:hAnsi="Calibri" w:cs="Calibri"/>
          <w:b/>
          <w:sz w:val="22"/>
          <w:szCs w:val="22"/>
          <w:rtl w:val="0"/>
          <w:lang w:val="ru"/>
        </w:rPr>
        <w:t xml:space="preserve">#A27. Монотерапия аспирином или клопидогрелом не подходит пациентам с хронической ФП, которым противопоказаны ОАК (антагонисты витамина К, прямые ингибиторы тромбина или ингибиторы фактора Ха). </w:t>
      </w:r>
    </w:p>
    <w:p w:rsidR="005A554D" w:rsidRPr="00AE15DA" w:rsidP="0043334F" w14:paraId="045A946D" w14:textId="77777777">
      <w:pPr>
        <w:pStyle w:val="HTMLPreformatted"/>
        <w:bidi w:val="0"/>
        <w:contextualSpacing/>
        <w:jc w:val="both"/>
        <w:rPr>
          <w:rFonts w:asciiTheme="minorHAnsi" w:hAnsiTheme="minorHAnsi" w:cs="Times New Roman"/>
          <w:i/>
          <w:sz w:val="22"/>
          <w:szCs w:val="22"/>
        </w:rPr>
      </w:pPr>
      <w:r w:rsidRPr="00AE15DA">
        <w:rPr>
          <w:rFonts w:asciiTheme="minorHAnsi" w:hAnsiTheme="minorHAnsi" w:cs="Times New Roman"/>
          <w:sz w:val="22"/>
          <w:szCs w:val="22"/>
          <w:rtl w:val="0"/>
          <w:lang w:val="ru"/>
        </w:rPr>
        <w:t>*</w:t>
      </w:r>
      <w:r w:rsidRPr="00AE15DA">
        <w:rPr>
          <w:rFonts w:asciiTheme="minorHAnsi" w:hAnsiTheme="minorHAnsi" w:cs="Times New Roman"/>
          <w:i/>
          <w:sz w:val="22"/>
          <w:szCs w:val="22"/>
          <w:rtl w:val="0"/>
          <w:lang w:val="ru"/>
        </w:rPr>
        <w:t xml:space="preserve"> Монотерапия аспирином или клопидогрелом не рекомендуется для профилактики инсульта у пациентов с ФП, это для них вредно.</w:t>
      </w:r>
    </w:p>
    <w:p w:rsidR="005A554D" w:rsidRPr="00AE15DA" w:rsidP="0043334F" w14:paraId="21FCC522" w14:textId="77777777">
      <w:pPr>
        <w:bidi w:val="0"/>
        <w:contextualSpacing/>
        <w:jc w:val="both"/>
        <w:rPr>
          <w:rFonts w:asciiTheme="minorHAnsi" w:hAnsiTheme="minorHAnsi"/>
          <w:i/>
          <w:color w:val="5B9BD5" w:themeColor="accent1"/>
          <w:sz w:val="22"/>
          <w:szCs w:val="22"/>
          <w:shd w:val="clear" w:color="auto" w:fill="FFFFFF"/>
        </w:rPr>
      </w:pPr>
      <w:r w:rsidRPr="00AE15DA">
        <w:rPr>
          <w:rFonts w:asciiTheme="minorHAnsi" w:hAnsiTheme="minorHAnsi"/>
          <w:i/>
          <w:color w:val="000000" w:themeColor="text1"/>
          <w:sz w:val="22"/>
          <w:szCs w:val="22"/>
          <w:shd w:val="clear" w:color="auto" w:fill="FFFFFF"/>
          <w:rtl w:val="0"/>
          <w:lang w:val="ru"/>
        </w:rPr>
        <w:t>* Двойная антитромбоцитарная терапия также не рекомендуется пациентам с противопоказанными ОАК из-за риска кровотечения.</w:t>
      </w:r>
    </w:p>
    <w:p w:rsidR="006C24B0" w:rsidRPr="00AE15DA" w:rsidP="0043334F" w14:paraId="79237148" w14:textId="77777777">
      <w:pPr>
        <w:bidi w:val="0"/>
        <w:contextualSpacing/>
        <w:jc w:val="both"/>
        <w:rPr>
          <w:rFonts w:asciiTheme="minorHAnsi" w:hAnsiTheme="minorHAnsi"/>
          <w:i/>
          <w:color w:val="000000" w:themeColor="text1"/>
          <w:sz w:val="22"/>
          <w:szCs w:val="22"/>
          <w:shd w:val="clear" w:color="auto" w:fill="FFFFFF"/>
        </w:rPr>
      </w:pPr>
      <w:r w:rsidRPr="00AE15DA">
        <w:rPr>
          <w:rFonts w:asciiTheme="minorHAnsi" w:hAnsiTheme="minorHAnsi"/>
          <w:i/>
          <w:color w:val="000000" w:themeColor="text1"/>
          <w:sz w:val="22"/>
          <w:szCs w:val="22"/>
          <w:shd w:val="clear" w:color="auto" w:fill="FFFFFF"/>
          <w:rtl w:val="0"/>
          <w:lang w:val="ru"/>
        </w:rPr>
        <w:t xml:space="preserve">* Этим пациентам в случаях с высоким риском инсульта может быть рекомендовано закрытие отростка левого предсердия. </w:t>
      </w:r>
    </w:p>
    <w:p w:rsidR="00A67B6A" w:rsidRPr="00AE15DA" w:rsidP="0043334F" w14:paraId="6599E1B5" w14:textId="77777777">
      <w:pPr>
        <w:pStyle w:val="HTMLPreformatted"/>
        <w:contextualSpacing/>
        <w:jc w:val="both"/>
        <w:rPr>
          <w:rFonts w:asciiTheme="minorHAnsi" w:hAnsiTheme="minorHAnsi" w:cstheme="minorHAnsi"/>
          <w:sz w:val="22"/>
          <w:szCs w:val="22"/>
        </w:rPr>
      </w:pPr>
    </w:p>
    <w:p w:rsidR="006C24B0" w:rsidRPr="00AE15DA" w:rsidP="0043334F" w14:paraId="5B74D4B6" w14:textId="77777777">
      <w:pPr>
        <w:pStyle w:val="HTMLPreformatted"/>
        <w:bidi w:val="0"/>
        <w:contextualSpacing/>
        <w:jc w:val="both"/>
        <w:rPr>
          <w:rFonts w:asciiTheme="minorHAnsi" w:hAnsiTheme="minorHAnsi" w:cstheme="minorHAnsi"/>
          <w:color w:val="000000" w:themeColor="text1"/>
          <w:sz w:val="22"/>
          <w:szCs w:val="22"/>
        </w:rPr>
      </w:pPr>
      <w:r w:rsidRPr="00AE15DA">
        <w:rPr>
          <w:rFonts w:asciiTheme="minorHAnsi" w:hAnsiTheme="minorHAnsi"/>
          <w:b/>
          <w:sz w:val="22"/>
          <w:szCs w:val="22"/>
          <w:rtl w:val="0"/>
          <w:lang w:val="ru"/>
        </w:rPr>
        <w:t xml:space="preserve">A28. Дабигатран не подходит для пациентов с СКФ &lt;30 мл/мин/1,73 м2. </w:t>
      </w:r>
    </w:p>
    <w:p w:rsidR="006C24B0" w:rsidRPr="00AE15DA" w:rsidP="0043334F" w14:paraId="2C1142E7" w14:textId="77777777">
      <w:pPr>
        <w:bidi w:val="0"/>
        <w:contextualSpacing/>
        <w:jc w:val="both"/>
        <w:rPr>
          <w:rFonts w:asciiTheme="minorHAnsi" w:hAnsiTheme="minorHAnsi"/>
          <w:i/>
          <w:sz w:val="22"/>
          <w:szCs w:val="22"/>
        </w:rPr>
      </w:pPr>
      <w:r w:rsidRPr="00AE15DA">
        <w:rPr>
          <w:rFonts w:asciiTheme="minorHAnsi" w:hAnsiTheme="minorHAnsi"/>
          <w:i/>
          <w:sz w:val="22"/>
          <w:szCs w:val="22"/>
          <w:rtl w:val="0"/>
          <w:lang w:val="ru"/>
        </w:rPr>
        <w:t>* Если СКФ &lt;15 мл/мин/1,73 м2, то не следует использовать NOAC.</w:t>
      </w:r>
    </w:p>
    <w:p w:rsidR="006C24B0" w:rsidRPr="00AE15DA" w:rsidP="0043334F" w14:paraId="2D406A44" w14:textId="77777777">
      <w:pPr>
        <w:bidi w:val="0"/>
        <w:contextualSpacing/>
        <w:jc w:val="both"/>
        <w:rPr>
          <w:rFonts w:asciiTheme="minorHAnsi" w:hAnsiTheme="minorHAnsi"/>
          <w:i/>
          <w:sz w:val="22"/>
          <w:szCs w:val="22"/>
        </w:rPr>
      </w:pPr>
      <w:r w:rsidRPr="00AE15DA">
        <w:rPr>
          <w:rFonts w:asciiTheme="minorHAnsi" w:hAnsiTheme="minorHAnsi"/>
          <w:i/>
          <w:sz w:val="22"/>
          <w:szCs w:val="22"/>
          <w:rtl w:val="0"/>
          <w:lang w:val="ru"/>
        </w:rPr>
        <w:t xml:space="preserve">* Несмотря на ограниченные данные о применении апиксабана, ривароксабана и эдоксабана у пациентов с СКФ 15–30 мл/мин/1,73 м2, их использование обычно не рекомендуется. </w:t>
      </w:r>
    </w:p>
    <w:p w:rsidR="00227CEA" w:rsidRPr="00AE15DA" w:rsidP="0043334F" w14:paraId="1B397E15" w14:textId="77777777">
      <w:pPr>
        <w:bidi w:val="0"/>
        <w:contextualSpacing/>
        <w:jc w:val="both"/>
        <w:rPr>
          <w:rFonts w:asciiTheme="minorHAnsi" w:hAnsiTheme="minorHAnsi"/>
          <w:i/>
          <w:sz w:val="22"/>
          <w:szCs w:val="22"/>
        </w:rPr>
      </w:pPr>
      <w:r w:rsidRPr="00AE15DA">
        <w:rPr>
          <w:rFonts w:asciiTheme="minorHAnsi" w:hAnsiTheme="minorHAnsi"/>
          <w:i/>
          <w:sz w:val="22"/>
          <w:szCs w:val="22"/>
          <w:rtl w:val="0"/>
          <w:lang w:val="ru"/>
        </w:rPr>
        <w:t xml:space="preserve">* Антикоагулянты нельзя назначать при ФП с СКФ &lt;30 </w:t>
      </w:r>
      <w:r w:rsidRPr="00AE15DA">
        <w:rPr>
          <w:rFonts w:asciiTheme="minorHAnsi" w:hAnsiTheme="minorHAnsi"/>
          <w:sz w:val="22"/>
          <w:szCs w:val="22"/>
          <w:rtl w:val="0"/>
          <w:lang w:val="ru"/>
        </w:rPr>
        <w:t>мл/мин/1,73 м2</w:t>
      </w:r>
      <w:r w:rsidRPr="00AE15DA">
        <w:rPr>
          <w:rFonts w:asciiTheme="minorHAnsi" w:hAnsiTheme="minorHAnsi"/>
          <w:i/>
          <w:sz w:val="22"/>
          <w:szCs w:val="22"/>
          <w:rtl w:val="0"/>
          <w:lang w:val="ru"/>
        </w:rPr>
        <w:t xml:space="preserve">, пациентам с высоким риском падения или с опасным для жизни кровотечением, пациентам, которые не хотят рисковать из-за возможного кровотечения, пациентам, которым будет трудно контролировать МНО, пациентам с плохо контролируемой АГ. </w:t>
      </w:r>
    </w:p>
    <w:p w:rsidR="00227CEA" w:rsidRPr="00AE15DA" w:rsidP="0043334F" w14:paraId="07A6BB22" w14:textId="77777777">
      <w:pPr>
        <w:bidi w:val="0"/>
        <w:contextualSpacing/>
        <w:jc w:val="both"/>
        <w:rPr>
          <w:rFonts w:asciiTheme="minorHAnsi" w:hAnsiTheme="minorHAnsi"/>
          <w:i/>
          <w:sz w:val="22"/>
          <w:szCs w:val="22"/>
        </w:rPr>
      </w:pPr>
      <w:r w:rsidRPr="00AE15DA">
        <w:rPr>
          <w:rFonts w:asciiTheme="minorHAnsi" w:hAnsiTheme="minorHAnsi"/>
          <w:i/>
          <w:sz w:val="22"/>
          <w:szCs w:val="22"/>
          <w:rtl w:val="0"/>
          <w:lang w:val="ru"/>
        </w:rPr>
        <w:t xml:space="preserve">* Антикоагулянты не рекомендуются пациентам с ФП, находящимся на диализе </w:t>
      </w:r>
      <w:r w:rsidRPr="00AE15DA" w:rsidR="00C017BA">
        <w:rPr>
          <w:rFonts w:asciiTheme="minorHAnsi" w:hAnsiTheme="minorHAnsi" w:cs="Arial"/>
          <w:i/>
          <w:color w:val="545454"/>
          <w:sz w:val="22"/>
          <w:szCs w:val="22"/>
          <w:shd w:val="clear" w:color="auto" w:fill="FFFFFF"/>
          <w:rtl w:val="0"/>
          <w:lang w:val="ru"/>
        </w:rPr>
        <w:t>[</w:t>
      </w:r>
      <w:r w:rsidRPr="00AE15DA">
        <w:rPr>
          <w:rFonts w:asciiTheme="minorHAnsi" w:hAnsiTheme="minorHAnsi"/>
          <w:i/>
          <w:sz w:val="22"/>
          <w:szCs w:val="22"/>
          <w:rtl w:val="0"/>
          <w:lang w:val="ru"/>
        </w:rPr>
        <w:t>за исключением случаев очень высокого риска инсульта: тромб предсердия, предшествующий ТИА-инсульт, заболевание клапана: (умеренно тяжелый МС, протез клапана)</w:t>
      </w:r>
      <w:r w:rsidRPr="00AE15DA" w:rsidR="00C017BA">
        <w:rPr>
          <w:rFonts w:asciiTheme="minorHAnsi" w:hAnsiTheme="minorHAnsi" w:cs="Arial"/>
          <w:i/>
          <w:color w:val="545454"/>
          <w:sz w:val="22"/>
          <w:szCs w:val="22"/>
          <w:shd w:val="clear" w:color="auto" w:fill="FFFFFF"/>
          <w:rtl w:val="0"/>
          <w:lang w:val="ru"/>
        </w:rPr>
        <w:t>]</w:t>
      </w:r>
      <w:r w:rsidRPr="00AE15DA">
        <w:rPr>
          <w:rFonts w:asciiTheme="minorHAnsi" w:hAnsiTheme="minorHAnsi"/>
          <w:i/>
          <w:sz w:val="22"/>
          <w:szCs w:val="22"/>
          <w:rtl w:val="0"/>
          <w:lang w:val="ru"/>
        </w:rPr>
        <w:t xml:space="preserve">. Если показаны антикоагулянты, рекомендуется варфарин. </w:t>
      </w:r>
    </w:p>
    <w:p w:rsidR="00AC740A" w:rsidRPr="00AE15DA" w:rsidP="0043334F" w14:paraId="2265B01D" w14:textId="77777777">
      <w:pPr>
        <w:bidi w:val="0"/>
        <w:contextualSpacing/>
        <w:jc w:val="both"/>
        <w:rPr>
          <w:rFonts w:asciiTheme="minorHAnsi" w:hAnsiTheme="minorHAnsi"/>
          <w:i/>
          <w:color w:val="000000" w:themeColor="text1"/>
          <w:sz w:val="22"/>
          <w:szCs w:val="22"/>
          <w:shd w:val="clear" w:color="auto" w:fill="FFFFFF"/>
        </w:rPr>
      </w:pPr>
      <w:r w:rsidRPr="00AE15DA">
        <w:rPr>
          <w:rFonts w:asciiTheme="minorHAnsi" w:hAnsiTheme="minorHAnsi"/>
          <w:i/>
          <w:color w:val="000000" w:themeColor="text1"/>
          <w:sz w:val="22"/>
          <w:szCs w:val="22"/>
          <w:shd w:val="clear" w:color="auto" w:fill="FFFFFF"/>
          <w:rtl w:val="0"/>
          <w:lang w:val="ru"/>
        </w:rPr>
        <w:t xml:space="preserve">* В случаях ФП с высоким риском инсульта, если нельзя использовать ОАК, может быть рекомендовано закрытие червеобразного отростка левого предсердия. </w:t>
      </w:r>
    </w:p>
    <w:p w:rsidR="00A67B6A" w:rsidRPr="00AE15DA" w:rsidP="0043334F" w14:paraId="32221B2F" w14:textId="77777777">
      <w:pPr>
        <w:bidi w:val="0"/>
        <w:contextualSpacing/>
        <w:jc w:val="both"/>
        <w:rPr>
          <w:rFonts w:asciiTheme="minorHAnsi" w:hAnsiTheme="minorHAnsi"/>
          <w:i/>
          <w:sz w:val="22"/>
          <w:szCs w:val="22"/>
        </w:rPr>
      </w:pPr>
      <w:r w:rsidRPr="00AE15DA">
        <w:rPr>
          <w:rFonts w:asciiTheme="minorHAnsi" w:hAnsiTheme="minorHAnsi"/>
          <w:i/>
          <w:sz w:val="22"/>
          <w:szCs w:val="22"/>
          <w:rtl w:val="0"/>
          <w:lang w:val="ru"/>
        </w:rPr>
        <w:t xml:space="preserve">* Эдоксабан не следует применять при СКФ &gt;95 мл/мин/1,73 м2. </w:t>
      </w:r>
    </w:p>
    <w:p w:rsidR="00A67B6A" w:rsidRPr="00AE15DA" w:rsidP="0043334F" w14:paraId="61799AF6" w14:textId="77777777">
      <w:pPr>
        <w:contextualSpacing/>
        <w:jc w:val="both"/>
        <w:rPr>
          <w:rFonts w:asciiTheme="minorHAnsi" w:hAnsiTheme="minorHAnsi"/>
          <w:i/>
          <w:sz w:val="22"/>
          <w:szCs w:val="22"/>
        </w:rPr>
      </w:pPr>
    </w:p>
    <w:p w:rsidR="00873A44" w:rsidRPr="00AE15DA" w:rsidP="0043334F" w14:paraId="2E07400A" w14:textId="77777777">
      <w:pPr>
        <w:spacing w:before="100" w:beforeAutospacing="1" w:after="100" w:afterAutospacing="1"/>
        <w:contextualSpacing/>
        <w:jc w:val="both"/>
        <w:rPr>
          <w:rFonts w:asciiTheme="minorHAnsi" w:hAnsiTheme="minorHAnsi"/>
          <w:b/>
          <w:sz w:val="22"/>
          <w:szCs w:val="22"/>
        </w:rPr>
      </w:pPr>
    </w:p>
    <w:p w:rsidR="00873A44" w:rsidRPr="00AE15DA" w:rsidP="0043334F" w14:paraId="67308D68" w14:textId="7298E61F">
      <w:pPr>
        <w:bidi w:val="0"/>
        <w:spacing w:before="100" w:beforeAutospacing="1" w:after="100" w:afterAutospacing="1"/>
        <w:contextualSpacing/>
        <w:jc w:val="both"/>
        <w:rPr>
          <w:rFonts w:asciiTheme="minorHAnsi" w:hAnsiTheme="minorHAnsi"/>
          <w:b/>
          <w:sz w:val="22"/>
          <w:szCs w:val="22"/>
        </w:rPr>
      </w:pPr>
      <w:r>
        <w:rPr>
          <w:rFonts w:ascii="Calibri" w:hAnsi="Calibri" w:cs="Calibri"/>
          <w:b/>
          <w:sz w:val="22"/>
          <w:szCs w:val="22"/>
          <w:rtl w:val="0"/>
          <w:lang w:val="ru"/>
        </w:rPr>
        <w:t xml:space="preserve">#A29. Варфарин не рекомендуется принимать пациентам с неклапанной ФП, которые недоедают или нерегулярно принимают пищу. </w:t>
      </w:r>
    </w:p>
    <w:p w:rsidR="00A67B6A" w:rsidRPr="00AE15DA" w:rsidP="0043334F" w14:paraId="4CADBD73" w14:textId="77777777">
      <w:pPr>
        <w:spacing w:before="100" w:beforeAutospacing="1" w:after="100" w:afterAutospacing="1"/>
        <w:contextualSpacing/>
        <w:jc w:val="both"/>
        <w:rPr>
          <w:rFonts w:asciiTheme="minorHAnsi" w:hAnsiTheme="minorHAnsi"/>
          <w:b/>
          <w:sz w:val="22"/>
          <w:szCs w:val="22"/>
        </w:rPr>
      </w:pPr>
    </w:p>
    <w:p w:rsidR="00A67B6A" w:rsidRPr="00AE15DA" w:rsidP="0043334F" w14:paraId="04BDDC2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000000"/>
          <w:sz w:val="22"/>
          <w:szCs w:val="22"/>
          <w:lang w:eastAsia="en-GB"/>
        </w:rPr>
      </w:pPr>
    </w:p>
    <w:p w:rsidR="00873A44" w:rsidRPr="00AE15DA" w:rsidP="0043334F" w14:paraId="02B36417" w14:textId="77777777">
      <w:pPr>
        <w:bidi w:val="0"/>
        <w:spacing w:before="100" w:beforeAutospacing="1" w:after="100" w:afterAutospacing="1"/>
        <w:contextualSpacing/>
        <w:jc w:val="both"/>
        <w:rPr>
          <w:rFonts w:asciiTheme="minorHAnsi" w:hAnsiTheme="minorHAnsi"/>
          <w:b/>
          <w:sz w:val="22"/>
          <w:szCs w:val="22"/>
        </w:rPr>
      </w:pPr>
      <w:r w:rsidRPr="00AE15DA">
        <w:rPr>
          <w:rFonts w:asciiTheme="minorHAnsi" w:hAnsiTheme="minorHAnsi"/>
          <w:b/>
          <w:sz w:val="22"/>
          <w:szCs w:val="22"/>
          <w:rtl w:val="0"/>
          <w:lang w:val="ru"/>
        </w:rPr>
        <w:t xml:space="preserve">A30. Использование препаратов с узким терапевтическим индексом, таких как варфарин и дигоксин, не подходит пациентам, которые испытывают трудности с приемом и распознаванием своих лекарств (например, пациенты с когнитивными нарушениями) и не имеют помощников (например, лиц, осуществляющих уход) - риск опасной для жизни токсичности). </w:t>
      </w:r>
    </w:p>
    <w:p w:rsidR="00A67B6A" w:rsidRPr="00AE15DA" w:rsidP="0043334F" w14:paraId="1D252E3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sz w:val="22"/>
          <w:szCs w:val="22"/>
          <w:shd w:val="clear" w:color="auto" w:fill="FFFFFF"/>
        </w:rPr>
      </w:pPr>
    </w:p>
    <w:p w:rsidR="00A67B6A" w:rsidRPr="00AE15DA" w:rsidP="0043334F" w14:paraId="366BAF9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sz w:val="22"/>
          <w:szCs w:val="22"/>
          <w:shd w:val="clear" w:color="auto" w:fill="FFFFFF"/>
        </w:rPr>
      </w:pPr>
    </w:p>
    <w:p w:rsidR="006C24B0" w:rsidRPr="00AE15DA" w:rsidP="0043334F" w14:paraId="5C3B9D4D" w14:textId="3EE343AF">
      <w:pPr>
        <w:bidi w:val="0"/>
        <w:spacing w:before="100" w:beforeAutospacing="1" w:after="100" w:afterAutospacing="1"/>
        <w:contextualSpacing/>
        <w:jc w:val="both"/>
        <w:rPr>
          <w:rFonts w:asciiTheme="minorHAnsi" w:hAnsiTheme="minorHAnsi"/>
          <w:b/>
          <w:i/>
          <w:sz w:val="22"/>
          <w:szCs w:val="22"/>
        </w:rPr>
      </w:pPr>
      <w:r>
        <w:rPr>
          <w:rFonts w:ascii="Calibri" w:hAnsi="Calibri" w:cs="Calibri"/>
          <w:b/>
          <w:sz w:val="22"/>
          <w:szCs w:val="22"/>
          <w:rtl w:val="0"/>
          <w:lang w:val="ru"/>
        </w:rPr>
        <w:t>#A31. Прасугрел не подходит для пациентов в возрасте 75 лет и старше или тех, кто перенес ТИА/инсульт.</w:t>
      </w:r>
    </w:p>
    <w:p w:rsidR="00873A44" w:rsidRPr="00AE15DA" w:rsidP="0043334F" w14:paraId="760E7952" w14:textId="77777777">
      <w:pPr>
        <w:spacing w:before="100" w:beforeAutospacing="1" w:after="100" w:afterAutospacing="1"/>
        <w:contextualSpacing/>
        <w:jc w:val="both"/>
        <w:rPr>
          <w:rFonts w:asciiTheme="minorHAnsi" w:hAnsiTheme="minorHAnsi" w:cstheme="minorHAnsi"/>
          <w:sz w:val="22"/>
          <w:szCs w:val="22"/>
        </w:rPr>
      </w:pPr>
    </w:p>
    <w:p w:rsidR="0077695B" w:rsidRPr="00AE15DA" w:rsidP="0043334F" w14:paraId="7FB30D64" w14:textId="77777777">
      <w:pPr>
        <w:spacing w:before="100" w:beforeAutospacing="1" w:after="100" w:afterAutospacing="1"/>
        <w:contextualSpacing/>
        <w:jc w:val="both"/>
        <w:rPr>
          <w:rFonts w:asciiTheme="minorHAnsi" w:hAnsiTheme="minorHAnsi" w:cstheme="minorHAnsi"/>
          <w:sz w:val="22"/>
          <w:szCs w:val="22"/>
        </w:rPr>
      </w:pPr>
    </w:p>
    <w:p w:rsidR="006C24B0" w:rsidRPr="00AE15DA" w:rsidP="0043334F" w14:paraId="1315BD07" w14:textId="5BBB4A83">
      <w:pPr>
        <w:bidi w:val="0"/>
        <w:spacing w:before="100" w:beforeAutospacing="1" w:after="100" w:afterAutospacing="1"/>
        <w:contextualSpacing/>
        <w:jc w:val="both"/>
        <w:rPr>
          <w:rFonts w:asciiTheme="minorHAnsi" w:hAnsiTheme="minorHAnsi" w:cstheme="minorHAnsi"/>
          <w:sz w:val="22"/>
          <w:szCs w:val="22"/>
        </w:rPr>
      </w:pPr>
      <w:r w:rsidRPr="00AE15DA">
        <w:rPr>
          <w:rFonts w:asciiTheme="minorHAnsi" w:hAnsiTheme="minorHAnsi"/>
          <w:b/>
          <w:sz w:val="22"/>
          <w:szCs w:val="22"/>
          <w:rtl w:val="0"/>
          <w:lang w:val="ru"/>
        </w:rPr>
        <w:t xml:space="preserve">A32. Тиклопидин не подходит для использования в качестве антиагрегантов (клопидогрель, тикагрелор или прасугрель имеют более высокую эффективность, больше доказательств и меньше побочных эффектов). </w:t>
      </w:r>
    </w:p>
    <w:p w:rsidR="00873A44" w:rsidRPr="00AE15DA" w:rsidP="0043334F" w14:paraId="4401673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lang w:eastAsia="en-GB"/>
        </w:rPr>
      </w:pPr>
    </w:p>
    <w:p w:rsidR="00977134" w:rsidRPr="00AE15DA" w:rsidP="0043334F" w14:paraId="76F1560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303030"/>
          <w:sz w:val="22"/>
          <w:szCs w:val="22"/>
          <w:shd w:val="clear" w:color="auto" w:fill="FFFFFF"/>
        </w:rPr>
      </w:pPr>
    </w:p>
    <w:p w:rsidR="0077695B" w:rsidRPr="00AE15DA" w:rsidP="0043334F" w14:paraId="237E1FAA" w14:textId="786ABDDE">
      <w:pPr>
        <w:bidi w:val="0"/>
        <w:spacing w:before="100" w:beforeAutospacing="1" w:after="100" w:afterAutospacing="1"/>
        <w:contextualSpacing/>
        <w:jc w:val="both"/>
        <w:rPr>
          <w:rFonts w:asciiTheme="minorHAnsi" w:hAnsiTheme="minorHAnsi"/>
          <w:b/>
          <w:color w:val="000000"/>
          <w:sz w:val="22"/>
          <w:szCs w:val="22"/>
        </w:rPr>
      </w:pPr>
      <w:r w:rsidRPr="00AE15DA">
        <w:rPr>
          <w:rFonts w:asciiTheme="minorHAnsi" w:hAnsiTheme="minorHAnsi"/>
          <w:b/>
          <w:color w:val="000000"/>
          <w:sz w:val="22"/>
          <w:szCs w:val="22"/>
          <w:rtl w:val="0"/>
          <w:lang w:val="ru"/>
        </w:rPr>
        <w:t>A33. Применение дипиридамола короткого действия не подходит из-за антиагрегантного действия тромбоцитов (</w:t>
      </w:r>
      <w:r w:rsidRPr="00AE15DA">
        <w:rPr>
          <w:rFonts w:asciiTheme="minorHAnsi" w:hAnsiTheme="minorHAnsi"/>
          <w:b/>
          <w:sz w:val="22"/>
          <w:szCs w:val="22"/>
          <w:rtl w:val="0"/>
          <w:lang w:val="ru"/>
        </w:rPr>
        <w:t>побочный эффект ортостатической гипотензии и наличие более эффективных средств</w:t>
      </w:r>
      <w:r w:rsidRPr="00AE15DA">
        <w:rPr>
          <w:rFonts w:asciiTheme="minorHAnsi" w:hAnsiTheme="minorHAnsi"/>
          <w:b/>
          <w:color w:val="000000"/>
          <w:sz w:val="22"/>
          <w:szCs w:val="22"/>
          <w:rtl w:val="0"/>
          <w:lang w:val="ru"/>
        </w:rPr>
        <w:t xml:space="preserve">). </w:t>
      </w:r>
    </w:p>
    <w:p w:rsidR="0077695B" w:rsidRPr="00AE15DA" w:rsidP="0043334F" w14:paraId="38917D6C" w14:textId="77777777">
      <w:pPr>
        <w:spacing w:before="100" w:beforeAutospacing="1" w:after="100" w:afterAutospacing="1"/>
        <w:contextualSpacing/>
        <w:jc w:val="both"/>
        <w:rPr>
          <w:rFonts w:asciiTheme="minorHAnsi" w:hAnsiTheme="minorHAnsi"/>
          <w:b/>
          <w:color w:val="000000"/>
          <w:sz w:val="22"/>
          <w:szCs w:val="22"/>
        </w:rPr>
      </w:pPr>
    </w:p>
    <w:p w:rsidR="0077695B" w:rsidRPr="00AE15DA" w:rsidP="0043334F" w14:paraId="274D24A1" w14:textId="77777777">
      <w:pPr>
        <w:spacing w:before="100" w:beforeAutospacing="1" w:after="100" w:afterAutospacing="1"/>
        <w:contextualSpacing/>
        <w:jc w:val="both"/>
        <w:rPr>
          <w:rFonts w:asciiTheme="minorHAnsi" w:hAnsiTheme="minorHAnsi" w:cstheme="minorHAnsi"/>
          <w:sz w:val="22"/>
          <w:szCs w:val="22"/>
        </w:rPr>
      </w:pPr>
    </w:p>
    <w:p w:rsidR="0077695B" w:rsidRPr="00AE15DA" w:rsidP="0043334F" w14:paraId="5582EC16" w14:textId="77777777">
      <w:pPr>
        <w:bidi w:val="0"/>
        <w:spacing w:before="100" w:beforeAutospacing="1" w:after="100" w:afterAutospacing="1"/>
        <w:contextualSpacing/>
        <w:jc w:val="both"/>
        <w:rPr>
          <w:rFonts w:asciiTheme="minorHAnsi" w:hAnsiTheme="minorHAnsi"/>
          <w:b/>
          <w:sz w:val="22"/>
          <w:szCs w:val="22"/>
        </w:rPr>
      </w:pPr>
      <w:r w:rsidRPr="00AE15DA">
        <w:rPr>
          <w:rFonts w:asciiTheme="minorHAnsi" w:hAnsiTheme="minorHAnsi"/>
          <w:b/>
          <w:sz w:val="22"/>
          <w:szCs w:val="22"/>
          <w:rtl w:val="0"/>
          <w:lang w:val="ru"/>
        </w:rPr>
        <w:t xml:space="preserve">A34. Использование статинов для первичной профилактики нецелесообразно у пожилых людей с низкой ожидаемой продолжительностью жизни (&lt;2 лет) или развитой деменцией. </w:t>
      </w:r>
    </w:p>
    <w:p w:rsidR="0077695B" w:rsidRPr="00AE15DA" w:rsidP="0043334F" w14:paraId="18C07888" w14:textId="77777777">
      <w:pPr>
        <w:spacing w:before="100" w:beforeAutospacing="1" w:after="100" w:afterAutospacing="1"/>
        <w:contextualSpacing/>
        <w:jc w:val="both"/>
        <w:rPr>
          <w:rFonts w:asciiTheme="minorHAnsi" w:hAnsiTheme="minorHAnsi" w:cstheme="minorHAnsi"/>
          <w:color w:val="000000"/>
          <w:sz w:val="22"/>
          <w:szCs w:val="22"/>
        </w:rPr>
      </w:pPr>
    </w:p>
    <w:p w:rsidR="0077695B" w:rsidRPr="00AE15DA" w:rsidP="0043334F" w14:paraId="2ADCA7DD" w14:textId="77777777">
      <w:pPr>
        <w:spacing w:before="100" w:beforeAutospacing="1" w:after="100" w:afterAutospacing="1"/>
        <w:contextualSpacing/>
        <w:jc w:val="both"/>
        <w:rPr>
          <w:rFonts w:asciiTheme="minorHAnsi" w:hAnsiTheme="minorHAnsi" w:cstheme="minorHAnsi"/>
          <w:color w:val="000000"/>
          <w:sz w:val="22"/>
          <w:szCs w:val="22"/>
        </w:rPr>
      </w:pPr>
    </w:p>
    <w:p w:rsidR="006C24B0" w:rsidRPr="00AE15DA" w:rsidP="0043334F" w14:paraId="6E209470" w14:textId="77777777">
      <w:pPr>
        <w:bidi w:val="0"/>
        <w:spacing w:before="100" w:beforeAutospacing="1" w:after="100" w:afterAutospacing="1"/>
        <w:contextualSpacing/>
        <w:jc w:val="both"/>
        <w:rPr>
          <w:rFonts w:asciiTheme="minorHAnsi" w:hAnsiTheme="minorHAnsi"/>
          <w:sz w:val="22"/>
          <w:szCs w:val="22"/>
        </w:rPr>
      </w:pPr>
      <w:r w:rsidRPr="00AE15DA">
        <w:rPr>
          <w:rFonts w:asciiTheme="minorHAnsi" w:hAnsiTheme="minorHAnsi"/>
          <w:b/>
          <w:sz w:val="22"/>
          <w:szCs w:val="22"/>
          <w:rtl w:val="0"/>
          <w:lang w:val="ru"/>
        </w:rPr>
        <w:t xml:space="preserve">A35. При бессимптомной гиперурикемии (случаи без подагры или нефролитиаза) нецелесообразно начинать прием аллопуринола (нет доказательств пользы, риск побочных эффектов при использовании ингибиторов ксантиноксидазы) (нет доказательств того, что лечение снижает риск </w:t>
      </w:r>
      <w:r w:rsidRPr="00AE15DA" w:rsidR="00EA77B5">
        <w:rPr>
          <w:rFonts w:asciiTheme="minorHAnsi" w:hAnsiTheme="minorHAnsi"/>
          <w:b/>
          <w:color w:val="000000"/>
          <w:sz w:val="22"/>
          <w:szCs w:val="22"/>
          <w:shd w:val="clear" w:color="auto" w:fill="FFFFFF"/>
          <w:rtl w:val="0"/>
          <w:lang w:val="ru"/>
        </w:rPr>
        <w:t>сердечно-сосудистых заболеваний или подагры)</w:t>
      </w:r>
    </w:p>
    <w:p w:rsidR="009D2A23" w:rsidRPr="00AE15DA" w:rsidP="0043334F" w14:paraId="72EB6DA4" w14:textId="77777777">
      <w:pPr>
        <w:bidi w:val="0"/>
        <w:contextualSpacing/>
        <w:jc w:val="both"/>
        <w:rPr>
          <w:rFonts w:asciiTheme="minorHAnsi" w:hAnsiTheme="minorHAnsi"/>
          <w:i/>
          <w:color w:val="212121"/>
          <w:sz w:val="22"/>
          <w:szCs w:val="22"/>
          <w:shd w:val="clear" w:color="auto" w:fill="FFFFFF"/>
        </w:rPr>
      </w:pPr>
      <w:r w:rsidRPr="00AE15DA">
        <w:rPr>
          <w:rFonts w:asciiTheme="minorHAnsi" w:hAnsiTheme="minorHAnsi"/>
          <w:i/>
          <w:color w:val="000000"/>
          <w:sz w:val="22"/>
          <w:szCs w:val="22"/>
          <w:shd w:val="clear" w:color="auto" w:fill="FFFFFF"/>
          <w:rtl w:val="0"/>
          <w:lang w:val="ru"/>
        </w:rPr>
        <w:t>*</w:t>
      </w:r>
      <w:r w:rsidRPr="00AE15DA" w:rsidR="004F3ECE">
        <w:rPr>
          <w:rFonts w:asciiTheme="minorHAnsi" w:hAnsiTheme="minorHAnsi"/>
          <w:i/>
          <w:color w:val="212121"/>
          <w:sz w:val="22"/>
          <w:szCs w:val="22"/>
          <w:shd w:val="clear" w:color="auto" w:fill="FFFFFF"/>
          <w:rtl w:val="0"/>
          <w:lang w:val="ru"/>
        </w:rPr>
        <w:t xml:space="preserve"> Если уровень мочевой кислоты в сыворотке составляет &gt;10 мг/дл у женщин и &gt;13 мг/дл у мужчин, из-за риска возникновения хронического заболевания почек может быть рекомендована терапия, снижающая этот уровень.</w:t>
      </w:r>
    </w:p>
    <w:p w:rsidR="0077695B" w:rsidRPr="00AE15DA" w:rsidP="0043334F" w14:paraId="4CDA2E94" w14:textId="77777777">
      <w:pPr>
        <w:contextualSpacing/>
        <w:jc w:val="both"/>
        <w:rPr>
          <w:rFonts w:asciiTheme="minorHAnsi" w:hAnsiTheme="minorHAnsi"/>
          <w:i/>
          <w:color w:val="212121"/>
          <w:sz w:val="22"/>
          <w:szCs w:val="22"/>
          <w:shd w:val="clear" w:color="auto" w:fill="FFFFFF"/>
        </w:rPr>
      </w:pPr>
    </w:p>
    <w:p w:rsidR="009D2A23" w:rsidRPr="00AE15DA" w:rsidP="0043334F" w14:paraId="5A0DA57D" w14:textId="77777777">
      <w:pPr>
        <w:contextualSpacing/>
        <w:jc w:val="both"/>
        <w:rPr>
          <w:rFonts w:asciiTheme="minorHAnsi" w:hAnsiTheme="minorHAnsi"/>
          <w:b/>
          <w:i/>
          <w:sz w:val="22"/>
          <w:szCs w:val="22"/>
          <w:u w:val="single"/>
        </w:rPr>
      </w:pPr>
    </w:p>
    <w:p w:rsidR="009D2A23" w:rsidRPr="00AE15DA" w:rsidP="0043334F" w14:paraId="58929CE0" w14:textId="77777777">
      <w:pPr>
        <w:contextualSpacing/>
        <w:jc w:val="both"/>
        <w:rPr>
          <w:rFonts w:asciiTheme="minorHAnsi" w:hAnsiTheme="minorHAnsi"/>
          <w:b/>
          <w:i/>
          <w:sz w:val="22"/>
          <w:szCs w:val="22"/>
          <w:u w:val="single"/>
        </w:rPr>
      </w:pPr>
    </w:p>
    <w:p w:rsidR="009D2A23" w:rsidRPr="00AE15DA" w:rsidP="0043334F" w14:paraId="0B992FDE" w14:textId="77777777">
      <w:pPr>
        <w:contextualSpacing/>
        <w:jc w:val="both"/>
        <w:rPr>
          <w:rFonts w:asciiTheme="minorHAnsi" w:hAnsiTheme="minorHAnsi"/>
          <w:b/>
          <w:i/>
          <w:sz w:val="22"/>
          <w:szCs w:val="22"/>
          <w:u w:val="single"/>
        </w:rPr>
      </w:pPr>
    </w:p>
    <w:p w:rsidR="00AF251E" w:rsidRPr="00AE15DA" w:rsidP="0043334F" w14:paraId="0ECE201C" w14:textId="77777777">
      <w:pPr>
        <w:bidi w:val="0"/>
        <w:contextualSpacing/>
        <w:jc w:val="both"/>
        <w:rPr>
          <w:rFonts w:asciiTheme="minorHAnsi" w:hAnsiTheme="minorHAnsi"/>
          <w:b/>
          <w:sz w:val="28"/>
          <w:szCs w:val="28"/>
        </w:rPr>
      </w:pPr>
      <w:r w:rsidRPr="00AE15DA">
        <w:rPr>
          <w:rFonts w:asciiTheme="minorHAnsi" w:hAnsiTheme="minorHAnsi"/>
          <w:b/>
          <w:sz w:val="28"/>
          <w:szCs w:val="28"/>
          <w:rtl w:val="0"/>
          <w:lang w:val="ru"/>
        </w:rPr>
        <w:t xml:space="preserve">B: Критерии центральной нервной системы. </w:t>
      </w:r>
    </w:p>
    <w:p w:rsidR="0043334F" w:rsidRPr="00AE15DA" w:rsidP="0043334F" w14:paraId="5FBC2C00" w14:textId="77777777">
      <w:pPr>
        <w:contextualSpacing/>
        <w:jc w:val="both"/>
        <w:rPr>
          <w:rFonts w:asciiTheme="minorHAnsi" w:hAnsiTheme="minorHAnsi"/>
          <w:b/>
          <w:sz w:val="28"/>
          <w:szCs w:val="28"/>
        </w:rPr>
      </w:pPr>
    </w:p>
    <w:p w:rsidR="001B712D" w:rsidRPr="00AE15DA" w:rsidP="0043334F" w14:paraId="50F0D324" w14:textId="77777777">
      <w:pPr>
        <w:bidi w:val="0"/>
        <w:spacing w:before="100" w:beforeAutospacing="1" w:after="100" w:afterAutospacing="1"/>
        <w:contextualSpacing/>
        <w:jc w:val="both"/>
        <w:rPr>
          <w:rFonts w:asciiTheme="minorHAnsi" w:hAnsiTheme="minorHAnsi"/>
          <w:b/>
          <w:sz w:val="22"/>
          <w:szCs w:val="22"/>
        </w:rPr>
      </w:pPr>
      <w:r w:rsidRPr="00AE15DA">
        <w:rPr>
          <w:rFonts w:asciiTheme="minorHAnsi" w:hAnsiTheme="minorHAnsi"/>
          <w:b/>
          <w:sz w:val="22"/>
          <w:szCs w:val="22"/>
          <w:rtl w:val="0"/>
          <w:lang w:val="ru"/>
        </w:rPr>
        <w:t xml:space="preserve">B1. Использование трициклических антидепрессантов нецелесообразно (высокий антихолинергический эффект, ухудшение когнитивных функций, нарушение сердечной проводимости, ортостатическая гипотензия, задержка мочи, ухудшение простатизма, обострение узкоугольной глаукомы) </w:t>
      </w:r>
    </w:p>
    <w:p w:rsidR="001B712D" w:rsidRPr="00AE15DA" w:rsidP="0043334F" w14:paraId="7ABE1AF0" w14:textId="77777777">
      <w:pPr>
        <w:spacing w:before="100" w:beforeAutospacing="1" w:after="100" w:afterAutospacing="1"/>
        <w:contextualSpacing/>
        <w:jc w:val="both"/>
        <w:rPr>
          <w:rFonts w:asciiTheme="minorHAnsi" w:hAnsiTheme="minorHAnsi" w:cstheme="minorHAnsi"/>
          <w:color w:val="000000"/>
          <w:sz w:val="22"/>
          <w:szCs w:val="22"/>
        </w:rPr>
      </w:pPr>
    </w:p>
    <w:p w:rsidR="001B712D" w:rsidRPr="00AE15DA" w:rsidP="0043334F" w14:paraId="6A1C687D" w14:textId="77777777">
      <w:pPr>
        <w:spacing w:before="100" w:beforeAutospacing="1" w:after="100" w:afterAutospacing="1"/>
        <w:contextualSpacing/>
        <w:jc w:val="both"/>
        <w:rPr>
          <w:rFonts w:asciiTheme="minorHAnsi" w:hAnsiTheme="minorHAnsi" w:cstheme="minorHAnsi"/>
          <w:color w:val="000000"/>
          <w:sz w:val="22"/>
          <w:szCs w:val="22"/>
        </w:rPr>
      </w:pPr>
    </w:p>
    <w:p w:rsidR="001B712D" w:rsidRPr="00AE15DA" w:rsidP="0043334F" w14:paraId="5EE174A0" w14:textId="77777777">
      <w:pPr>
        <w:bidi w:val="0"/>
        <w:spacing w:before="100" w:beforeAutospacing="1" w:after="100" w:afterAutospacing="1"/>
        <w:contextualSpacing/>
        <w:jc w:val="both"/>
        <w:rPr>
          <w:rFonts w:asciiTheme="minorHAnsi" w:hAnsiTheme="minorHAnsi"/>
          <w:b/>
          <w:color w:val="000000"/>
          <w:sz w:val="22"/>
          <w:szCs w:val="22"/>
        </w:rPr>
      </w:pPr>
      <w:r w:rsidRPr="00AE15DA">
        <w:rPr>
          <w:rFonts w:asciiTheme="minorHAnsi" w:hAnsiTheme="minorHAnsi"/>
          <w:b/>
          <w:color w:val="000000"/>
          <w:sz w:val="22"/>
          <w:szCs w:val="22"/>
          <w:rtl w:val="0"/>
          <w:lang w:val="ru"/>
        </w:rPr>
        <w:t>B2. Нецелесообразно отдавать предпочтение пароксетину, флуоксетину и флуваксамину при терапии первой линии в случаях, когда затем будет начато лечение СИОЗС (из-за высокого антихолинергического эффекта пароксетина, длительного периода полувыведения флуоксетина, частых случаев лекарственного взаимодействия флуоксетина и флувакамина).</w:t>
      </w:r>
    </w:p>
    <w:p w:rsidR="001B712D" w:rsidRPr="00AE15DA" w:rsidP="0043334F" w14:paraId="1EDCAB14" w14:textId="77777777">
      <w:pPr>
        <w:spacing w:before="100" w:beforeAutospacing="1" w:after="100" w:afterAutospacing="1"/>
        <w:contextualSpacing/>
        <w:jc w:val="both"/>
        <w:rPr>
          <w:rFonts w:asciiTheme="minorHAnsi" w:hAnsiTheme="minorHAnsi" w:cstheme="minorHAnsi"/>
          <w:sz w:val="22"/>
          <w:szCs w:val="22"/>
        </w:rPr>
      </w:pPr>
    </w:p>
    <w:p w:rsidR="001B712D" w:rsidRPr="00AE15DA" w:rsidP="0043334F" w14:paraId="129BD411" w14:textId="77777777">
      <w:pPr>
        <w:spacing w:before="100" w:beforeAutospacing="1" w:after="100" w:afterAutospacing="1"/>
        <w:contextualSpacing/>
        <w:jc w:val="both"/>
        <w:rPr>
          <w:rFonts w:asciiTheme="minorHAnsi" w:hAnsiTheme="minorHAnsi" w:cstheme="minorHAnsi"/>
          <w:sz w:val="22"/>
          <w:szCs w:val="22"/>
        </w:rPr>
      </w:pPr>
    </w:p>
    <w:p w:rsidR="001B712D" w:rsidRPr="00AE15DA" w:rsidP="0043334F" w14:paraId="7F2353AF" w14:textId="77777777">
      <w:pPr>
        <w:bidi w:val="0"/>
        <w:spacing w:before="100" w:beforeAutospacing="1" w:after="100" w:afterAutospacing="1"/>
        <w:contextualSpacing/>
        <w:jc w:val="both"/>
        <w:rPr>
          <w:rFonts w:asciiTheme="minorHAnsi" w:hAnsiTheme="minorHAnsi"/>
          <w:b/>
          <w:sz w:val="22"/>
          <w:szCs w:val="22"/>
        </w:rPr>
      </w:pPr>
      <w:r w:rsidRPr="00AE15DA">
        <w:rPr>
          <w:rFonts w:asciiTheme="minorHAnsi" w:hAnsiTheme="minorHAnsi"/>
          <w:b/>
          <w:sz w:val="22"/>
          <w:szCs w:val="22"/>
          <w:rtl w:val="0"/>
          <w:lang w:val="ru"/>
        </w:rPr>
        <w:t xml:space="preserve">B3. Пациентам с недавней или текущей значительной гипонатриемией (сывороточный Na &lt;130 мЭкв/л) нецелесообразно назначение СИОЗС (повышенный риск гипонатриемии при применении СИОЗС). </w:t>
      </w:r>
    </w:p>
    <w:p w:rsidR="0043334F" w:rsidRPr="00AE15DA" w:rsidP="0043334F" w14:paraId="094E53AB" w14:textId="77777777">
      <w:pPr>
        <w:bidi w:val="0"/>
        <w:spacing w:before="100" w:beforeAutospacing="1" w:after="100" w:afterAutospacing="1"/>
        <w:contextualSpacing/>
        <w:jc w:val="both"/>
        <w:rPr>
          <w:rFonts w:asciiTheme="minorHAnsi" w:hAnsiTheme="minorHAnsi"/>
          <w:i/>
          <w:sz w:val="22"/>
          <w:szCs w:val="22"/>
          <w:shd w:val="clear" w:color="auto" w:fill="FFFFFF"/>
        </w:rPr>
      </w:pPr>
      <w:r w:rsidRPr="00AE15DA">
        <w:rPr>
          <w:rFonts w:asciiTheme="minorHAnsi" w:hAnsiTheme="minorHAnsi"/>
          <w:i/>
          <w:sz w:val="22"/>
          <w:szCs w:val="22"/>
          <w:shd w:val="clear" w:color="auto" w:fill="FFFFFF"/>
          <w:rtl w:val="0"/>
          <w:lang w:val="ru"/>
        </w:rPr>
        <w:t xml:space="preserve">* Факторами риска развития гипонатриемии при приеме СИОЗС являются пожилой возраст, женский пол, сопутствующий прием диуретиков, низкая масса тела и низкий исходный уровень Na. </w:t>
      </w:r>
    </w:p>
    <w:p w:rsidR="0043334F" w:rsidRPr="00AE15DA" w:rsidP="0043334F" w14:paraId="1CEC7A99" w14:textId="77777777">
      <w:pPr>
        <w:bidi w:val="0"/>
        <w:spacing w:before="100" w:beforeAutospacing="1" w:after="100" w:afterAutospacing="1"/>
        <w:contextualSpacing/>
        <w:jc w:val="both"/>
        <w:rPr>
          <w:rFonts w:asciiTheme="minorHAnsi" w:hAnsiTheme="minorHAnsi"/>
          <w:i/>
          <w:sz w:val="22"/>
          <w:szCs w:val="22"/>
        </w:rPr>
      </w:pPr>
      <w:r w:rsidRPr="00AE15DA">
        <w:rPr>
          <w:rFonts w:asciiTheme="minorHAnsi" w:hAnsiTheme="minorHAnsi"/>
          <w:i/>
          <w:sz w:val="22"/>
          <w:szCs w:val="22"/>
          <w:rtl w:val="0"/>
          <w:lang w:val="ru"/>
        </w:rPr>
        <w:t>* Пациенты, которые начали принимать СИОЗС или те, у кого была увеличена дозировка, должны быть проинформированы о клинических проявлениях гипонатриемии. Первые 4 недели - самое рискованное время.</w:t>
      </w:r>
    </w:p>
    <w:p w:rsidR="00D71917" w:rsidRPr="00AE15DA" w:rsidP="0043334F" w14:paraId="37281141" w14:textId="77777777">
      <w:pPr>
        <w:bidi w:val="0"/>
        <w:spacing w:before="100" w:beforeAutospacing="1" w:after="100" w:afterAutospacing="1"/>
        <w:contextualSpacing/>
        <w:jc w:val="both"/>
        <w:rPr>
          <w:rFonts w:asciiTheme="minorHAnsi" w:hAnsiTheme="minorHAnsi"/>
          <w:i/>
          <w:sz w:val="22"/>
          <w:szCs w:val="22"/>
        </w:rPr>
      </w:pPr>
      <w:r w:rsidRPr="00AE15DA">
        <w:rPr>
          <w:rFonts w:asciiTheme="minorHAnsi" w:hAnsiTheme="minorHAnsi"/>
          <w:i/>
          <w:sz w:val="22"/>
          <w:szCs w:val="22"/>
          <w:rtl w:val="0"/>
          <w:lang w:val="ru"/>
        </w:rPr>
        <w:t xml:space="preserve">* Для пациентам с риском гипонатриемии может быть целесообразно предпочесть миртазапин или бупропион СИОЗС. </w:t>
      </w:r>
    </w:p>
    <w:p w:rsidR="006C24B0" w:rsidRPr="00AE15DA" w:rsidP="0043334F" w14:paraId="2FD2FA1F" w14:textId="77777777">
      <w:pPr>
        <w:autoSpaceDE w:val="0"/>
        <w:autoSpaceDN w:val="0"/>
        <w:adjustRightInd w:val="0"/>
        <w:contextualSpacing/>
        <w:jc w:val="both"/>
        <w:rPr>
          <w:rFonts w:asciiTheme="minorHAnsi" w:hAnsiTheme="minorHAnsi"/>
          <w:b/>
          <w:sz w:val="22"/>
          <w:szCs w:val="22"/>
        </w:rPr>
      </w:pPr>
    </w:p>
    <w:p w:rsidR="00DB20DE" w:rsidRPr="00AE15DA" w:rsidP="0043334F" w14:paraId="4BD2506D" w14:textId="77777777">
      <w:pPr>
        <w:autoSpaceDE w:val="0"/>
        <w:autoSpaceDN w:val="0"/>
        <w:adjustRightInd w:val="0"/>
        <w:contextualSpacing/>
        <w:jc w:val="both"/>
        <w:rPr>
          <w:rFonts w:asciiTheme="minorHAnsi" w:hAnsiTheme="minorHAnsi"/>
          <w:b/>
          <w:sz w:val="22"/>
          <w:szCs w:val="22"/>
        </w:rPr>
      </w:pPr>
    </w:p>
    <w:p w:rsidR="00962639" w:rsidRPr="00AE15DA" w:rsidP="0043334F" w14:paraId="5E644548" w14:textId="2FA858CE">
      <w:pPr>
        <w:autoSpaceDE w:val="0"/>
        <w:autoSpaceDN w:val="0"/>
        <w:bidi w:val="0"/>
        <w:adjustRightInd w:val="0"/>
        <w:contextualSpacing/>
        <w:jc w:val="both"/>
        <w:rPr>
          <w:rFonts w:asciiTheme="minorHAnsi" w:hAnsiTheme="minorHAnsi"/>
          <w:b/>
          <w:color w:val="000000"/>
          <w:sz w:val="22"/>
          <w:szCs w:val="22"/>
        </w:rPr>
      </w:pPr>
      <w:r>
        <w:rPr>
          <w:rFonts w:ascii="Calibri" w:hAnsi="Calibri" w:cs="Calibri"/>
          <w:b/>
          <w:sz w:val="22"/>
          <w:szCs w:val="22"/>
          <w:rtl w:val="0"/>
          <w:lang w:val="ru"/>
        </w:rPr>
        <w:t xml:space="preserve">#B4. </w:t>
      </w:r>
      <w:r w:rsidRPr="00AE15DA" w:rsidR="00647B95">
        <w:rPr>
          <w:rFonts w:asciiTheme="minorHAnsi" w:hAnsiTheme="minorHAnsi"/>
          <w:b/>
          <w:color w:val="000000"/>
          <w:sz w:val="22"/>
          <w:szCs w:val="22"/>
          <w:rtl w:val="0"/>
          <w:lang w:val="ru"/>
        </w:rPr>
        <w:t>Использование ИОЗН нецелесообразно при неконтролируемой гипертензии.</w:t>
      </w:r>
    </w:p>
    <w:p w:rsidR="0081726F" w:rsidRPr="00AE15DA" w:rsidP="0043334F" w14:paraId="47C2B346" w14:textId="77777777">
      <w:pPr>
        <w:autoSpaceDE w:val="0"/>
        <w:autoSpaceDN w:val="0"/>
        <w:bidi w:val="0"/>
        <w:adjustRightInd w:val="0"/>
        <w:contextualSpacing/>
        <w:jc w:val="both"/>
        <w:rPr>
          <w:rFonts w:asciiTheme="minorHAnsi" w:hAnsiTheme="minorHAnsi"/>
          <w:i/>
          <w:color w:val="000000"/>
          <w:sz w:val="22"/>
          <w:szCs w:val="22"/>
        </w:rPr>
      </w:pPr>
      <w:r w:rsidRPr="00AE15DA">
        <w:rPr>
          <w:rFonts w:asciiTheme="minorHAnsi" w:hAnsiTheme="minorHAnsi"/>
          <w:i/>
          <w:color w:val="000000"/>
          <w:sz w:val="22"/>
          <w:szCs w:val="22"/>
          <w:rtl w:val="0"/>
          <w:lang w:val="ru"/>
        </w:rPr>
        <w:t>* Побочный эффект венлафаксина в виде ГТ более выражен, чем дулоксетина.</w:t>
      </w:r>
    </w:p>
    <w:p w:rsidR="001B712D" w:rsidP="0043334F" w14:paraId="13644F49" w14:textId="77777777">
      <w:pPr>
        <w:pStyle w:val="HTMLPreformatted"/>
        <w:bidi w:val="0"/>
        <w:contextualSpacing/>
        <w:jc w:val="both"/>
        <w:rPr>
          <w:rFonts w:asciiTheme="minorHAnsi" w:hAnsiTheme="minorHAnsi" w:cs="Times New Roman"/>
          <w:i/>
          <w:color w:val="000000"/>
          <w:sz w:val="22"/>
          <w:szCs w:val="22"/>
        </w:rPr>
      </w:pPr>
      <w:r w:rsidRPr="00AE15DA">
        <w:rPr>
          <w:rFonts w:asciiTheme="minorHAnsi" w:hAnsiTheme="minorHAnsi" w:cs="Times New Roman"/>
          <w:i/>
          <w:color w:val="000000"/>
          <w:sz w:val="22"/>
          <w:szCs w:val="22"/>
          <w:rtl w:val="0"/>
          <w:lang w:val="ru"/>
        </w:rPr>
        <w:t>* Побочный эффект венлафаксина в виде ГТ более выражен при дозах &gt;300 мг/сут.</w:t>
      </w:r>
    </w:p>
    <w:p w:rsidR="001B712D" w:rsidP="0043334F" w14:paraId="6ADE0DF6" w14:textId="1FCF2D7A">
      <w:pPr>
        <w:pStyle w:val="HTMLPreformatted"/>
        <w:contextualSpacing/>
        <w:jc w:val="both"/>
        <w:rPr>
          <w:rFonts w:asciiTheme="minorHAnsi" w:hAnsiTheme="minorHAnsi" w:cstheme="minorHAnsi"/>
          <w:color w:val="000000"/>
          <w:sz w:val="22"/>
          <w:szCs w:val="22"/>
        </w:rPr>
      </w:pPr>
    </w:p>
    <w:p w:rsidR="00E85274" w:rsidRPr="00AE15DA" w:rsidP="0043334F" w14:paraId="6A105924" w14:textId="77777777">
      <w:pPr>
        <w:pStyle w:val="HTMLPreformatted"/>
        <w:contextualSpacing/>
        <w:jc w:val="both"/>
        <w:rPr>
          <w:rFonts w:asciiTheme="minorHAnsi" w:hAnsiTheme="minorHAnsi" w:cstheme="minorHAnsi"/>
          <w:color w:val="000000"/>
          <w:sz w:val="22"/>
          <w:szCs w:val="22"/>
        </w:rPr>
      </w:pPr>
    </w:p>
    <w:p w:rsidR="00F63F30" w:rsidRPr="00AE15DA" w:rsidP="0043334F" w14:paraId="63CA8556" w14:textId="77777777">
      <w:pPr>
        <w:pStyle w:val="HTMLPreformatted"/>
        <w:bidi w:val="0"/>
        <w:contextualSpacing/>
        <w:jc w:val="both"/>
        <w:rPr>
          <w:rFonts w:asciiTheme="minorHAnsi" w:hAnsiTheme="minorHAnsi" w:cs="Times New Roman"/>
          <w:i/>
          <w:color w:val="000000"/>
          <w:sz w:val="22"/>
          <w:szCs w:val="22"/>
        </w:rPr>
      </w:pPr>
      <w:r w:rsidRPr="00AE15DA">
        <w:rPr>
          <w:rFonts w:asciiTheme="minorHAnsi" w:hAnsiTheme="minorHAnsi"/>
          <w:b/>
          <w:color w:val="000000"/>
          <w:sz w:val="22"/>
          <w:szCs w:val="22"/>
          <w:rtl w:val="0"/>
          <w:lang w:val="ru"/>
        </w:rPr>
        <w:t xml:space="preserve">B5. Применение дулоксетина нецелесообразно у пациентов с СКФ &lt;30 мл/мин/1,73 м2 (усиление побочного действия со стороны ЖКТ). </w:t>
      </w:r>
      <w:r w:rsidRPr="00AE15DA">
        <w:rPr>
          <w:rFonts w:asciiTheme="minorHAnsi" w:hAnsiTheme="minorHAnsi"/>
          <w:color w:val="222222"/>
          <w:sz w:val="22"/>
          <w:szCs w:val="22"/>
          <w:rtl w:val="0"/>
          <w:lang w:val="ru"/>
        </w:rPr>
        <w:t xml:space="preserve">* </w:t>
      </w:r>
      <w:r w:rsidRPr="00AE15DA">
        <w:rPr>
          <w:rFonts w:asciiTheme="minorHAnsi" w:hAnsiTheme="minorHAnsi"/>
          <w:i/>
          <w:color w:val="222222"/>
          <w:sz w:val="22"/>
          <w:szCs w:val="22"/>
          <w:rtl w:val="0"/>
          <w:lang w:val="ru"/>
        </w:rPr>
        <w:t>Использование других распространенных антидепрессантов в случае почечной недостаточности:</w:t>
      </w:r>
    </w:p>
    <w:p w:rsidR="005B2907" w:rsidRPr="00AE15DA" w:rsidP="0043334F" w14:paraId="6B6A0E87" w14:textId="77777777">
      <w:pPr>
        <w:pStyle w:val="NormalWeb"/>
        <w:bidi w:val="0"/>
        <w:spacing w:before="0" w:beforeAutospacing="0" w:after="0" w:afterAutospacing="0"/>
        <w:ind w:firstLine="708"/>
        <w:contextualSpacing/>
        <w:jc w:val="both"/>
        <w:rPr>
          <w:rFonts w:asciiTheme="minorHAnsi" w:hAnsiTheme="minorHAnsi"/>
          <w:i/>
          <w:color w:val="000000"/>
          <w:sz w:val="22"/>
          <w:szCs w:val="22"/>
        </w:rPr>
      </w:pPr>
      <w:r w:rsidRPr="00AE15DA">
        <w:rPr>
          <w:rFonts w:asciiTheme="minorHAnsi" w:hAnsiTheme="minorHAnsi"/>
          <w:i/>
          <w:color w:val="000000"/>
          <w:sz w:val="22"/>
          <w:szCs w:val="22"/>
          <w:rtl w:val="0"/>
          <w:lang w:val="ru"/>
        </w:rPr>
        <w:t>Циталопрам и эсциталопрам: при почечной недостаточности легкой и средней степени тяжести коррекции дозы не требуется. При тяжелой (СКФ &lt;20 мл/мин/1,73 м2) почечной недостаточности коррекции дозы не требуется, но ее следует применять с осторожностью.</w:t>
      </w:r>
    </w:p>
    <w:p w:rsidR="005B2907" w:rsidRPr="00AE15DA" w:rsidP="0043334F" w14:paraId="5EBC4C86" w14:textId="77777777">
      <w:pPr>
        <w:pStyle w:val="NormalWeb"/>
        <w:bidi w:val="0"/>
        <w:spacing w:before="0" w:beforeAutospacing="0" w:after="0" w:afterAutospacing="0"/>
        <w:ind w:firstLine="708"/>
        <w:contextualSpacing/>
        <w:jc w:val="both"/>
        <w:rPr>
          <w:rFonts w:asciiTheme="minorHAnsi" w:hAnsiTheme="minorHAnsi"/>
          <w:i/>
          <w:color w:val="000000"/>
          <w:sz w:val="22"/>
          <w:szCs w:val="22"/>
        </w:rPr>
      </w:pPr>
      <w:r w:rsidRPr="00AE15DA">
        <w:rPr>
          <w:rFonts w:asciiTheme="minorHAnsi" w:hAnsiTheme="minorHAnsi"/>
          <w:i/>
          <w:color w:val="000000"/>
          <w:sz w:val="22"/>
          <w:szCs w:val="22"/>
          <w:rtl w:val="0"/>
          <w:lang w:val="ru"/>
        </w:rPr>
        <w:t>Сертралин: при почечной недостаточности коррекции дозы не требуется.</w:t>
      </w:r>
    </w:p>
    <w:p w:rsidR="0081726F" w:rsidRPr="00AE15DA" w:rsidP="0043334F" w14:paraId="78D097B4" w14:textId="77777777">
      <w:pPr>
        <w:pStyle w:val="NormalWeb"/>
        <w:bidi w:val="0"/>
        <w:spacing w:before="0" w:beforeAutospacing="0" w:after="0" w:afterAutospacing="0"/>
        <w:ind w:firstLine="708"/>
        <w:contextualSpacing/>
        <w:jc w:val="both"/>
        <w:rPr>
          <w:rFonts w:asciiTheme="minorHAnsi" w:hAnsiTheme="minorHAnsi"/>
          <w:i/>
          <w:color w:val="000000"/>
          <w:sz w:val="22"/>
          <w:szCs w:val="22"/>
        </w:rPr>
      </w:pPr>
      <w:r w:rsidRPr="00AE15DA">
        <w:rPr>
          <w:rFonts w:asciiTheme="minorHAnsi" w:hAnsiTheme="minorHAnsi"/>
          <w:i/>
          <w:color w:val="000000"/>
          <w:sz w:val="22"/>
          <w:szCs w:val="22"/>
          <w:rtl w:val="0"/>
          <w:lang w:val="ru"/>
        </w:rPr>
        <w:t xml:space="preserve">Пароксетин: если СКФ &lt;30 </w:t>
      </w:r>
      <w:r w:rsidRPr="00AE15DA">
        <w:rPr>
          <w:rFonts w:asciiTheme="minorHAnsi" w:hAnsiTheme="minorHAnsi"/>
          <w:color w:val="000000"/>
          <w:sz w:val="22"/>
          <w:szCs w:val="22"/>
          <w:rtl w:val="0"/>
          <w:lang w:val="ru"/>
        </w:rPr>
        <w:t>мл/мин/1,73 м2</w:t>
      </w:r>
      <w:r w:rsidRPr="00AE15DA">
        <w:rPr>
          <w:rFonts w:asciiTheme="minorHAnsi" w:hAnsiTheme="minorHAnsi"/>
          <w:i/>
          <w:color w:val="000000"/>
          <w:sz w:val="22"/>
          <w:szCs w:val="22"/>
          <w:rtl w:val="0"/>
          <w:lang w:val="ru"/>
        </w:rPr>
        <w:t>, максимальная доза в таблетках с немедленным высвобождением, составляет 40 мг, максимальная доза в препаратах с пролонгированным высвобождением - 50 мг в день.</w:t>
      </w:r>
    </w:p>
    <w:p w:rsidR="00331FB6" w:rsidRPr="00AE15DA" w:rsidP="0043334F" w14:paraId="7558CB39" w14:textId="77777777">
      <w:pPr>
        <w:pStyle w:val="NormalWeb"/>
        <w:bidi w:val="0"/>
        <w:spacing w:before="0" w:beforeAutospacing="0" w:after="0" w:afterAutospacing="0"/>
        <w:ind w:firstLine="708"/>
        <w:contextualSpacing/>
        <w:jc w:val="both"/>
        <w:rPr>
          <w:rFonts w:asciiTheme="minorHAnsi" w:hAnsiTheme="minorHAnsi"/>
          <w:i/>
          <w:color w:val="000000"/>
          <w:sz w:val="22"/>
          <w:szCs w:val="22"/>
        </w:rPr>
      </w:pPr>
      <w:r w:rsidRPr="00AE15DA">
        <w:rPr>
          <w:rFonts w:asciiTheme="minorHAnsi" w:hAnsiTheme="minorHAnsi"/>
          <w:i/>
          <w:color w:val="000000"/>
          <w:sz w:val="22"/>
          <w:szCs w:val="22"/>
          <w:rtl w:val="0"/>
          <w:lang w:val="ru"/>
        </w:rPr>
        <w:t xml:space="preserve">Венлафаксин: если СКФ &lt;30 </w:t>
      </w:r>
      <w:r w:rsidRPr="00AE15DA">
        <w:rPr>
          <w:rFonts w:asciiTheme="minorHAnsi" w:hAnsiTheme="minorHAnsi"/>
          <w:color w:val="000000"/>
          <w:sz w:val="22"/>
          <w:szCs w:val="22"/>
          <w:rtl w:val="0"/>
          <w:lang w:val="ru"/>
        </w:rPr>
        <w:t>мл/мин/1,73 м2</w:t>
      </w:r>
      <w:r w:rsidRPr="00AE15DA">
        <w:rPr>
          <w:rFonts w:asciiTheme="minorHAnsi" w:hAnsiTheme="minorHAnsi"/>
          <w:i/>
          <w:color w:val="000000"/>
          <w:sz w:val="22"/>
          <w:szCs w:val="22"/>
          <w:rtl w:val="0"/>
          <w:lang w:val="ru"/>
        </w:rPr>
        <w:t xml:space="preserve">, дозу препаратов с пролонгированным высвобождением следует снизить на 50%, а если СКФ составляет 10-75 </w:t>
      </w:r>
      <w:r w:rsidRPr="00AE15DA">
        <w:rPr>
          <w:rFonts w:asciiTheme="minorHAnsi" w:hAnsiTheme="minorHAnsi"/>
          <w:color w:val="000000"/>
          <w:sz w:val="22"/>
          <w:szCs w:val="22"/>
          <w:rtl w:val="0"/>
          <w:lang w:val="ru"/>
        </w:rPr>
        <w:t>мл/мин/1,73 м2</w:t>
      </w:r>
      <w:r w:rsidRPr="00AE15DA">
        <w:rPr>
          <w:rFonts w:asciiTheme="minorHAnsi" w:hAnsiTheme="minorHAnsi"/>
          <w:i/>
          <w:color w:val="000000"/>
          <w:sz w:val="22"/>
          <w:szCs w:val="22"/>
          <w:rtl w:val="0"/>
          <w:lang w:val="ru"/>
        </w:rPr>
        <w:t>, дозу препаратов с немедленным высвобождением следует уменьшить на 25%.</w:t>
      </w:r>
    </w:p>
    <w:p w:rsidR="0081726F" w:rsidRPr="00AE15DA" w:rsidP="0043334F" w14:paraId="6A794D34" w14:textId="77777777">
      <w:pPr>
        <w:pStyle w:val="NormalWeb"/>
        <w:bidi w:val="0"/>
        <w:spacing w:before="0" w:beforeAutospacing="0" w:after="0" w:afterAutospacing="0"/>
        <w:ind w:firstLine="708"/>
        <w:contextualSpacing/>
        <w:jc w:val="both"/>
        <w:rPr>
          <w:rFonts w:asciiTheme="minorHAnsi" w:hAnsiTheme="minorHAnsi"/>
          <w:i/>
          <w:color w:val="000000"/>
          <w:sz w:val="22"/>
          <w:szCs w:val="22"/>
        </w:rPr>
      </w:pPr>
      <w:r w:rsidRPr="00AE15DA">
        <w:rPr>
          <w:rFonts w:asciiTheme="minorHAnsi" w:hAnsiTheme="minorHAnsi"/>
          <w:i/>
          <w:color w:val="000000"/>
          <w:sz w:val="22"/>
          <w:szCs w:val="22"/>
          <w:rtl w:val="0"/>
          <w:lang w:val="ru"/>
        </w:rPr>
        <w:t>Миртазапин: при почечной недостаточности коррекции дозы не требуется, но при средней и тяжелой почечной недостаточности препарат следует применять с осторожностью.</w:t>
      </w:r>
    </w:p>
    <w:p w:rsidR="0081726F" w:rsidRPr="00AE15DA" w:rsidP="0043334F" w14:paraId="4A93BBB3" w14:textId="77777777">
      <w:pPr>
        <w:pStyle w:val="NormalWeb"/>
        <w:bidi w:val="0"/>
        <w:spacing w:before="0" w:beforeAutospacing="0" w:after="0" w:afterAutospacing="0"/>
        <w:ind w:firstLine="708"/>
        <w:contextualSpacing/>
        <w:jc w:val="both"/>
        <w:rPr>
          <w:rFonts w:asciiTheme="minorHAnsi" w:hAnsiTheme="minorHAnsi"/>
          <w:i/>
          <w:color w:val="000000"/>
          <w:sz w:val="22"/>
          <w:szCs w:val="22"/>
        </w:rPr>
      </w:pPr>
      <w:r w:rsidRPr="00AE15DA">
        <w:rPr>
          <w:rFonts w:asciiTheme="minorHAnsi" w:hAnsiTheme="minorHAnsi"/>
          <w:i/>
          <w:color w:val="000000"/>
          <w:sz w:val="22"/>
          <w:szCs w:val="22"/>
          <w:rtl w:val="0"/>
          <w:lang w:val="ru"/>
        </w:rPr>
        <w:t>Агомелатин: при почечной недостаточности коррекции дозы не требуется.</w:t>
      </w:r>
    </w:p>
    <w:p w:rsidR="005B2907" w:rsidRPr="00AE15DA" w:rsidP="0043334F" w14:paraId="2094ACE1" w14:textId="77777777">
      <w:pPr>
        <w:pStyle w:val="NormalWeb"/>
        <w:bidi w:val="0"/>
        <w:spacing w:before="0" w:beforeAutospacing="0" w:after="0" w:afterAutospacing="0"/>
        <w:ind w:firstLine="708"/>
        <w:contextualSpacing/>
        <w:jc w:val="both"/>
        <w:rPr>
          <w:rFonts w:asciiTheme="minorHAnsi" w:hAnsiTheme="minorHAnsi"/>
          <w:i/>
          <w:color w:val="000000"/>
          <w:sz w:val="22"/>
          <w:szCs w:val="22"/>
        </w:rPr>
      </w:pPr>
      <w:r w:rsidRPr="00AE15DA">
        <w:rPr>
          <w:rFonts w:asciiTheme="minorHAnsi" w:hAnsiTheme="minorHAnsi"/>
          <w:i/>
          <w:color w:val="000000"/>
          <w:sz w:val="22"/>
          <w:szCs w:val="22"/>
          <w:rtl w:val="0"/>
          <w:lang w:val="ru"/>
        </w:rPr>
        <w:t>Вортиоксетин: при почечной недостаточности коррекции дозы не требуется.</w:t>
      </w:r>
    </w:p>
    <w:p w:rsidR="005B2907" w:rsidRPr="00AE15DA" w:rsidP="0043334F" w14:paraId="02B8E7F8" w14:textId="77777777">
      <w:pPr>
        <w:pStyle w:val="NormalWeb"/>
        <w:spacing w:before="0" w:beforeAutospacing="0" w:after="0" w:afterAutospacing="0"/>
        <w:contextualSpacing/>
        <w:jc w:val="both"/>
        <w:rPr>
          <w:rFonts w:asciiTheme="minorHAnsi" w:hAnsiTheme="minorHAnsi"/>
          <w:b/>
          <w:i/>
          <w:color w:val="000000"/>
          <w:sz w:val="22"/>
          <w:szCs w:val="22"/>
        </w:rPr>
      </w:pPr>
    </w:p>
    <w:p w:rsidR="00744A29" w:rsidRPr="00AE15DA" w:rsidP="0043334F" w14:paraId="0605A6D7" w14:textId="77777777">
      <w:pPr>
        <w:pStyle w:val="HTMLPreformatted"/>
        <w:contextualSpacing/>
        <w:jc w:val="both"/>
        <w:rPr>
          <w:rFonts w:asciiTheme="minorHAnsi" w:hAnsiTheme="minorHAnsi" w:cstheme="minorHAnsi"/>
          <w:sz w:val="22"/>
          <w:szCs w:val="22"/>
        </w:rPr>
      </w:pPr>
    </w:p>
    <w:p w:rsidR="00744A29" w:rsidRPr="00AE15DA" w:rsidP="0043334F" w14:paraId="21DE3144" w14:textId="77777777">
      <w:pPr>
        <w:pStyle w:val="HTMLPreformatted"/>
        <w:bidi w:val="0"/>
        <w:contextualSpacing/>
        <w:jc w:val="both"/>
        <w:rPr>
          <w:rFonts w:asciiTheme="minorHAnsi" w:hAnsiTheme="minorHAnsi"/>
          <w:b/>
          <w:color w:val="000000"/>
          <w:sz w:val="22"/>
          <w:szCs w:val="22"/>
        </w:rPr>
      </w:pPr>
      <w:r w:rsidRPr="00AE15DA">
        <w:rPr>
          <w:rFonts w:asciiTheme="minorHAnsi" w:hAnsiTheme="minorHAnsi"/>
          <w:b/>
          <w:color w:val="000000"/>
          <w:sz w:val="22"/>
          <w:szCs w:val="22"/>
          <w:rtl w:val="0"/>
          <w:lang w:val="ru"/>
        </w:rPr>
        <w:t>B6. В случае СКФ &lt;60 мл/мин/1,73 м2 применение прегабалина и габапентина без снижения дозы нецелесообразно.</w:t>
      </w:r>
    </w:p>
    <w:p w:rsidR="00744A29" w:rsidRPr="00AE15DA" w:rsidP="0043334F" w14:paraId="6414C927" w14:textId="77777777">
      <w:pPr>
        <w:pStyle w:val="HTMLPreformatted"/>
        <w:contextualSpacing/>
        <w:jc w:val="both"/>
        <w:rPr>
          <w:rFonts w:asciiTheme="minorHAnsi" w:hAnsiTheme="minorHAnsi"/>
          <w:b/>
          <w:color w:val="000000"/>
          <w:sz w:val="22"/>
          <w:szCs w:val="22"/>
        </w:rPr>
      </w:pPr>
    </w:p>
    <w:p w:rsidR="006C24B0" w:rsidRPr="00AE15DA" w:rsidP="0043334F" w14:paraId="7E4FAD54" w14:textId="77777777">
      <w:pPr>
        <w:pStyle w:val="HTMLPreformatted"/>
        <w:bidi w:val="0"/>
        <w:contextualSpacing/>
        <w:jc w:val="both"/>
        <w:rPr>
          <w:rFonts w:asciiTheme="minorHAnsi" w:hAnsiTheme="minorHAnsi" w:cstheme="minorHAnsi"/>
          <w:color w:val="000000"/>
          <w:sz w:val="22"/>
          <w:szCs w:val="22"/>
        </w:rPr>
      </w:pPr>
      <w:r w:rsidRPr="00AE15DA">
        <w:rPr>
          <w:rFonts w:asciiTheme="minorHAnsi" w:hAnsiTheme="minorHAnsi"/>
          <w:b/>
          <w:sz w:val="22"/>
          <w:szCs w:val="22"/>
          <w:rtl w:val="0"/>
          <w:lang w:val="ru"/>
        </w:rPr>
        <w:t>B7. Для пациентов с делирием или деменцией использование препаратов с высоким антихолинергическим действием (амитриптилина, пароксетина, дицикломина, L-гиосциамина, тиоридазина, хлорпромазина, клозапина, оланзапина, антимускариновых препаратов, блокаторов рецепторов H1, особенно блокаторов рецепторов H1 1-го поколения (дифенгидрамина, ципроцептирамина) нецелесообразно (риск ухудшения когнитивных функций).</w:t>
      </w:r>
      <w:hyperlink r:id="rId5" w:history="1">
        <w:r w:rsidR="009A0355">
          <w:rPr>
            <w:rStyle w:val="Hyperlink"/>
            <w:rtl w:val="0"/>
            <w:lang w:val="ru"/>
          </w:rPr>
          <w:t>http://www.uptodate.com/contents/olanzapine-drug-information?source=see_link</w:t>
        </w:r>
      </w:hyperlink>
    </w:p>
    <w:p w:rsidR="00B3469F" w:rsidRPr="00AE15DA" w:rsidP="0043334F" w14:paraId="51B966A7" w14:textId="77777777">
      <w:pPr>
        <w:pStyle w:val="NormalWeb"/>
        <w:bidi w:val="0"/>
        <w:spacing w:before="0" w:beforeAutospacing="0" w:after="0" w:afterAutospacing="0"/>
        <w:contextualSpacing/>
        <w:jc w:val="both"/>
        <w:rPr>
          <w:rFonts w:asciiTheme="minorHAnsi" w:hAnsiTheme="minorHAnsi"/>
          <w:i/>
          <w:sz w:val="22"/>
          <w:szCs w:val="22"/>
        </w:rPr>
      </w:pPr>
      <w:r w:rsidRPr="00AE15DA">
        <w:rPr>
          <w:rFonts w:asciiTheme="minorHAnsi" w:hAnsiTheme="minorHAnsi"/>
          <w:i/>
          <w:sz w:val="22"/>
          <w:szCs w:val="22"/>
          <w:rtl w:val="0"/>
          <w:lang w:val="ru"/>
        </w:rPr>
        <w:t xml:space="preserve">* У пациентов с такими проявлениями экстрапирамидной системы (симптомы паркинсонизма), как деменция Паркинсона и деменция с тельцами Леви, в клинической практике может потребоваться использование клозапина для лечения тяжелых поведенческих симптомов деменции/делирия. В этом случае его следует использовать в течение как можно более короткого времени, в минимальной дозе и при тщательном мониторинге когнитивных функций. </w:t>
      </w:r>
    </w:p>
    <w:p w:rsidR="001105EC" w:rsidRPr="00AE15DA" w:rsidP="0043334F" w14:paraId="50A3E750" w14:textId="77777777">
      <w:pPr>
        <w:pStyle w:val="NormalWeb"/>
        <w:bidi w:val="0"/>
        <w:spacing w:before="0" w:beforeAutospacing="0" w:after="0" w:afterAutospacing="0"/>
        <w:contextualSpacing/>
        <w:jc w:val="both"/>
        <w:rPr>
          <w:rFonts w:asciiTheme="minorHAnsi" w:hAnsiTheme="minorHAnsi"/>
          <w:i/>
          <w:sz w:val="22"/>
          <w:szCs w:val="22"/>
        </w:rPr>
      </w:pPr>
      <w:r w:rsidRPr="00AE15DA">
        <w:rPr>
          <w:rFonts w:asciiTheme="minorHAnsi" w:hAnsiTheme="minorHAnsi"/>
          <w:i/>
          <w:sz w:val="22"/>
          <w:szCs w:val="22"/>
          <w:rtl w:val="0"/>
          <w:lang w:val="ru"/>
        </w:rPr>
        <w:t xml:space="preserve">* У пациентов с такими проявлениями экстрапирамидной системы (симптомов паркинсонизма), как деменция Паркинсона и деменция с тельцами Леви, лечение кветиапином целесообразно в качестве терапии первой линии перед назначения клозапина, если использование нейролептиков необходимо из-за серьезных поведенческих симптомов.  </w:t>
      </w:r>
    </w:p>
    <w:p w:rsidR="00B3469F" w:rsidRPr="00AE15DA" w:rsidP="0043334F" w14:paraId="3AEDCF50" w14:textId="1362C44E">
      <w:pPr>
        <w:pStyle w:val="NormalWeb"/>
        <w:bidi w:val="0"/>
        <w:spacing w:before="0" w:beforeAutospacing="0" w:after="0" w:afterAutospacing="0"/>
        <w:contextualSpacing/>
        <w:jc w:val="both"/>
        <w:rPr>
          <w:rFonts w:asciiTheme="minorHAnsi" w:hAnsiTheme="minorHAnsi"/>
          <w:i/>
          <w:sz w:val="22"/>
          <w:szCs w:val="22"/>
        </w:rPr>
      </w:pPr>
      <w:r w:rsidRPr="00AE15DA">
        <w:rPr>
          <w:rFonts w:asciiTheme="minorHAnsi" w:hAnsiTheme="minorHAnsi"/>
          <w:i/>
          <w:sz w:val="22"/>
          <w:szCs w:val="22"/>
          <w:rtl w:val="0"/>
          <w:lang w:val="ru"/>
        </w:rPr>
        <w:t xml:space="preserve">* Лечение клозапином/кветиапином следует начинать с дозы 12,5 мг, следует тщательно контролировать побочные эффекты и при необходимости увеличивать дозу до 12,5-25 мг. После достижения контроля над симптомами дозу следует попытаться уменьшить и прекратить прием в течение нескольких недель. </w:t>
      </w:r>
    </w:p>
    <w:p w:rsidR="002247CF" w:rsidRPr="00AE15DA" w:rsidP="0043334F" w14:paraId="50371571" w14:textId="77777777">
      <w:pPr>
        <w:pStyle w:val="HTMLPreformatted"/>
        <w:contextualSpacing/>
        <w:jc w:val="both"/>
        <w:rPr>
          <w:rFonts w:asciiTheme="minorHAnsi" w:hAnsiTheme="minorHAnsi" w:cs="Times New Roman"/>
          <w:b/>
          <w:i/>
          <w:color w:val="000000" w:themeColor="text1"/>
          <w:sz w:val="22"/>
          <w:szCs w:val="22"/>
          <w:shd w:val="clear" w:color="auto" w:fill="FFFFFF"/>
        </w:rPr>
      </w:pPr>
    </w:p>
    <w:p w:rsidR="00F33DB8" w:rsidRPr="00AE15DA" w:rsidP="0043334F" w14:paraId="0B1123E3" w14:textId="77777777">
      <w:pPr>
        <w:contextualSpacing/>
        <w:rPr>
          <w:rFonts w:asciiTheme="minorHAnsi" w:hAnsiTheme="minorHAnsi" w:cstheme="minorHAnsi"/>
          <w:color w:val="000000"/>
          <w:sz w:val="22"/>
          <w:szCs w:val="22"/>
        </w:rPr>
      </w:pPr>
    </w:p>
    <w:p w:rsidR="00E1265B" w:rsidRPr="00AE15DA" w:rsidP="0043334F" w14:paraId="2B9A667A" w14:textId="77777777">
      <w:pPr>
        <w:bidi w:val="0"/>
        <w:spacing w:before="100" w:beforeAutospacing="1" w:after="100" w:afterAutospacing="1"/>
        <w:contextualSpacing/>
        <w:jc w:val="both"/>
        <w:rPr>
          <w:rFonts w:asciiTheme="minorHAnsi" w:hAnsiTheme="minorHAnsi"/>
          <w:b/>
          <w:color w:val="000000" w:themeColor="text1"/>
          <w:sz w:val="22"/>
          <w:szCs w:val="22"/>
        </w:rPr>
      </w:pPr>
      <w:r w:rsidRPr="00AE15DA">
        <w:rPr>
          <w:rFonts w:asciiTheme="minorHAnsi" w:hAnsiTheme="minorHAnsi"/>
          <w:b/>
          <w:color w:val="000000" w:themeColor="text1"/>
          <w:sz w:val="22"/>
          <w:szCs w:val="22"/>
          <w:rtl w:val="0"/>
          <w:lang w:val="ru"/>
        </w:rPr>
        <w:t>B8. Использование антихолинергических средств при лечении болезни Паркинсона нецелесообразно (повышенный риск побочных эффектов; есть варианты лекарств, которые более эффективны и имеют меньше побочных эффектов).</w:t>
      </w:r>
    </w:p>
    <w:p w:rsidR="00873A44" w:rsidRPr="00AE15DA" w:rsidP="0043334F" w14:paraId="5D5A217E" w14:textId="77777777">
      <w:pPr>
        <w:tabs>
          <w:tab w:val="left" w:pos="708"/>
        </w:tabs>
        <w:contextualSpacing/>
        <w:jc w:val="both"/>
        <w:rPr>
          <w:rFonts w:asciiTheme="minorHAnsi" w:hAnsiTheme="minorHAnsi" w:cstheme="minorHAnsi"/>
          <w:color w:val="000000" w:themeColor="text1"/>
          <w:sz w:val="22"/>
          <w:szCs w:val="22"/>
        </w:rPr>
      </w:pPr>
    </w:p>
    <w:p w:rsidR="009D2A23" w:rsidRPr="00AE15DA" w:rsidP="0043334F" w14:paraId="1FA65CA4" w14:textId="77777777">
      <w:pPr>
        <w:spacing w:before="100" w:beforeAutospacing="1" w:after="100" w:afterAutospacing="1"/>
        <w:contextualSpacing/>
        <w:jc w:val="both"/>
        <w:rPr>
          <w:rStyle w:val="Hyperlink"/>
          <w:rFonts w:asciiTheme="minorHAnsi" w:eastAsiaTheme="majorEastAsia" w:hAnsiTheme="minorHAnsi" w:cstheme="minorHAnsi"/>
          <w:color w:val="000000" w:themeColor="text1"/>
          <w:sz w:val="22"/>
          <w:szCs w:val="22"/>
          <w:u w:val="none"/>
        </w:rPr>
      </w:pPr>
    </w:p>
    <w:p w:rsidR="006C24B0" w:rsidRPr="00AE15DA" w:rsidP="0043334F" w14:paraId="4C3CC82F" w14:textId="77777777">
      <w:pPr>
        <w:bidi w:val="0"/>
        <w:spacing w:before="100" w:beforeAutospacing="1" w:after="100" w:afterAutospacing="1"/>
        <w:contextualSpacing/>
        <w:jc w:val="both"/>
        <w:rPr>
          <w:rFonts w:asciiTheme="minorHAnsi" w:eastAsiaTheme="majorEastAsia" w:hAnsiTheme="minorHAnsi" w:cstheme="minorHAnsi"/>
          <w:color w:val="000000" w:themeColor="text1"/>
          <w:sz w:val="22"/>
          <w:szCs w:val="22"/>
        </w:rPr>
      </w:pPr>
      <w:r w:rsidRPr="00AE15DA">
        <w:rPr>
          <w:rFonts w:asciiTheme="minorHAnsi" w:hAnsiTheme="minorHAnsi"/>
          <w:b/>
          <w:sz w:val="22"/>
          <w:szCs w:val="22"/>
          <w:rtl w:val="0"/>
          <w:lang w:val="ru"/>
        </w:rPr>
        <w:t>B9. Антихолинергические препараты не подходят для лечения экстрапирамидных побочных эффектов нейролептиков (риск антихолинергической токсичности).</w:t>
      </w:r>
    </w:p>
    <w:p w:rsidR="009D247E" w:rsidRPr="00AE15DA" w:rsidP="0043334F" w14:paraId="325D902C" w14:textId="77777777">
      <w:pPr>
        <w:spacing w:before="100" w:beforeAutospacing="1" w:after="100" w:afterAutospacing="1"/>
        <w:contextualSpacing/>
        <w:jc w:val="both"/>
        <w:rPr>
          <w:rFonts w:asciiTheme="minorHAnsi" w:hAnsiTheme="minorHAnsi" w:cstheme="minorHAnsi"/>
          <w:color w:val="000000"/>
          <w:sz w:val="22"/>
          <w:szCs w:val="22"/>
        </w:rPr>
      </w:pPr>
    </w:p>
    <w:p w:rsidR="00524390" w:rsidRPr="00AE15DA" w:rsidP="0043334F" w14:paraId="4A70ABDE" w14:textId="77777777">
      <w:pPr>
        <w:spacing w:before="100" w:beforeAutospacing="1" w:after="100" w:afterAutospacing="1"/>
        <w:contextualSpacing/>
        <w:jc w:val="both"/>
        <w:rPr>
          <w:rFonts w:asciiTheme="minorHAnsi" w:hAnsiTheme="minorHAnsi" w:cstheme="minorHAnsi"/>
          <w:color w:val="000000"/>
          <w:sz w:val="22"/>
          <w:szCs w:val="22"/>
        </w:rPr>
      </w:pPr>
    </w:p>
    <w:p w:rsidR="000B0558" w:rsidRPr="00AE15DA" w:rsidP="0043334F" w14:paraId="5F7E5337" w14:textId="697BE0A4">
      <w:pPr>
        <w:bidi w:val="0"/>
        <w:spacing w:before="100" w:beforeAutospacing="1"/>
        <w:contextualSpacing/>
        <w:jc w:val="both"/>
        <w:rPr>
          <w:rFonts w:asciiTheme="minorHAnsi" w:hAnsiTheme="minorHAnsi"/>
          <w:b/>
          <w:sz w:val="22"/>
          <w:szCs w:val="22"/>
        </w:rPr>
      </w:pPr>
      <w:r w:rsidRPr="00AE15DA">
        <w:rPr>
          <w:rFonts w:asciiTheme="minorHAnsi" w:hAnsiTheme="minorHAnsi"/>
          <w:b/>
          <w:sz w:val="22"/>
          <w:szCs w:val="22"/>
          <w:rtl w:val="0"/>
          <w:lang w:val="ru"/>
        </w:rPr>
        <w:t xml:space="preserve">B10. Использование нейролептиков/антипсихотиков не подходит пациентам с деменцией, за исключением случаев, когда для облегчения поведенческих и психологических симптомов немедикаментозное лечение неэффективно, а симптомы являются серьезными (повышенный риск инсульта, сердечной недостаточности, пневмонии, смерти). </w:t>
      </w:r>
    </w:p>
    <w:p w:rsidR="007D439E" w:rsidRPr="00AE15DA" w:rsidP="0043334F" w14:paraId="0C4B5095" w14:textId="1590476A">
      <w:pPr>
        <w:bidi w:val="0"/>
        <w:contextualSpacing/>
        <w:jc w:val="both"/>
        <w:rPr>
          <w:rFonts w:asciiTheme="minorHAnsi" w:hAnsiTheme="minorHAnsi"/>
          <w:sz w:val="22"/>
          <w:szCs w:val="22"/>
        </w:rPr>
      </w:pPr>
      <w:r w:rsidRPr="00AE15DA">
        <w:rPr>
          <w:rFonts w:asciiTheme="minorHAnsi" w:hAnsiTheme="minorHAnsi"/>
          <w:i/>
          <w:sz w:val="22"/>
          <w:szCs w:val="22"/>
          <w:rtl w:val="0"/>
          <w:lang w:val="ru"/>
        </w:rPr>
        <w:t>* В случаях, когда немедикаментозное лечение для облегчения поведенческих и психологических симптомов у пациентов с деменцией неэффективно, а симптомы тяжелые, можно использовать нейролептики/антипсихотики в самой низкой дозе, которая обеспечивает контроль симптомов, и назначать их на кратчайший срок.</w:t>
      </w:r>
    </w:p>
    <w:p w:rsidR="007D439E" w:rsidRPr="00AE15DA" w:rsidP="0043334F" w14:paraId="405F1150" w14:textId="77777777">
      <w:pPr>
        <w:bidi w:val="0"/>
        <w:contextualSpacing/>
        <w:jc w:val="both"/>
        <w:rPr>
          <w:rFonts w:asciiTheme="minorHAnsi" w:hAnsiTheme="minorHAnsi"/>
          <w:i/>
          <w:sz w:val="22"/>
          <w:szCs w:val="22"/>
        </w:rPr>
      </w:pPr>
      <w:r w:rsidRPr="00AE15DA">
        <w:rPr>
          <w:rFonts w:asciiTheme="minorHAnsi" w:hAnsiTheme="minorHAnsi"/>
          <w:i/>
          <w:sz w:val="22"/>
          <w:szCs w:val="22"/>
          <w:rtl w:val="0"/>
          <w:lang w:val="ru"/>
        </w:rPr>
        <w:t>* Первичный подход к облегчению поведенческих и психологических симптомов у пациентов с деменцией - это оптимальное лечение деменции (ХЭИ/мемантин). Затем можно попробовать выбранные СИОЗС (особенно циталопрам).</w:t>
      </w:r>
    </w:p>
    <w:p w:rsidR="00B3469F" w:rsidRPr="00AE15DA" w:rsidP="0043334F" w14:paraId="1A27F1D9" w14:textId="77777777">
      <w:pPr>
        <w:pStyle w:val="CommentText"/>
        <w:bidi w:val="0"/>
        <w:spacing w:after="0"/>
        <w:contextualSpacing/>
        <w:jc w:val="both"/>
        <w:rPr>
          <w:rFonts w:cs="Times New Roman"/>
          <w:i/>
          <w:sz w:val="22"/>
          <w:szCs w:val="22"/>
        </w:rPr>
      </w:pPr>
      <w:r w:rsidRPr="00AE15DA">
        <w:rPr>
          <w:rFonts w:cs="Times New Roman"/>
          <w:i/>
          <w:sz w:val="22"/>
          <w:szCs w:val="22"/>
          <w:rtl w:val="0"/>
          <w:lang w:val="ru"/>
        </w:rPr>
        <w:t xml:space="preserve">* Имеется противоречивая информация относительно эффективности сертралина, тразадона и мелатонина в облегчении поведенческих и психологических симптомов у пациентов с деменцией. </w:t>
      </w:r>
    </w:p>
    <w:p w:rsidR="009E4B52" w:rsidRPr="00AE15DA" w:rsidP="0043334F" w14:paraId="0975C5C3" w14:textId="77777777">
      <w:pPr>
        <w:pStyle w:val="CommentText"/>
        <w:spacing w:after="0"/>
        <w:contextualSpacing/>
        <w:jc w:val="both"/>
        <w:rPr>
          <w:rFonts w:cs="Times New Roman"/>
          <w:i/>
          <w:sz w:val="22"/>
          <w:szCs w:val="22"/>
        </w:rPr>
      </w:pPr>
    </w:p>
    <w:p w:rsidR="009D2A23" w:rsidRPr="00AE15DA" w:rsidP="0043334F" w14:paraId="2509FE3E" w14:textId="77777777">
      <w:pPr>
        <w:pStyle w:val="CommentText"/>
        <w:contextualSpacing/>
        <w:jc w:val="both"/>
        <w:rPr>
          <w:rFonts w:cstheme="minorHAnsi"/>
          <w:color w:val="000000"/>
          <w:sz w:val="22"/>
          <w:szCs w:val="22"/>
        </w:rPr>
      </w:pPr>
    </w:p>
    <w:p w:rsidR="007D439E" w:rsidRPr="00AE15DA" w:rsidP="0043334F" w14:paraId="0B6B4820" w14:textId="1ED254BF">
      <w:pPr>
        <w:pStyle w:val="CommentText"/>
        <w:bidi w:val="0"/>
        <w:contextualSpacing/>
        <w:jc w:val="both"/>
        <w:rPr>
          <w:rFonts w:cstheme="minorHAnsi"/>
          <w:sz w:val="22"/>
          <w:szCs w:val="22"/>
          <w:shd w:val="clear" w:color="auto" w:fill="FFFFFF"/>
        </w:rPr>
      </w:pPr>
      <w:r w:rsidRPr="00AE15DA">
        <w:rPr>
          <w:b/>
          <w:color w:val="000000"/>
          <w:sz w:val="22"/>
          <w:szCs w:val="22"/>
          <w:rtl w:val="0"/>
          <w:lang w:val="ru"/>
        </w:rPr>
        <w:t>B11. Использование нейролептиков/антипсихотиков</w:t>
      </w:r>
      <w:r w:rsidRPr="00AE15DA">
        <w:rPr>
          <w:b/>
          <w:sz w:val="22"/>
          <w:szCs w:val="22"/>
          <w:rtl w:val="0"/>
          <w:lang w:val="ru"/>
        </w:rPr>
        <w:t xml:space="preserve"> в снотворных целях нецелесообразно (повышенная спутанность сознания, гипотензия, экстрапирамидные побочные эффекты, риск падения).</w:t>
      </w:r>
    </w:p>
    <w:p w:rsidR="00B3469F" w:rsidRPr="00AE15DA" w:rsidP="0043334F" w14:paraId="2DBA9E8F" w14:textId="77777777">
      <w:pPr>
        <w:bidi w:val="0"/>
        <w:contextualSpacing/>
        <w:jc w:val="both"/>
        <w:rPr>
          <w:rFonts w:asciiTheme="minorHAnsi" w:hAnsiTheme="minorHAnsi"/>
          <w:i/>
          <w:sz w:val="22"/>
          <w:szCs w:val="22"/>
        </w:rPr>
      </w:pPr>
      <w:r w:rsidRPr="00AE15DA">
        <w:rPr>
          <w:rFonts w:asciiTheme="minorHAnsi" w:hAnsiTheme="minorHAnsi"/>
          <w:sz w:val="22"/>
          <w:szCs w:val="22"/>
          <w:rtl w:val="0"/>
          <w:lang w:val="ru" w:eastAsia="en-GB"/>
        </w:rPr>
        <w:t>*</w:t>
      </w:r>
      <w:r w:rsidRPr="00AE15DA">
        <w:rPr>
          <w:rFonts w:asciiTheme="minorHAnsi" w:hAnsiTheme="minorHAnsi"/>
          <w:i/>
          <w:sz w:val="22"/>
          <w:szCs w:val="22"/>
          <w:rtl w:val="0"/>
          <w:lang w:val="ru"/>
        </w:rPr>
        <w:t xml:space="preserve"> При лечении бессонницы у пожилых людей в первую очередь следует применять правила гигиены сна и когнитивно-поведенческую терапию.</w:t>
      </w:r>
    </w:p>
    <w:p w:rsidR="00FB3255" w:rsidRPr="00AE15DA" w:rsidP="0043334F" w14:paraId="6B61B0DC" w14:textId="77777777">
      <w:pPr>
        <w:bidi w:val="0"/>
        <w:contextualSpacing/>
        <w:jc w:val="both"/>
        <w:rPr>
          <w:rFonts w:asciiTheme="minorHAnsi" w:hAnsiTheme="minorHAnsi"/>
          <w:i/>
          <w:sz w:val="22"/>
          <w:szCs w:val="22"/>
        </w:rPr>
      </w:pPr>
      <w:r w:rsidRPr="00AE15DA">
        <w:rPr>
          <w:rFonts w:asciiTheme="minorHAnsi" w:hAnsiTheme="minorHAnsi"/>
          <w:i/>
          <w:sz w:val="22"/>
          <w:szCs w:val="22"/>
          <w:rtl w:val="0"/>
          <w:lang w:val="ru"/>
        </w:rPr>
        <w:t xml:space="preserve">* Если для лечения бессонницы у пожилых людей требуется фармакотерапия, можно использовать мелатонин, агонист рецепторов мелатонина рамелтеон. Если есть сопутствующая депрессия, можно рассмотреть использование седативных антидепрессантов (миртазапин, тразадон, агомелатин). </w:t>
      </w:r>
    </w:p>
    <w:p w:rsidR="00744B1A" w:rsidRPr="00AE15DA" w:rsidP="0043334F" w14:paraId="48C4239F" w14:textId="77777777">
      <w:pPr>
        <w:spacing w:before="100" w:beforeAutospacing="1" w:after="100" w:afterAutospacing="1"/>
        <w:contextualSpacing/>
        <w:jc w:val="both"/>
        <w:rPr>
          <w:rFonts w:asciiTheme="minorHAnsi" w:hAnsiTheme="minorHAnsi"/>
          <w:b/>
          <w:sz w:val="22"/>
          <w:szCs w:val="22"/>
        </w:rPr>
      </w:pPr>
    </w:p>
    <w:p w:rsidR="001A75B0" w:rsidRPr="00AE15DA" w:rsidP="0043334F" w14:paraId="27975E89" w14:textId="77777777">
      <w:pPr>
        <w:spacing w:before="100" w:beforeAutospacing="1" w:after="100" w:afterAutospacing="1"/>
        <w:contextualSpacing/>
        <w:jc w:val="both"/>
        <w:rPr>
          <w:rFonts w:asciiTheme="minorHAnsi" w:hAnsiTheme="minorHAnsi"/>
          <w:b/>
          <w:sz w:val="22"/>
          <w:szCs w:val="22"/>
        </w:rPr>
      </w:pPr>
    </w:p>
    <w:p w:rsidR="006C24B0" w:rsidRPr="00AE15DA" w:rsidP="0043334F" w14:paraId="75126417" w14:textId="65E71B42">
      <w:pPr>
        <w:bidi w:val="0"/>
        <w:spacing w:before="100" w:beforeAutospacing="1" w:after="100" w:afterAutospacing="1"/>
        <w:contextualSpacing/>
        <w:jc w:val="both"/>
        <w:rPr>
          <w:rFonts w:asciiTheme="minorHAnsi" w:hAnsiTheme="minorHAnsi"/>
          <w:b/>
          <w:color w:val="000000"/>
          <w:sz w:val="22"/>
          <w:szCs w:val="22"/>
        </w:rPr>
      </w:pPr>
      <w:r w:rsidRPr="00AE15DA">
        <w:rPr>
          <w:rFonts w:asciiTheme="minorHAnsi" w:hAnsiTheme="minorHAnsi"/>
          <w:b/>
          <w:sz w:val="22"/>
          <w:szCs w:val="22"/>
          <w:rtl w:val="0"/>
          <w:lang w:val="ru"/>
        </w:rPr>
        <w:t xml:space="preserve">B12. Использование нейролептиков/антипсихотиков (кроме кветиапина или клозапина) нецелесообразно у пациентов с паркинсонизмом или деменцией с тельцами Леви (риск тяжелых экстрапирамидных симптомов). </w:t>
      </w:r>
    </w:p>
    <w:p w:rsidR="00EE065C" w:rsidRPr="00AE15DA" w:rsidP="0043334F" w14:paraId="5D96BAA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lang w:eastAsia="en-GB"/>
        </w:rPr>
      </w:pPr>
    </w:p>
    <w:p w:rsidR="001B712D" w:rsidRPr="00AE15DA" w:rsidP="0043334F" w14:paraId="01E0E41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rPr>
      </w:pPr>
    </w:p>
    <w:p w:rsidR="006C24B0" w:rsidRPr="00AE15DA" w:rsidP="0043334F" w14:paraId="2B99E01A" w14:textId="6ED49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contextualSpacing/>
        <w:jc w:val="both"/>
        <w:rPr>
          <w:rFonts w:asciiTheme="minorHAnsi" w:hAnsiTheme="minorHAnsi" w:cstheme="minorHAnsi"/>
          <w:sz w:val="22"/>
          <w:szCs w:val="22"/>
        </w:rPr>
      </w:pPr>
      <w:r w:rsidRPr="00AE15DA">
        <w:rPr>
          <w:rFonts w:asciiTheme="minorHAnsi" w:hAnsiTheme="minorHAnsi"/>
          <w:b/>
          <w:sz w:val="22"/>
          <w:szCs w:val="22"/>
          <w:rtl w:val="0"/>
          <w:lang w:val="ru"/>
        </w:rPr>
        <w:t>B13. Использование нейролептиков/антипсихотиков (экстрапирамидные побочные эффекты), бензодиазепинов (седативный эффект, нарушение равновесия) и снотворных средств Z-типа, например, зопиклона, золпидема, залеплона (длительная седация в течение дня, атаксия) не рекомендуется пациентам с высоким риском падения.</w:t>
      </w:r>
    </w:p>
    <w:p w:rsidR="00354D28" w:rsidRPr="00AE15DA" w:rsidP="0043334F" w14:paraId="49371851" w14:textId="77777777">
      <w:pPr>
        <w:bidi w:val="0"/>
        <w:contextualSpacing/>
        <w:jc w:val="both"/>
        <w:rPr>
          <w:rFonts w:asciiTheme="minorHAnsi" w:hAnsiTheme="minorHAnsi"/>
          <w:i/>
          <w:sz w:val="22"/>
          <w:szCs w:val="22"/>
        </w:rPr>
      </w:pPr>
      <w:r w:rsidRPr="00AE15DA">
        <w:rPr>
          <w:rFonts w:asciiTheme="minorHAnsi" w:hAnsiTheme="minorHAnsi"/>
          <w:i/>
          <w:sz w:val="22"/>
          <w:szCs w:val="22"/>
          <w:rtl w:val="0"/>
          <w:lang w:val="ru"/>
        </w:rPr>
        <w:t xml:space="preserve">* В основном к этой группе лекарственных средств относятся препараты, повышающие риск падения у пожилых людей. По возможности следует избегать его использования пожилыми людьми. </w:t>
      </w:r>
    </w:p>
    <w:p w:rsidR="001A75B0" w:rsidRPr="00AE15DA" w:rsidP="0043334F" w14:paraId="61ACC838" w14:textId="77777777">
      <w:pPr>
        <w:contextualSpacing/>
        <w:jc w:val="both"/>
        <w:rPr>
          <w:rFonts w:asciiTheme="minorHAnsi" w:hAnsiTheme="minorHAnsi"/>
          <w:i/>
          <w:sz w:val="22"/>
          <w:szCs w:val="22"/>
        </w:rPr>
      </w:pPr>
    </w:p>
    <w:p w:rsidR="00B602B7" w:rsidRPr="00AE15DA" w:rsidP="0043334F" w14:paraId="5D88ED8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p>
    <w:p w:rsidR="009D247E" w:rsidRPr="00AE15DA" w:rsidP="0043334F" w14:paraId="690D3F0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p>
    <w:p w:rsidR="006C24B0" w:rsidRPr="00AE15DA" w:rsidP="0043334F" w14:paraId="3C384B29" w14:textId="77777777">
      <w:pPr>
        <w:bidi w:val="0"/>
        <w:contextualSpacing/>
        <w:jc w:val="both"/>
        <w:rPr>
          <w:rFonts w:asciiTheme="minorHAnsi" w:hAnsiTheme="minorHAnsi"/>
          <w:b/>
          <w:sz w:val="22"/>
          <w:szCs w:val="22"/>
        </w:rPr>
      </w:pPr>
      <w:r w:rsidRPr="00AE15DA">
        <w:rPr>
          <w:rFonts w:asciiTheme="minorHAnsi" w:hAnsiTheme="minorHAnsi"/>
          <w:b/>
          <w:sz w:val="22"/>
          <w:szCs w:val="22"/>
          <w:rtl w:val="0"/>
          <w:lang w:val="ru"/>
        </w:rPr>
        <w:t>B14. Использование бензодиазепинов более 4 недель нецелесообразно (длительная седация, спутанность сознания, нарушение равновесия, падение, риск дорожно-транспортных происшествий).</w:t>
      </w:r>
    </w:p>
    <w:p w:rsidR="00940A4D" w:rsidP="0043334F" w14:paraId="56A82648" w14:textId="77777777">
      <w:pPr>
        <w:bidi w:val="0"/>
        <w:contextualSpacing/>
        <w:jc w:val="both"/>
        <w:rPr>
          <w:rFonts w:asciiTheme="minorHAnsi" w:hAnsiTheme="minorHAnsi"/>
          <w:i/>
          <w:sz w:val="22"/>
          <w:szCs w:val="22"/>
        </w:rPr>
      </w:pPr>
      <w:r w:rsidRPr="00AE15DA">
        <w:rPr>
          <w:rFonts w:asciiTheme="minorHAnsi" w:hAnsiTheme="minorHAnsi"/>
          <w:i/>
          <w:sz w:val="22"/>
          <w:szCs w:val="22"/>
          <w:rtl w:val="0"/>
          <w:lang w:val="ru"/>
        </w:rPr>
        <w:t>* В целом следует избегать использования бензодиазепинов из-за их высокого потенциала побочных эффектов.</w:t>
      </w:r>
    </w:p>
    <w:p w:rsidR="00562C85" w:rsidRPr="00AE15DA" w:rsidP="0043334F" w14:paraId="0BD16F74" w14:textId="77777777">
      <w:pPr>
        <w:bidi w:val="0"/>
        <w:contextualSpacing/>
        <w:jc w:val="both"/>
        <w:rPr>
          <w:rFonts w:asciiTheme="minorHAnsi" w:hAnsiTheme="minorHAnsi"/>
          <w:i/>
          <w:sz w:val="22"/>
          <w:szCs w:val="22"/>
        </w:rPr>
      </w:pPr>
      <w:r w:rsidRPr="00AE15DA">
        <w:rPr>
          <w:rFonts w:asciiTheme="minorHAnsi" w:hAnsiTheme="minorHAnsi"/>
          <w:i/>
          <w:sz w:val="22"/>
          <w:szCs w:val="22"/>
          <w:rtl w:val="0"/>
          <w:lang w:val="ru"/>
        </w:rPr>
        <w:t xml:space="preserve">* Бензодиазепины короткого действия можно использовать с осторожностью и в течение короткого времени (&lt;4 недель) по клиническим показаниям (например, лоразепам можно назначать при возбуждении, связанном с деменцией). </w:t>
      </w:r>
    </w:p>
    <w:p w:rsidR="00B3469F" w:rsidRPr="00AE15DA" w:rsidP="0043334F" w14:paraId="7CAD59B4" w14:textId="77777777">
      <w:pPr>
        <w:bidi w:val="0"/>
        <w:contextualSpacing/>
        <w:jc w:val="both"/>
        <w:rPr>
          <w:rFonts w:asciiTheme="minorHAnsi" w:hAnsiTheme="minorHAnsi"/>
          <w:i/>
          <w:sz w:val="22"/>
          <w:szCs w:val="22"/>
        </w:rPr>
      </w:pPr>
      <w:r w:rsidRPr="00AE15DA">
        <w:rPr>
          <w:rFonts w:asciiTheme="minorHAnsi" w:hAnsiTheme="minorHAnsi"/>
          <w:i/>
          <w:sz w:val="22"/>
          <w:szCs w:val="22"/>
          <w:rtl w:val="0"/>
          <w:lang w:val="ru"/>
        </w:rPr>
        <w:t xml:space="preserve">* Клоназепам, один из бензодиазепинов длительного действия, можно назначать некоторым пациентам при расстройстве поведения во сне в фазе быстрого сна, которое невозможно контролировать с помощью других препаратов, но в этом случае следует проводить тщательный клинический мониторинг.  </w:t>
      </w:r>
    </w:p>
    <w:p w:rsidR="00B3469F" w:rsidRPr="00AE15DA" w:rsidP="0043334F" w14:paraId="215740CF" w14:textId="77777777">
      <w:pPr>
        <w:bidi w:val="0"/>
        <w:contextualSpacing/>
        <w:jc w:val="both"/>
        <w:rPr>
          <w:rFonts w:asciiTheme="minorHAnsi" w:hAnsiTheme="minorHAnsi"/>
          <w:i/>
          <w:sz w:val="22"/>
          <w:szCs w:val="22"/>
        </w:rPr>
      </w:pPr>
      <w:r w:rsidRPr="00AE15DA">
        <w:rPr>
          <w:rFonts w:asciiTheme="minorHAnsi" w:hAnsiTheme="minorHAnsi"/>
          <w:i/>
          <w:sz w:val="22"/>
          <w:szCs w:val="22"/>
          <w:rtl w:val="0"/>
          <w:lang w:val="ru"/>
        </w:rPr>
        <w:t>* Все бензодиазепины, применяемые в течение 2 недель или более, следует отменять постепенно, а не внезапно, чтобы не вызвать «бензодиазепиновый абстинентный синдром».</w:t>
      </w:r>
    </w:p>
    <w:p w:rsidR="008B50F1" w:rsidRPr="00AE15DA" w:rsidP="0043334F" w14:paraId="2B5E06C3" w14:textId="77777777">
      <w:pPr>
        <w:contextualSpacing/>
        <w:jc w:val="both"/>
        <w:rPr>
          <w:rFonts w:asciiTheme="minorHAnsi" w:hAnsiTheme="minorHAnsi"/>
          <w:i/>
          <w:sz w:val="22"/>
          <w:szCs w:val="22"/>
        </w:rPr>
      </w:pPr>
    </w:p>
    <w:p w:rsidR="00C846A1" w:rsidRPr="00AE15DA" w:rsidP="0043334F" w14:paraId="74A7DDF2" w14:textId="77777777">
      <w:pPr>
        <w:contextualSpacing/>
        <w:jc w:val="both"/>
        <w:rPr>
          <w:rFonts w:asciiTheme="minorHAnsi" w:hAnsiTheme="minorHAnsi" w:cstheme="minorHAnsi"/>
          <w:sz w:val="22"/>
          <w:szCs w:val="22"/>
          <w:lang w:eastAsia="en-GB"/>
        </w:rPr>
      </w:pPr>
    </w:p>
    <w:p w:rsidR="00C846A1" w:rsidRPr="00AE15DA" w:rsidP="0043334F" w14:paraId="66FA8300" w14:textId="77777777">
      <w:pPr>
        <w:bidi w:val="0"/>
        <w:spacing w:before="100" w:beforeAutospacing="1" w:after="100" w:afterAutospacing="1"/>
        <w:contextualSpacing/>
        <w:jc w:val="both"/>
        <w:rPr>
          <w:rFonts w:asciiTheme="minorHAnsi" w:hAnsiTheme="minorHAnsi"/>
          <w:b/>
          <w:sz w:val="22"/>
          <w:szCs w:val="22"/>
        </w:rPr>
      </w:pPr>
      <w:r w:rsidRPr="00AE15DA">
        <w:rPr>
          <w:rFonts w:asciiTheme="minorHAnsi" w:hAnsiTheme="minorHAnsi"/>
          <w:b/>
          <w:sz w:val="22"/>
          <w:szCs w:val="22"/>
          <w:rtl w:val="0"/>
          <w:lang w:val="ru"/>
        </w:rPr>
        <w:t>B15. Бензодиазепины не подходят для использования при острой и хронической дыхательной недостаточности (PO2 &lt;60 мм рт. ст. и/или PCO2&gt; 50 мм рт. ст.) - повышенный риск дыхательной недостаточности.</w:t>
      </w:r>
    </w:p>
    <w:p w:rsidR="00C846A1" w:rsidRPr="00AE15DA" w:rsidP="0043334F" w14:paraId="33807B08" w14:textId="77777777">
      <w:pPr>
        <w:spacing w:before="100" w:beforeAutospacing="1" w:after="100" w:afterAutospacing="1"/>
        <w:contextualSpacing/>
        <w:jc w:val="both"/>
        <w:rPr>
          <w:rFonts w:asciiTheme="minorHAnsi" w:hAnsiTheme="minorHAnsi"/>
          <w:b/>
          <w:sz w:val="22"/>
          <w:szCs w:val="22"/>
        </w:rPr>
      </w:pPr>
    </w:p>
    <w:p w:rsidR="00EE065C" w:rsidRPr="00AE15DA" w:rsidP="0043334F" w14:paraId="65C5D23F" w14:textId="77777777">
      <w:pPr>
        <w:spacing w:before="100" w:beforeAutospacing="1" w:after="100" w:afterAutospacing="1"/>
        <w:contextualSpacing/>
        <w:jc w:val="both"/>
        <w:rPr>
          <w:rFonts w:asciiTheme="minorHAnsi" w:hAnsiTheme="minorHAnsi"/>
          <w:b/>
          <w:sz w:val="22"/>
          <w:szCs w:val="22"/>
        </w:rPr>
      </w:pPr>
    </w:p>
    <w:p w:rsidR="006C24B0" w:rsidRPr="00AE15DA" w:rsidP="0043334F" w14:paraId="711FA595" w14:textId="77777777">
      <w:pPr>
        <w:bidi w:val="0"/>
        <w:spacing w:before="100" w:beforeAutospacing="1"/>
        <w:contextualSpacing/>
        <w:jc w:val="both"/>
        <w:rPr>
          <w:rFonts w:asciiTheme="minorHAnsi" w:hAnsiTheme="minorHAnsi"/>
          <w:b/>
          <w:sz w:val="22"/>
          <w:szCs w:val="22"/>
          <w:vertAlign w:val="superscript"/>
        </w:rPr>
      </w:pPr>
      <w:r w:rsidRPr="00AE15DA">
        <w:rPr>
          <w:rFonts w:asciiTheme="minorHAnsi" w:hAnsiTheme="minorHAnsi"/>
          <w:b/>
          <w:sz w:val="22"/>
          <w:szCs w:val="22"/>
          <w:rtl w:val="0"/>
          <w:lang w:val="ru"/>
        </w:rPr>
        <w:t xml:space="preserve">B16. ХЭИ не подходит для использования пациентами со стойкой брадикардией (&lt;50/мин), блокадой сердца 2-й или 3-й степени или необъяснимым обмороком, пациентами с удлиненным QTc (&gt;470 мсек у женщин, &gt;450 мсек у мужчин) - риск нарушения сердечной проводимости, обморока, получения травмы. </w:t>
      </w:r>
    </w:p>
    <w:p w:rsidR="00D43767" w:rsidRPr="00AE15DA" w:rsidP="0043334F" w14:paraId="66203824" w14:textId="77777777">
      <w:pPr>
        <w:bidi w:val="0"/>
        <w:contextualSpacing/>
        <w:jc w:val="both"/>
        <w:rPr>
          <w:rFonts w:asciiTheme="minorHAnsi" w:hAnsiTheme="minorHAnsi"/>
          <w:i/>
          <w:sz w:val="22"/>
          <w:szCs w:val="22"/>
        </w:rPr>
      </w:pPr>
      <w:r w:rsidRPr="00AE15DA">
        <w:rPr>
          <w:rFonts w:asciiTheme="minorHAnsi" w:hAnsiTheme="minorHAnsi"/>
          <w:i/>
          <w:sz w:val="22"/>
          <w:szCs w:val="22"/>
          <w:rtl w:val="0"/>
          <w:lang w:val="ru"/>
        </w:rPr>
        <w:t xml:space="preserve">* Прием ХЭИ можно начинать бессимптомным пациентам с ЧСС 50-60/мин. Частоту пульса и симптомы следует проверять через 1 неделю после начала лечения или увеличения дозы. </w:t>
      </w:r>
    </w:p>
    <w:p w:rsidR="007A7469" w:rsidRPr="00AE15DA" w:rsidP="0043334F" w14:paraId="7D16B662" w14:textId="77777777">
      <w:pPr>
        <w:bidi w:val="0"/>
        <w:contextualSpacing/>
        <w:jc w:val="both"/>
        <w:rPr>
          <w:rFonts w:asciiTheme="minorHAnsi" w:hAnsiTheme="minorHAnsi"/>
          <w:i/>
          <w:sz w:val="22"/>
          <w:szCs w:val="22"/>
        </w:rPr>
      </w:pPr>
      <w:r w:rsidRPr="00AE15DA">
        <w:rPr>
          <w:rFonts w:asciiTheme="minorHAnsi" w:hAnsiTheme="minorHAnsi"/>
          <w:i/>
          <w:sz w:val="22"/>
          <w:szCs w:val="22"/>
          <w:rtl w:val="0"/>
          <w:lang w:val="ru"/>
        </w:rPr>
        <w:t xml:space="preserve">* Его можно использовать с осторожностью, если частота пульса не &lt;50/мин и нет никаких симптомов у тех, кто принимает сопутствующие лекарства, ограничивающие частоту сердечных сокращений. ХЭИ следует применять с осторожностью пациентам с БЛНПГ или ФП, пациенты должны находиться под наблюдением. </w:t>
      </w:r>
    </w:p>
    <w:p w:rsidR="00B3469F" w:rsidRPr="00AE15DA" w:rsidP="0043334F" w14:paraId="6B5FD0B9" w14:textId="77777777">
      <w:pPr>
        <w:bidi w:val="0"/>
        <w:contextualSpacing/>
        <w:jc w:val="both"/>
        <w:rPr>
          <w:rFonts w:asciiTheme="minorHAnsi" w:hAnsiTheme="minorHAnsi"/>
          <w:i/>
          <w:sz w:val="22"/>
          <w:szCs w:val="22"/>
        </w:rPr>
      </w:pPr>
      <w:r w:rsidRPr="00AE15DA">
        <w:rPr>
          <w:rFonts w:asciiTheme="minorHAnsi" w:hAnsiTheme="minorHAnsi"/>
          <w:i/>
          <w:sz w:val="22"/>
          <w:szCs w:val="22"/>
          <w:rtl w:val="0"/>
          <w:lang w:val="ru"/>
        </w:rPr>
        <w:t xml:space="preserve">ХЭИ следует использовать с осторожностью у пациентов с ХОБЛ или астмой. Это может усугубить бронхоспазм, следует наблюдать. </w:t>
      </w:r>
    </w:p>
    <w:p w:rsidR="00B3469F" w:rsidRPr="00AE15DA" w:rsidP="0043334F" w14:paraId="55D7449D" w14:textId="77777777">
      <w:pPr>
        <w:pStyle w:val="HTMLPreformatted"/>
        <w:bidi w:val="0"/>
        <w:contextualSpacing/>
        <w:jc w:val="both"/>
        <w:rPr>
          <w:rFonts w:asciiTheme="minorHAnsi" w:hAnsiTheme="minorHAnsi" w:cs="Times New Roman"/>
          <w:i/>
          <w:sz w:val="22"/>
          <w:szCs w:val="22"/>
        </w:rPr>
      </w:pPr>
      <w:r w:rsidRPr="00AE15DA">
        <w:rPr>
          <w:rFonts w:asciiTheme="minorHAnsi" w:hAnsiTheme="minorHAnsi" w:cs="Times New Roman"/>
          <w:i/>
          <w:sz w:val="22"/>
          <w:szCs w:val="22"/>
          <w:rtl w:val="0"/>
          <w:lang w:val="ru"/>
        </w:rPr>
        <w:t>* ХЭИ следует применять с осторожностью пациентам с язвой желудка в анамнезе и тем, кто принимает нестероидные противовоспалительные препараты. Эти пациенты должны наблюдаться на предмет желудочно-кишечных кровотечений.</w:t>
      </w:r>
    </w:p>
    <w:p w:rsidR="00D43767" w:rsidRPr="00AE15DA" w:rsidP="0043334F" w14:paraId="3E701B2B" w14:textId="77777777">
      <w:pPr>
        <w:pStyle w:val="HTMLPreformatted"/>
        <w:contextualSpacing/>
        <w:jc w:val="both"/>
        <w:rPr>
          <w:rFonts w:asciiTheme="minorHAnsi" w:hAnsiTheme="minorHAnsi" w:cs="Times New Roman"/>
          <w:i/>
          <w:sz w:val="22"/>
          <w:szCs w:val="22"/>
        </w:rPr>
      </w:pPr>
    </w:p>
    <w:p w:rsidR="001B712D" w:rsidRPr="00AE15DA" w:rsidP="0043334F" w14:paraId="0FF63386" w14:textId="77777777">
      <w:pPr>
        <w:pStyle w:val="HTMLPreformatted"/>
        <w:contextualSpacing/>
        <w:jc w:val="both"/>
        <w:rPr>
          <w:rFonts w:asciiTheme="minorHAnsi" w:hAnsiTheme="minorHAnsi" w:cstheme="minorHAnsi"/>
          <w:sz w:val="22"/>
          <w:szCs w:val="22"/>
        </w:rPr>
      </w:pPr>
    </w:p>
    <w:p w:rsidR="006C24B0" w:rsidRPr="00AE15DA" w:rsidP="0043334F" w14:paraId="73234F14" w14:textId="77777777">
      <w:pPr>
        <w:pStyle w:val="HTMLPreformatted"/>
        <w:bidi w:val="0"/>
        <w:contextualSpacing/>
        <w:jc w:val="both"/>
        <w:rPr>
          <w:rFonts w:asciiTheme="minorHAnsi" w:hAnsiTheme="minorHAnsi" w:cstheme="minorHAnsi"/>
          <w:color w:val="000000" w:themeColor="text1"/>
          <w:sz w:val="22"/>
          <w:szCs w:val="22"/>
        </w:rPr>
      </w:pPr>
      <w:r w:rsidRPr="00AE15DA">
        <w:rPr>
          <w:rFonts w:asciiTheme="minorHAnsi" w:hAnsiTheme="minorHAnsi"/>
          <w:b/>
          <w:sz w:val="22"/>
          <w:szCs w:val="22"/>
          <w:rtl w:val="0"/>
          <w:lang w:val="ru"/>
        </w:rPr>
        <w:t xml:space="preserve">B17. Использование леводопы или агонистов дофамина не подходит для лечения эссенциального тремора (эффективность не доказана). </w:t>
      </w:r>
    </w:p>
    <w:p w:rsidR="00EE065C" w:rsidRPr="00AE15DA" w:rsidP="0043334F" w14:paraId="2C9DA35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lang w:eastAsia="en-GB"/>
        </w:rPr>
      </w:pPr>
    </w:p>
    <w:p w:rsidR="001B712D" w:rsidRPr="00AE15DA" w:rsidP="0043334F" w14:paraId="25EA5A85" w14:textId="77777777">
      <w:pPr>
        <w:spacing w:before="100" w:beforeAutospacing="1" w:after="100" w:afterAutospacing="1"/>
        <w:contextualSpacing/>
        <w:jc w:val="both"/>
        <w:rPr>
          <w:rFonts w:asciiTheme="minorHAnsi" w:hAnsiTheme="minorHAnsi" w:cstheme="minorHAnsi"/>
          <w:color w:val="000000"/>
          <w:sz w:val="22"/>
          <w:szCs w:val="22"/>
        </w:rPr>
      </w:pPr>
    </w:p>
    <w:p w:rsidR="001B712D" w:rsidRPr="00AE15DA" w:rsidP="0043334F" w14:paraId="2A9F596A" w14:textId="77777777">
      <w:pPr>
        <w:bidi w:val="0"/>
        <w:spacing w:before="100" w:beforeAutospacing="1" w:after="100" w:afterAutospacing="1"/>
        <w:contextualSpacing/>
        <w:jc w:val="both"/>
        <w:rPr>
          <w:rFonts w:asciiTheme="minorHAnsi" w:hAnsiTheme="minorHAnsi"/>
          <w:b/>
          <w:color w:val="000000" w:themeColor="text1"/>
          <w:sz w:val="22"/>
          <w:szCs w:val="22"/>
        </w:rPr>
      </w:pPr>
      <w:r w:rsidRPr="00AE15DA">
        <w:rPr>
          <w:rFonts w:asciiTheme="minorHAnsi" w:hAnsiTheme="minorHAnsi"/>
          <w:b/>
          <w:color w:val="000000"/>
          <w:sz w:val="22"/>
          <w:szCs w:val="22"/>
          <w:rtl w:val="0"/>
          <w:lang w:val="ru"/>
        </w:rPr>
        <w:t>B18. Непрерывный и длительный прием таких препаратов, как бетагистин, триметазидин, дименгидринат, не подходит для лечения головокружения (отсутствие доказанных положительных эффектов).</w:t>
      </w:r>
      <w:r w:rsidRPr="00AE15DA">
        <w:rPr>
          <w:rFonts w:asciiTheme="minorHAnsi" w:hAnsiTheme="minorHAnsi"/>
          <w:b/>
          <w:color w:val="000000"/>
          <w:sz w:val="22"/>
          <w:szCs w:val="22"/>
          <w:rtl w:val="0"/>
          <w:lang w:val="ru"/>
        </w:rPr>
        <w:t xml:space="preserve"> </w:t>
      </w:r>
    </w:p>
    <w:p w:rsidR="001B712D" w:rsidRPr="00AE15DA" w:rsidP="0043334F" w14:paraId="3E35FAB8" w14:textId="77777777">
      <w:pPr>
        <w:spacing w:before="100" w:beforeAutospacing="1" w:after="100" w:afterAutospacing="1"/>
        <w:contextualSpacing/>
        <w:jc w:val="both"/>
        <w:rPr>
          <w:rFonts w:asciiTheme="minorHAnsi" w:hAnsiTheme="minorHAnsi"/>
          <w:b/>
          <w:color w:val="000000" w:themeColor="text1"/>
          <w:sz w:val="22"/>
          <w:szCs w:val="22"/>
        </w:rPr>
      </w:pPr>
    </w:p>
    <w:p w:rsidR="001B712D" w:rsidRPr="00AE15DA" w:rsidP="0043334F" w14:paraId="5F1D7D1A" w14:textId="77777777">
      <w:pPr>
        <w:spacing w:before="100" w:beforeAutospacing="1" w:after="100" w:afterAutospacing="1"/>
        <w:contextualSpacing/>
        <w:jc w:val="both"/>
        <w:rPr>
          <w:rFonts w:asciiTheme="minorHAnsi" w:hAnsiTheme="minorHAnsi" w:cstheme="minorHAnsi"/>
          <w:color w:val="000000"/>
          <w:sz w:val="22"/>
          <w:szCs w:val="22"/>
        </w:rPr>
      </w:pPr>
    </w:p>
    <w:p w:rsidR="006C24B0" w:rsidRPr="00AE15DA" w:rsidP="0043334F" w14:paraId="250272A8" w14:textId="6EC1284C">
      <w:pPr>
        <w:bidi w:val="0"/>
        <w:spacing w:before="100" w:beforeAutospacing="1" w:after="100" w:afterAutospacing="1"/>
        <w:contextualSpacing/>
        <w:jc w:val="both"/>
        <w:rPr>
          <w:rFonts w:asciiTheme="minorHAnsi" w:hAnsiTheme="minorHAnsi" w:cstheme="minorHAnsi"/>
          <w:color w:val="000000"/>
          <w:sz w:val="22"/>
          <w:szCs w:val="22"/>
        </w:rPr>
      </w:pPr>
      <w:r>
        <w:rPr>
          <w:rFonts w:ascii="Calibri" w:hAnsi="Calibri" w:cs="Calibri"/>
          <w:b/>
          <w:sz w:val="22"/>
          <w:szCs w:val="22"/>
          <w:rtl w:val="0"/>
          <w:lang w:val="ru"/>
        </w:rPr>
        <w:t xml:space="preserve">#B19. Циннаризин не подходит для использования (экстрапирамидные побочные эффекты, ограниченное применение). </w:t>
      </w:r>
    </w:p>
    <w:p w:rsidR="001B712D" w:rsidRPr="00AE15DA" w:rsidP="0043334F" w14:paraId="69F55B4A" w14:textId="77777777">
      <w:pPr>
        <w:spacing w:before="100" w:beforeAutospacing="1" w:after="100" w:afterAutospacing="1"/>
        <w:contextualSpacing/>
        <w:jc w:val="both"/>
        <w:rPr>
          <w:rFonts w:asciiTheme="minorHAnsi" w:hAnsiTheme="minorHAnsi" w:cstheme="minorHAnsi"/>
          <w:sz w:val="22"/>
          <w:szCs w:val="22"/>
        </w:rPr>
      </w:pPr>
    </w:p>
    <w:p w:rsidR="00C846A1" w:rsidRPr="00AE15DA" w:rsidP="0043334F" w14:paraId="6E196D8E" w14:textId="77777777">
      <w:pPr>
        <w:spacing w:before="100" w:beforeAutospacing="1" w:after="100" w:afterAutospacing="1"/>
        <w:contextualSpacing/>
        <w:jc w:val="both"/>
        <w:rPr>
          <w:rFonts w:asciiTheme="minorHAnsi" w:hAnsiTheme="minorHAnsi" w:cstheme="minorHAnsi"/>
          <w:color w:val="000000"/>
          <w:sz w:val="22"/>
          <w:szCs w:val="22"/>
        </w:rPr>
      </w:pPr>
    </w:p>
    <w:p w:rsidR="00C846A1" w:rsidRPr="00AE15DA" w:rsidP="0043334F" w14:paraId="608CE37C" w14:textId="77777777">
      <w:pPr>
        <w:bidi w:val="0"/>
        <w:spacing w:before="100" w:beforeAutospacing="1" w:after="100" w:afterAutospacing="1"/>
        <w:contextualSpacing/>
        <w:jc w:val="both"/>
        <w:rPr>
          <w:rFonts w:asciiTheme="minorHAnsi" w:hAnsiTheme="minorHAnsi"/>
          <w:b/>
          <w:color w:val="000000"/>
          <w:sz w:val="22"/>
          <w:szCs w:val="22"/>
        </w:rPr>
      </w:pPr>
      <w:r w:rsidRPr="00AE15DA">
        <w:rPr>
          <w:rFonts w:asciiTheme="minorHAnsi" w:hAnsiTheme="minorHAnsi"/>
          <w:b/>
          <w:color w:val="000000"/>
          <w:sz w:val="22"/>
          <w:szCs w:val="22"/>
          <w:rtl w:val="0"/>
          <w:lang w:val="ru"/>
        </w:rPr>
        <w:t>B20. Пирацетам не подходит для использования, кроме как для лечения миоклонических судорог (из-за отсутствия доказанной клинической эффективности, дороговизны и возможности побочных эффектов).</w:t>
      </w:r>
    </w:p>
    <w:p w:rsidR="00C846A1" w:rsidRPr="00AE15DA" w:rsidP="0043334F" w14:paraId="17FFF27A" w14:textId="77777777">
      <w:pPr>
        <w:bidi w:val="0"/>
        <w:spacing w:before="100" w:beforeAutospacing="1" w:after="100" w:afterAutospacing="1"/>
        <w:contextualSpacing/>
        <w:jc w:val="both"/>
        <w:rPr>
          <w:rFonts w:asciiTheme="minorHAnsi" w:hAnsiTheme="minorHAnsi"/>
          <w:i/>
          <w:color w:val="000000"/>
          <w:sz w:val="22"/>
          <w:szCs w:val="22"/>
        </w:rPr>
      </w:pPr>
      <w:r w:rsidRPr="00AE15DA">
        <w:rPr>
          <w:rFonts w:asciiTheme="minorHAnsi" w:hAnsiTheme="minorHAnsi"/>
          <w:i/>
          <w:color w:val="000000"/>
          <w:sz w:val="22"/>
          <w:szCs w:val="22"/>
          <w:rtl w:val="0"/>
          <w:lang w:val="ru"/>
        </w:rPr>
        <w:t xml:space="preserve">* Учитывая соотношение пользы и вреда, его можно использовать для пациентов, которые, как полагают, имеют получают симптоматическую пользу от лечения пирацетамом, </w:t>
      </w:r>
    </w:p>
    <w:p w:rsidR="002E0C44" w:rsidRPr="00AE15DA" w:rsidP="0043334F" w14:paraId="5105F169" w14:textId="77777777">
      <w:pPr>
        <w:bidi w:val="0"/>
        <w:spacing w:before="100" w:beforeAutospacing="1" w:after="100" w:afterAutospacing="1"/>
        <w:contextualSpacing/>
        <w:jc w:val="both"/>
        <w:rPr>
          <w:rFonts w:asciiTheme="minorHAnsi" w:hAnsiTheme="minorHAnsi" w:cstheme="minorHAnsi"/>
          <w:color w:val="000000"/>
          <w:sz w:val="22"/>
          <w:szCs w:val="22"/>
        </w:rPr>
      </w:pPr>
      <w:r w:rsidRPr="00AE15DA">
        <w:rPr>
          <w:rFonts w:asciiTheme="minorHAnsi" w:hAnsiTheme="minorHAnsi"/>
          <w:i/>
          <w:color w:val="000000"/>
          <w:sz w:val="22"/>
          <w:szCs w:val="22"/>
          <w:rtl w:val="0"/>
          <w:lang w:val="ru"/>
        </w:rPr>
        <w:t>* Есть исследования, показывающие, что пирацетам может иметь ограниченную пользу при лечении острой афазии после инсульта.</w:t>
      </w:r>
    </w:p>
    <w:p w:rsidR="005D469F" w:rsidRPr="00AE15DA" w:rsidP="0043334F" w14:paraId="687C6470" w14:textId="77777777">
      <w:pPr>
        <w:tabs>
          <w:tab w:val="left" w:pos="708"/>
        </w:tabs>
        <w:contextualSpacing/>
        <w:jc w:val="both"/>
        <w:rPr>
          <w:rFonts w:asciiTheme="minorHAnsi" w:hAnsiTheme="minorHAnsi" w:cstheme="minorHAnsi"/>
          <w:sz w:val="22"/>
          <w:szCs w:val="22"/>
        </w:rPr>
      </w:pPr>
    </w:p>
    <w:p w:rsidR="005D469F" w:rsidRPr="00AE15DA" w:rsidP="0043334F" w14:paraId="07261C72" w14:textId="77777777">
      <w:pPr>
        <w:tabs>
          <w:tab w:val="left" w:pos="708"/>
        </w:tabs>
        <w:contextualSpacing/>
        <w:jc w:val="both"/>
        <w:rPr>
          <w:rFonts w:asciiTheme="minorHAnsi" w:hAnsiTheme="minorHAnsi" w:cstheme="minorHAnsi"/>
          <w:sz w:val="22"/>
          <w:szCs w:val="22"/>
        </w:rPr>
      </w:pPr>
    </w:p>
    <w:p w:rsidR="006C24B0" w:rsidRPr="00AE15DA" w:rsidP="0043334F" w14:paraId="5C1DE946" w14:textId="77777777">
      <w:pPr>
        <w:tabs>
          <w:tab w:val="left" w:pos="708"/>
        </w:tabs>
        <w:bidi w:val="0"/>
        <w:contextualSpacing/>
        <w:jc w:val="both"/>
        <w:rPr>
          <w:rFonts w:asciiTheme="minorHAnsi" w:hAnsiTheme="minorHAnsi" w:cstheme="minorHAnsi"/>
          <w:sz w:val="22"/>
          <w:szCs w:val="22"/>
        </w:rPr>
      </w:pPr>
      <w:r w:rsidRPr="00AE15DA">
        <w:rPr>
          <w:rFonts w:asciiTheme="minorHAnsi" w:hAnsiTheme="minorHAnsi"/>
          <w:b/>
          <w:color w:val="000000"/>
          <w:sz w:val="22"/>
          <w:szCs w:val="22"/>
          <w:rtl w:val="0"/>
          <w:lang w:val="ru"/>
        </w:rPr>
        <w:t>B21. Карбамазепин, фенитоин, фенобарбитал или вальпроат не подходят для использования при хроническом лечении эпилепсии (из-за их отрицательного воздействия на витамин D, индукцию ферментов, риск падения, также существуют более безопасные альтернативы).</w:t>
      </w:r>
    </w:p>
    <w:p w:rsidR="00316C80" w:rsidRPr="00AE15DA" w:rsidP="0043334F" w14:paraId="028B148D" w14:textId="77777777">
      <w:pPr>
        <w:bidi w:val="0"/>
        <w:contextualSpacing/>
        <w:jc w:val="both"/>
        <w:rPr>
          <w:rFonts w:asciiTheme="minorHAnsi" w:hAnsiTheme="minorHAnsi"/>
          <w:i/>
          <w:sz w:val="22"/>
          <w:szCs w:val="22"/>
        </w:rPr>
      </w:pPr>
      <w:r w:rsidRPr="00AE15DA">
        <w:rPr>
          <w:rFonts w:asciiTheme="minorHAnsi" w:hAnsiTheme="minorHAnsi"/>
          <w:i/>
          <w:sz w:val="22"/>
          <w:szCs w:val="22"/>
          <w:rtl w:val="0"/>
          <w:lang w:val="ru"/>
        </w:rPr>
        <w:t>* При лечении хронической эпилепсии у пожилых людей могут быть предпочтительнее такие новые агенты, как леватирацетам, ламотриджин, габапентин.</w:t>
      </w:r>
    </w:p>
    <w:p w:rsidR="00C846A1" w:rsidRPr="00AE15DA" w:rsidP="0043334F" w14:paraId="15694B70" w14:textId="77777777">
      <w:pPr>
        <w:tabs>
          <w:tab w:val="left" w:pos="708"/>
        </w:tabs>
        <w:contextualSpacing/>
        <w:rPr>
          <w:rFonts w:asciiTheme="minorHAnsi" w:hAnsiTheme="minorHAnsi" w:cstheme="minorHAnsi"/>
          <w:color w:val="000000" w:themeColor="text1"/>
          <w:sz w:val="22"/>
          <w:szCs w:val="22"/>
        </w:rPr>
      </w:pPr>
    </w:p>
    <w:p w:rsidR="00C846A1" w:rsidRPr="00AE15DA" w:rsidP="0043334F" w14:paraId="037FB699" w14:textId="77777777">
      <w:pPr>
        <w:tabs>
          <w:tab w:val="left" w:pos="708"/>
        </w:tabs>
        <w:contextualSpacing/>
        <w:rPr>
          <w:rFonts w:asciiTheme="minorHAnsi" w:hAnsiTheme="minorHAnsi" w:cstheme="minorHAnsi"/>
          <w:color w:val="000000" w:themeColor="text1"/>
          <w:sz w:val="22"/>
          <w:szCs w:val="22"/>
        </w:rPr>
      </w:pPr>
    </w:p>
    <w:p w:rsidR="00C846A1" w:rsidRPr="00AE15DA" w:rsidP="0043334F" w14:paraId="558CB3D1" w14:textId="77777777">
      <w:pPr>
        <w:tabs>
          <w:tab w:val="left" w:pos="708"/>
        </w:tabs>
        <w:bidi w:val="0"/>
        <w:contextualSpacing/>
        <w:rPr>
          <w:rFonts w:asciiTheme="minorHAnsi" w:hAnsiTheme="minorHAnsi"/>
          <w:b/>
          <w:color w:val="000000" w:themeColor="text1"/>
          <w:sz w:val="22"/>
          <w:szCs w:val="22"/>
        </w:rPr>
      </w:pPr>
      <w:r w:rsidRPr="00AE15DA">
        <w:rPr>
          <w:rFonts w:asciiTheme="minorHAnsi" w:hAnsiTheme="minorHAnsi"/>
          <w:b/>
          <w:color w:val="000000" w:themeColor="text1"/>
          <w:sz w:val="22"/>
          <w:szCs w:val="22"/>
          <w:rtl w:val="0"/>
          <w:lang w:val="ru"/>
        </w:rPr>
        <w:t xml:space="preserve">B22. Трамадол, нейролептики/антипсихотики (клозапин, оланзапин, хлорпромазин, тиоридазин), бупропион и мапротилин не подходят для пациентов с эпилепсией. </w:t>
      </w:r>
    </w:p>
    <w:p w:rsidR="00C846A1" w:rsidP="0043334F" w14:paraId="2C3EA5ED" w14:textId="1038A049">
      <w:pPr>
        <w:pStyle w:val="HTMLPreformatted"/>
        <w:contextualSpacing/>
        <w:jc w:val="both"/>
        <w:rPr>
          <w:rFonts w:asciiTheme="minorHAnsi" w:hAnsiTheme="minorHAnsi" w:cstheme="minorHAnsi"/>
          <w:color w:val="000000"/>
          <w:sz w:val="22"/>
          <w:szCs w:val="22"/>
        </w:rPr>
      </w:pPr>
    </w:p>
    <w:p w:rsidR="00E85274" w:rsidRPr="00AE15DA" w:rsidP="0043334F" w14:paraId="6769BAB4" w14:textId="77777777">
      <w:pPr>
        <w:pStyle w:val="HTMLPreformatted"/>
        <w:contextualSpacing/>
        <w:jc w:val="both"/>
        <w:rPr>
          <w:rFonts w:asciiTheme="minorHAnsi" w:hAnsiTheme="minorHAnsi" w:cstheme="minorHAnsi"/>
          <w:color w:val="000000"/>
          <w:sz w:val="22"/>
          <w:szCs w:val="22"/>
        </w:rPr>
      </w:pPr>
    </w:p>
    <w:p w:rsidR="00EE065C" w:rsidRPr="00E85274" w:rsidP="00E85274" w14:paraId="7248D813" w14:textId="5E2C6F58">
      <w:pPr>
        <w:pStyle w:val="HTMLPreformatted"/>
        <w:bidi w:val="0"/>
        <w:contextualSpacing/>
        <w:jc w:val="both"/>
        <w:rPr>
          <w:rFonts w:asciiTheme="minorHAnsi" w:hAnsiTheme="minorHAnsi" w:cstheme="minorHAnsi"/>
          <w:color w:val="000000"/>
          <w:sz w:val="22"/>
          <w:szCs w:val="22"/>
        </w:rPr>
      </w:pPr>
      <w:r w:rsidRPr="00AE15DA">
        <w:rPr>
          <w:rFonts w:asciiTheme="minorHAnsi" w:hAnsiTheme="minorHAnsi"/>
          <w:b/>
          <w:color w:val="000000"/>
          <w:sz w:val="22"/>
          <w:szCs w:val="22"/>
          <w:rtl w:val="0"/>
          <w:lang w:val="ru"/>
        </w:rPr>
        <w:t>B23. Противоэпилептическая терапия для профилактики судорог в связи с наличием ишемического/геморрагического инсульта не подходит пациентам, у которых ранее не было судорог.</w:t>
      </w:r>
    </w:p>
    <w:p w:rsidR="00C846A1" w:rsidRPr="00AE15DA" w:rsidP="0043334F" w14:paraId="6F963514" w14:textId="77777777">
      <w:pPr>
        <w:bidi w:val="0"/>
        <w:spacing w:before="100" w:beforeAutospacing="1" w:after="100" w:afterAutospacing="1"/>
        <w:contextualSpacing/>
        <w:jc w:val="both"/>
        <w:rPr>
          <w:rFonts w:asciiTheme="minorHAnsi" w:hAnsiTheme="minorHAnsi"/>
          <w:b/>
          <w:sz w:val="22"/>
          <w:szCs w:val="22"/>
        </w:rPr>
      </w:pPr>
      <w:r w:rsidRPr="00AE15DA">
        <w:rPr>
          <w:rFonts w:asciiTheme="minorHAnsi" w:hAnsiTheme="minorHAnsi"/>
          <w:b/>
          <w:sz w:val="22"/>
          <w:szCs w:val="22"/>
          <w:rtl w:val="0"/>
          <w:lang w:val="ru"/>
        </w:rPr>
        <w:t>B24. Применение циталопрама в дозах выше 20 мг/день и эсциталопрама более 10 мг/день у пожилых людей нецелесообразно (из-за риска удлинения интервала QTc).</w:t>
      </w:r>
    </w:p>
    <w:p w:rsidR="00C846A1" w:rsidRPr="00AE15DA" w:rsidP="0043334F" w14:paraId="3D3CB174" w14:textId="77777777">
      <w:pPr>
        <w:spacing w:before="100" w:beforeAutospacing="1" w:after="100" w:afterAutospacing="1"/>
        <w:contextualSpacing/>
        <w:jc w:val="both"/>
        <w:rPr>
          <w:rFonts w:asciiTheme="minorHAnsi" w:hAnsiTheme="minorHAnsi"/>
          <w:sz w:val="22"/>
          <w:szCs w:val="22"/>
          <w:vertAlign w:val="superscript"/>
        </w:rPr>
      </w:pPr>
    </w:p>
    <w:p w:rsidR="00C846A1" w:rsidRPr="00AE15DA" w:rsidP="0043334F" w14:paraId="5C709498" w14:textId="77777777">
      <w:pPr>
        <w:spacing w:before="100" w:beforeAutospacing="1" w:after="100" w:afterAutospacing="1"/>
        <w:contextualSpacing/>
        <w:jc w:val="both"/>
        <w:rPr>
          <w:rFonts w:asciiTheme="minorHAnsi" w:hAnsiTheme="minorHAnsi"/>
          <w:sz w:val="22"/>
          <w:szCs w:val="22"/>
          <w:vertAlign w:val="superscript"/>
        </w:rPr>
      </w:pPr>
    </w:p>
    <w:p w:rsidR="00C846A1" w:rsidRPr="00AE15DA" w:rsidP="0043334F" w14:paraId="660162CF" w14:textId="77777777">
      <w:pPr>
        <w:spacing w:before="100" w:beforeAutospacing="1" w:after="100" w:afterAutospacing="1"/>
        <w:contextualSpacing/>
        <w:jc w:val="both"/>
        <w:rPr>
          <w:rFonts w:asciiTheme="minorHAnsi" w:hAnsiTheme="minorHAnsi"/>
          <w:sz w:val="22"/>
          <w:szCs w:val="22"/>
          <w:vertAlign w:val="superscript"/>
        </w:rPr>
      </w:pPr>
    </w:p>
    <w:p w:rsidR="004816D3" w:rsidRPr="00AE15DA" w:rsidP="0043334F" w14:paraId="5E388600" w14:textId="77777777">
      <w:pPr>
        <w:bidi w:val="0"/>
        <w:spacing w:before="100" w:beforeAutospacing="1" w:after="100" w:afterAutospacing="1"/>
        <w:contextualSpacing/>
        <w:jc w:val="both"/>
        <w:rPr>
          <w:rFonts w:asciiTheme="minorHAnsi" w:hAnsiTheme="minorHAnsi"/>
          <w:b/>
          <w:sz w:val="28"/>
          <w:szCs w:val="28"/>
        </w:rPr>
      </w:pPr>
      <w:r w:rsidRPr="00AE15DA">
        <w:rPr>
          <w:rFonts w:asciiTheme="minorHAnsi" w:hAnsiTheme="minorHAnsi"/>
          <w:b/>
          <w:sz w:val="28"/>
          <w:szCs w:val="28"/>
          <w:rtl w:val="0"/>
          <w:lang w:val="ru"/>
        </w:rPr>
        <w:t xml:space="preserve">С: Критерии пищеварительной системы. </w:t>
      </w:r>
    </w:p>
    <w:p w:rsidR="00EE065C" w:rsidRPr="00AE15DA" w:rsidP="0043334F" w14:paraId="39798FEF" w14:textId="77777777">
      <w:pPr>
        <w:spacing w:before="100" w:beforeAutospacing="1" w:after="100" w:afterAutospacing="1"/>
        <w:contextualSpacing/>
        <w:jc w:val="both"/>
        <w:rPr>
          <w:rFonts w:asciiTheme="minorHAnsi" w:hAnsiTheme="minorHAnsi"/>
          <w:b/>
          <w:sz w:val="22"/>
          <w:szCs w:val="22"/>
        </w:rPr>
      </w:pPr>
    </w:p>
    <w:p w:rsidR="00EE065C" w:rsidRPr="00AE15DA" w:rsidP="0043334F" w14:paraId="079386D0" w14:textId="77777777">
      <w:pPr>
        <w:spacing w:before="100" w:beforeAutospacing="1" w:after="100" w:afterAutospacing="1"/>
        <w:contextualSpacing/>
        <w:jc w:val="both"/>
        <w:rPr>
          <w:rFonts w:asciiTheme="minorHAnsi" w:hAnsiTheme="minorHAnsi"/>
          <w:b/>
          <w:sz w:val="22"/>
          <w:szCs w:val="22"/>
        </w:rPr>
      </w:pPr>
    </w:p>
    <w:p w:rsidR="005D469F" w:rsidRPr="00AE15DA" w:rsidP="0043334F" w14:paraId="41A79BE0" w14:textId="77777777">
      <w:pPr>
        <w:spacing w:before="100" w:beforeAutospacing="1" w:after="100" w:afterAutospacing="1"/>
        <w:contextualSpacing/>
        <w:jc w:val="both"/>
        <w:rPr>
          <w:rFonts w:asciiTheme="minorHAnsi" w:hAnsiTheme="minorHAnsi"/>
          <w:b/>
          <w:sz w:val="22"/>
          <w:szCs w:val="22"/>
        </w:rPr>
      </w:pPr>
    </w:p>
    <w:p w:rsidR="007A7469" w:rsidRPr="00AE15DA" w:rsidP="0043334F" w14:paraId="5613B0B2" w14:textId="77777777">
      <w:pPr>
        <w:bidi w:val="0"/>
        <w:spacing w:before="100" w:beforeAutospacing="1" w:after="100" w:afterAutospacing="1"/>
        <w:contextualSpacing/>
        <w:jc w:val="both"/>
        <w:rPr>
          <w:rFonts w:asciiTheme="minorHAnsi" w:hAnsiTheme="minorHAnsi"/>
          <w:b/>
          <w:sz w:val="22"/>
          <w:szCs w:val="22"/>
        </w:rPr>
      </w:pPr>
      <w:r w:rsidRPr="00AE15DA">
        <w:rPr>
          <w:rFonts w:asciiTheme="minorHAnsi" w:hAnsiTheme="minorHAnsi"/>
          <w:b/>
          <w:sz w:val="22"/>
          <w:szCs w:val="22"/>
          <w:rtl w:val="0"/>
          <w:lang w:val="ru"/>
        </w:rPr>
        <w:t>C1. Одновременное применение НПВП с OAK (антагонисты витамина К, прямые ингибиторы тромбина, ингибиторы фактора Ха) нецелесообразно (риск желудочно-кишечного кровотечения).</w:t>
      </w:r>
    </w:p>
    <w:p w:rsidR="00EE065C" w:rsidRPr="00AE15DA" w:rsidP="0043334F" w14:paraId="4C6E921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lang w:eastAsia="en-GB"/>
        </w:rPr>
      </w:pPr>
    </w:p>
    <w:p w:rsidR="00C846A1" w:rsidRPr="00AE15DA" w:rsidP="0043334F" w14:paraId="53ABB89D" w14:textId="77777777">
      <w:pPr>
        <w:tabs>
          <w:tab w:val="left" w:pos="708"/>
        </w:tabs>
        <w:contextualSpacing/>
        <w:jc w:val="both"/>
        <w:rPr>
          <w:rFonts w:asciiTheme="minorHAnsi" w:hAnsiTheme="minorHAnsi" w:cstheme="minorHAnsi"/>
          <w:sz w:val="22"/>
          <w:szCs w:val="22"/>
        </w:rPr>
      </w:pPr>
    </w:p>
    <w:p w:rsidR="007A7469" w:rsidRPr="00AE15DA" w:rsidP="0043334F" w14:paraId="7DD64B01" w14:textId="77777777">
      <w:pPr>
        <w:tabs>
          <w:tab w:val="left" w:pos="708"/>
        </w:tabs>
        <w:bidi w:val="0"/>
        <w:contextualSpacing/>
        <w:jc w:val="both"/>
        <w:rPr>
          <w:rFonts w:asciiTheme="minorHAnsi" w:hAnsiTheme="minorHAnsi" w:cstheme="minorHAnsi"/>
          <w:sz w:val="22"/>
          <w:szCs w:val="22"/>
        </w:rPr>
      </w:pPr>
      <w:r w:rsidRPr="00AE15DA">
        <w:rPr>
          <w:rFonts w:asciiTheme="minorHAnsi" w:hAnsiTheme="minorHAnsi"/>
          <w:b/>
          <w:sz w:val="22"/>
          <w:szCs w:val="22"/>
          <w:rtl w:val="0"/>
          <w:lang w:val="ru"/>
        </w:rPr>
        <w:t>C2. Аспирин, клопидогрель, НПВП или стероиды не подходят пациентам с язвой в анамнезе, пациентам, получающими дополнительную антитромбоцитарную терапию, сопутствующие антикоагулянты, принимающим стероиды, пациентам с симптомами диспепсии-ГЭР, без введения ИПП.</w:t>
      </w:r>
    </w:p>
    <w:p w:rsidR="00416085" w:rsidRPr="00AE15DA" w:rsidP="0043334F" w14:paraId="21085BC1" w14:textId="77777777">
      <w:pPr>
        <w:bidi w:val="0"/>
        <w:contextualSpacing/>
        <w:jc w:val="both"/>
        <w:rPr>
          <w:rFonts w:asciiTheme="minorHAnsi" w:hAnsiTheme="minorHAnsi"/>
          <w:i/>
          <w:sz w:val="22"/>
          <w:szCs w:val="22"/>
        </w:rPr>
      </w:pPr>
      <w:r w:rsidRPr="00AE15DA">
        <w:rPr>
          <w:rFonts w:asciiTheme="minorHAnsi" w:hAnsiTheme="minorHAnsi"/>
          <w:i/>
          <w:sz w:val="22"/>
          <w:szCs w:val="22"/>
          <w:rtl w:val="0"/>
          <w:lang w:val="ru"/>
        </w:rPr>
        <w:t xml:space="preserve">* Рекомендуемое количество ИПП при использовании для профилактики - это большая доза, назначаемая один раз в день. </w:t>
      </w:r>
    </w:p>
    <w:p w:rsidR="00416085" w:rsidRPr="00AE15DA" w:rsidP="0043334F" w14:paraId="58B4AE4A" w14:textId="77777777">
      <w:pPr>
        <w:bidi w:val="0"/>
        <w:contextualSpacing/>
        <w:jc w:val="both"/>
        <w:rPr>
          <w:rFonts w:asciiTheme="minorHAnsi" w:hAnsiTheme="minorHAnsi" w:cs="Arial"/>
          <w:i/>
          <w:color w:val="222222"/>
          <w:sz w:val="22"/>
          <w:szCs w:val="22"/>
          <w:shd w:val="clear" w:color="auto" w:fill="F8F9FA"/>
        </w:rPr>
      </w:pPr>
      <w:r w:rsidRPr="00AE15DA">
        <w:rPr>
          <w:rFonts w:asciiTheme="minorHAnsi" w:hAnsiTheme="minorHAnsi" w:cs="Arial"/>
          <w:i/>
          <w:color w:val="222222"/>
          <w:sz w:val="22"/>
          <w:szCs w:val="22"/>
          <w:shd w:val="clear" w:color="auto" w:fill="F8F9FA"/>
          <w:rtl w:val="0"/>
          <w:lang w:val="ru"/>
        </w:rPr>
        <w:t>* При сопутствующих состояниях, отличных от диспепсии, целесообразно продолжить прием высоких доз ИПП.</w:t>
      </w:r>
    </w:p>
    <w:p w:rsidR="00416085" w:rsidRPr="00AE15DA" w:rsidP="0043334F" w14:paraId="268F290C" w14:textId="77777777">
      <w:pPr>
        <w:bidi w:val="0"/>
        <w:contextualSpacing/>
        <w:jc w:val="both"/>
        <w:rPr>
          <w:rFonts w:asciiTheme="minorHAnsi" w:hAnsiTheme="minorHAnsi"/>
          <w:i/>
          <w:sz w:val="22"/>
          <w:szCs w:val="22"/>
        </w:rPr>
      </w:pPr>
      <w:r w:rsidRPr="00AE15DA">
        <w:rPr>
          <w:rFonts w:asciiTheme="minorHAnsi" w:hAnsiTheme="minorHAnsi"/>
          <w:i/>
          <w:sz w:val="22"/>
          <w:szCs w:val="22"/>
          <w:rtl w:val="0"/>
          <w:lang w:val="ru"/>
        </w:rPr>
        <w:t>* Из-за наличия диспепсии, сопровождающей прием вышеуказанных препаратов, в случаях с показанием ИПП может быть целесообразным использовать высокую дозу ИПП на некоторое время и снизить до самой низкой дозы, при которой у пациента не повторяются симптомы.</w:t>
      </w:r>
    </w:p>
    <w:p w:rsidR="00416085" w:rsidRPr="00AE15DA" w:rsidP="0043334F" w14:paraId="5D2674DE" w14:textId="77777777">
      <w:pPr>
        <w:bidi w:val="0"/>
        <w:contextualSpacing/>
        <w:jc w:val="both"/>
        <w:rPr>
          <w:rFonts w:asciiTheme="minorHAnsi" w:hAnsiTheme="minorHAnsi"/>
          <w:i/>
          <w:sz w:val="22"/>
          <w:szCs w:val="22"/>
        </w:rPr>
      </w:pPr>
      <w:r w:rsidRPr="00AE15DA">
        <w:rPr>
          <w:rFonts w:asciiTheme="minorHAnsi" w:hAnsiTheme="minorHAnsi"/>
          <w:i/>
          <w:color w:val="000000" w:themeColor="text1"/>
          <w:sz w:val="22"/>
          <w:szCs w:val="22"/>
          <w:rtl w:val="0"/>
          <w:lang w:val="ru"/>
        </w:rPr>
        <w:t xml:space="preserve">* ИПП требуется пожилым людям, которые постоянно принимают НПВП.  </w:t>
      </w:r>
      <w:r w:rsidRPr="00AE15DA">
        <w:rPr>
          <w:rFonts w:asciiTheme="minorHAnsi" w:hAnsiTheme="minorHAnsi"/>
          <w:i/>
          <w:sz w:val="22"/>
          <w:szCs w:val="22"/>
          <w:rtl w:val="0"/>
          <w:lang w:val="ru"/>
        </w:rPr>
        <w:t>При хроническом применении НПВП пожилыми людьми следует назначать ИПП/мизопростол даже при отсутствии вышеупомянутых факторов риска.</w:t>
      </w:r>
    </w:p>
    <w:p w:rsidR="00416085" w:rsidRPr="00AE15DA" w:rsidP="0043334F" w14:paraId="275E5BBD" w14:textId="77777777">
      <w:pPr>
        <w:bidi w:val="0"/>
        <w:contextualSpacing/>
        <w:jc w:val="both"/>
        <w:rPr>
          <w:rFonts w:asciiTheme="minorHAnsi" w:hAnsiTheme="minorHAnsi"/>
          <w:i/>
          <w:sz w:val="22"/>
          <w:szCs w:val="22"/>
        </w:rPr>
      </w:pPr>
      <w:r w:rsidRPr="00AE15DA">
        <w:rPr>
          <w:rFonts w:asciiTheme="minorHAnsi" w:hAnsiTheme="minorHAnsi"/>
          <w:i/>
          <w:color w:val="44546A" w:themeColor="text2"/>
          <w:sz w:val="22"/>
          <w:szCs w:val="22"/>
          <w:rtl w:val="0"/>
          <w:lang w:val="ru"/>
        </w:rPr>
        <w:t>*</w:t>
      </w:r>
      <w:r w:rsidRPr="00AE15DA">
        <w:rPr>
          <w:rFonts w:asciiTheme="minorHAnsi" w:hAnsiTheme="minorHAnsi"/>
          <w:i/>
          <w:sz w:val="22"/>
          <w:szCs w:val="22"/>
          <w:rtl w:val="0"/>
          <w:lang w:val="ru"/>
        </w:rPr>
        <w:t xml:space="preserve"> Пожилым людям, принимающим НПВП кратковременного действия, может быть целесообразно назначать сопутствующие ИПП, даже если вышеупомянутые факторы риска отсутствуют.  </w:t>
      </w:r>
    </w:p>
    <w:p w:rsidR="00416085" w:rsidRPr="00AE15DA" w:rsidP="0043334F" w14:paraId="69F23B7F" w14:textId="77777777">
      <w:pPr>
        <w:bidi w:val="0"/>
        <w:contextualSpacing/>
        <w:jc w:val="both"/>
        <w:rPr>
          <w:rFonts w:asciiTheme="minorHAnsi" w:hAnsiTheme="minorHAnsi"/>
          <w:i/>
          <w:sz w:val="22"/>
          <w:szCs w:val="22"/>
        </w:rPr>
      </w:pPr>
      <w:r w:rsidRPr="00AE15DA">
        <w:rPr>
          <w:rFonts w:asciiTheme="minorHAnsi" w:hAnsiTheme="minorHAnsi"/>
          <w:i/>
          <w:color w:val="000000" w:themeColor="text1"/>
          <w:sz w:val="22"/>
          <w:szCs w:val="22"/>
          <w:rtl w:val="0"/>
          <w:lang w:val="ru"/>
        </w:rPr>
        <w:t>*</w:t>
      </w:r>
      <w:r w:rsidRPr="00AE15DA">
        <w:rPr>
          <w:rFonts w:asciiTheme="minorHAnsi" w:hAnsiTheme="minorHAnsi"/>
          <w:i/>
          <w:sz w:val="22"/>
          <w:szCs w:val="22"/>
          <w:rtl w:val="0"/>
          <w:lang w:val="ru"/>
        </w:rPr>
        <w:t xml:space="preserve"> Пожилым людям, принимающим только антиагрегантные дозы аспирина или клопидогрела, вероятно, нет необходимости применять ИПП, если не присутствует ни один из вышеперечисленных факторов риска. </w:t>
      </w:r>
    </w:p>
    <w:p w:rsidR="00416085" w:rsidRPr="00AE15DA" w:rsidP="0043334F" w14:paraId="0CE16F2D" w14:textId="77777777">
      <w:pPr>
        <w:bidi w:val="0"/>
        <w:contextualSpacing/>
        <w:jc w:val="both"/>
        <w:rPr>
          <w:rFonts w:asciiTheme="minorHAnsi" w:hAnsiTheme="minorHAnsi"/>
          <w:i/>
          <w:color w:val="000000" w:themeColor="text1"/>
          <w:sz w:val="22"/>
          <w:szCs w:val="22"/>
        </w:rPr>
      </w:pPr>
      <w:r w:rsidRPr="00AE15DA">
        <w:rPr>
          <w:rFonts w:asciiTheme="minorHAnsi" w:hAnsiTheme="minorHAnsi"/>
          <w:i/>
          <w:color w:val="000000" w:themeColor="text1"/>
          <w:sz w:val="22"/>
          <w:szCs w:val="22"/>
          <w:rtl w:val="0"/>
          <w:lang w:val="ru"/>
        </w:rPr>
        <w:t>* Есть исследования, показывающие, что эффективность ИПП снижается при использовании вместе с клопидогрелом. Однако четких рекомендаций по этому поводу сделать нельзя.</w:t>
      </w:r>
    </w:p>
    <w:p w:rsidR="00416085" w:rsidRPr="00AE15DA" w:rsidP="0043334F" w14:paraId="3F72C460" w14:textId="77777777">
      <w:pPr>
        <w:bidi w:val="0"/>
        <w:contextualSpacing/>
        <w:jc w:val="both"/>
        <w:rPr>
          <w:rFonts w:asciiTheme="minorHAnsi" w:hAnsiTheme="minorHAnsi"/>
          <w:i/>
          <w:color w:val="000000" w:themeColor="text1"/>
          <w:sz w:val="22"/>
          <w:szCs w:val="22"/>
        </w:rPr>
      </w:pPr>
      <w:r w:rsidRPr="00AE15DA">
        <w:rPr>
          <w:rFonts w:asciiTheme="minorHAnsi" w:hAnsiTheme="minorHAnsi"/>
          <w:i/>
          <w:color w:val="000000" w:themeColor="text1"/>
          <w:sz w:val="22"/>
          <w:szCs w:val="22"/>
          <w:rtl w:val="0"/>
          <w:lang w:val="ru"/>
        </w:rPr>
        <w:t>* Если есть показания к применению ИПП пациентами, принимающими варфарин, следует предпочесть ИПП, отличные от омепразола (омепразол повышает уровень варфарина).</w:t>
      </w:r>
    </w:p>
    <w:p w:rsidR="007933ED" w:rsidRPr="00AE15DA" w:rsidP="0043334F" w14:paraId="30E4651A" w14:textId="77777777">
      <w:pPr>
        <w:bidi w:val="0"/>
        <w:contextualSpacing/>
        <w:jc w:val="both"/>
        <w:rPr>
          <w:rFonts w:asciiTheme="minorHAnsi" w:hAnsiTheme="minorHAnsi"/>
          <w:i/>
          <w:color w:val="000000" w:themeColor="text1"/>
          <w:sz w:val="22"/>
          <w:szCs w:val="22"/>
        </w:rPr>
      </w:pPr>
      <w:r w:rsidRPr="00AE15DA">
        <w:rPr>
          <w:rFonts w:asciiTheme="minorHAnsi" w:hAnsiTheme="minorHAnsi"/>
          <w:i/>
          <w:sz w:val="22"/>
          <w:szCs w:val="22"/>
          <w:rtl w:val="0"/>
          <w:lang w:val="ru"/>
        </w:rPr>
        <w:t>* Мизопростол или блокаторы Н2-рецепторов в высоких дозах также могут быть предпочтительнее лечения ИПП.</w:t>
      </w:r>
    </w:p>
    <w:p w:rsidR="00263917" w:rsidRPr="00AE15DA" w:rsidP="0043334F" w14:paraId="45076233" w14:textId="77777777">
      <w:pPr>
        <w:spacing w:before="100" w:beforeAutospacing="1" w:after="100" w:afterAutospacing="1"/>
        <w:contextualSpacing/>
        <w:jc w:val="both"/>
        <w:rPr>
          <w:rFonts w:asciiTheme="minorHAnsi" w:hAnsiTheme="minorHAnsi" w:cstheme="minorHAnsi"/>
          <w:sz w:val="22"/>
          <w:szCs w:val="22"/>
          <w:lang w:eastAsia="en-GB"/>
        </w:rPr>
      </w:pPr>
    </w:p>
    <w:p w:rsidR="00C846A1" w:rsidRPr="00AE15DA" w:rsidP="0043334F" w14:paraId="55744D21" w14:textId="77777777">
      <w:pPr>
        <w:contextualSpacing/>
        <w:rPr>
          <w:rFonts w:asciiTheme="minorHAnsi" w:hAnsiTheme="minorHAnsi" w:cstheme="minorHAnsi"/>
          <w:sz w:val="22"/>
          <w:szCs w:val="22"/>
          <w:lang w:eastAsia="en-GB"/>
        </w:rPr>
      </w:pPr>
    </w:p>
    <w:p w:rsidR="00C846A1" w:rsidRPr="00AE15DA" w:rsidP="0043334F" w14:paraId="69BFD4DC" w14:textId="77777777">
      <w:pPr>
        <w:contextualSpacing/>
        <w:rPr>
          <w:rFonts w:asciiTheme="minorHAnsi" w:hAnsiTheme="minorHAnsi" w:cstheme="minorHAnsi"/>
          <w:sz w:val="22"/>
          <w:szCs w:val="22"/>
          <w:lang w:eastAsia="en-GB"/>
        </w:rPr>
      </w:pPr>
    </w:p>
    <w:p w:rsidR="007A7469" w:rsidRPr="00AE15DA" w:rsidP="0043334F" w14:paraId="7F55EF02" w14:textId="6863B492">
      <w:pPr>
        <w:bidi w:val="0"/>
        <w:spacing w:before="100" w:beforeAutospacing="1"/>
        <w:contextualSpacing/>
        <w:jc w:val="both"/>
        <w:rPr>
          <w:rFonts w:asciiTheme="minorHAnsi" w:hAnsiTheme="minorHAnsi"/>
          <w:sz w:val="22"/>
          <w:szCs w:val="22"/>
        </w:rPr>
      </w:pPr>
      <w:r>
        <w:rPr>
          <w:rFonts w:ascii="Calibri" w:hAnsi="Calibri" w:cs="Calibri"/>
          <w:b/>
          <w:sz w:val="22"/>
          <w:szCs w:val="22"/>
          <w:rtl w:val="0"/>
          <w:lang w:val="ru"/>
        </w:rPr>
        <w:t>#C3. Нецелесообразно начинать прием аспирина или НПВП при хроническом применении без тестирования на Helicobacter pylori пациентам с (осложненной или неосложненной) язвенной болезнью желудка или двенадцатиперстной кишки в анамнезе.</w:t>
      </w:r>
    </w:p>
    <w:p w:rsidR="007A7469" w:rsidRPr="00AE15DA" w:rsidP="0043334F" w14:paraId="1EBF1FEE" w14:textId="77777777">
      <w:pPr>
        <w:bidi w:val="0"/>
        <w:contextualSpacing/>
        <w:jc w:val="both"/>
        <w:rPr>
          <w:rFonts w:asciiTheme="minorHAnsi" w:hAnsiTheme="minorHAnsi"/>
          <w:i/>
          <w:sz w:val="22"/>
          <w:szCs w:val="22"/>
        </w:rPr>
      </w:pPr>
      <w:r w:rsidRPr="00AE15DA">
        <w:rPr>
          <w:rFonts w:asciiTheme="minorHAnsi" w:hAnsiTheme="minorHAnsi"/>
          <w:i/>
          <w:sz w:val="22"/>
          <w:szCs w:val="22"/>
          <w:rtl w:val="0"/>
          <w:lang w:val="ru"/>
        </w:rPr>
        <w:t xml:space="preserve">* При Helicobacter pylori (+) следует назначить эрадикационную терапию. </w:t>
      </w:r>
    </w:p>
    <w:p w:rsidR="00D16308" w:rsidRPr="00AE15DA" w:rsidP="0043334F" w14:paraId="2538BF36" w14:textId="77777777">
      <w:pPr>
        <w:bidi w:val="0"/>
        <w:contextualSpacing/>
        <w:jc w:val="both"/>
        <w:rPr>
          <w:rFonts w:asciiTheme="minorHAnsi" w:hAnsiTheme="minorHAnsi"/>
          <w:i/>
          <w:color w:val="000000" w:themeColor="text1"/>
          <w:sz w:val="22"/>
          <w:szCs w:val="22"/>
        </w:rPr>
      </w:pPr>
      <w:r w:rsidRPr="00AE15DA">
        <w:rPr>
          <w:rFonts w:asciiTheme="minorHAnsi" w:hAnsiTheme="minorHAnsi"/>
          <w:i/>
          <w:color w:val="000000" w:themeColor="text1"/>
          <w:sz w:val="22"/>
          <w:szCs w:val="22"/>
          <w:rtl w:val="0"/>
          <w:lang w:val="ru"/>
        </w:rPr>
        <w:t>* Если пациент в течение некоторого времени принимал аспирин/НПВП, ожидаемая польза от эрадикационной терапии H. pylori невысока, но эрадикация обычно предпочтительна, если она прошла скрининг и оказалась положительной на практике.</w:t>
      </w:r>
    </w:p>
    <w:p w:rsidR="007A7469" w:rsidRPr="00AE15DA" w:rsidP="0043334F" w14:paraId="0D0C349D" w14:textId="77777777">
      <w:pPr>
        <w:bidi w:val="0"/>
        <w:contextualSpacing/>
        <w:jc w:val="both"/>
        <w:rPr>
          <w:rFonts w:asciiTheme="minorHAnsi" w:hAnsiTheme="minorHAnsi"/>
          <w:i/>
          <w:color w:val="44546A" w:themeColor="text2"/>
          <w:sz w:val="22"/>
          <w:szCs w:val="22"/>
        </w:rPr>
      </w:pPr>
      <w:r w:rsidRPr="00AE15DA">
        <w:rPr>
          <w:rFonts w:asciiTheme="minorHAnsi" w:hAnsiTheme="minorHAnsi"/>
          <w:i/>
          <w:color w:val="000000" w:themeColor="text1"/>
          <w:sz w:val="22"/>
          <w:szCs w:val="22"/>
          <w:rtl w:val="0"/>
          <w:lang w:val="ru"/>
        </w:rPr>
        <w:t>* В группах населения с высокой распространенностью H. pylori перед началом постоянного приема аспирина/НПВП может быть применим подход «пробного лечения» даже в тех случаях, когда в анамнезе не было язвенной болезни.</w:t>
      </w:r>
    </w:p>
    <w:p w:rsidR="00316C80" w:rsidRPr="00AE15DA" w:rsidP="0043334F" w14:paraId="284B3524" w14:textId="77777777">
      <w:pPr>
        <w:bidi w:val="0"/>
        <w:contextualSpacing/>
        <w:jc w:val="both"/>
        <w:rPr>
          <w:rFonts w:asciiTheme="minorHAnsi" w:hAnsiTheme="minorHAnsi"/>
          <w:i/>
          <w:sz w:val="22"/>
          <w:szCs w:val="22"/>
        </w:rPr>
      </w:pPr>
      <w:r w:rsidRPr="00AE15DA">
        <w:rPr>
          <w:rFonts w:asciiTheme="minorHAnsi" w:hAnsiTheme="minorHAnsi"/>
          <w:i/>
          <w:sz w:val="22"/>
          <w:szCs w:val="22"/>
          <w:rtl w:val="0"/>
          <w:lang w:val="ru"/>
        </w:rPr>
        <w:t xml:space="preserve">* Даже если в анамнезе имеется (осложненная или неосложненная) язвенная болезнь желудка или двенадцатиперстной кишки, пациентам которые начнут постояный прием клопидогреля, не рекомендуется проводить тест на H. pylori и/или эрадикационное лечение H. pylori (теоретическое или практическое применение). </w:t>
      </w:r>
    </w:p>
    <w:p w:rsidR="0043334F" w:rsidRPr="00AE15DA" w:rsidP="0043334F" w14:paraId="0DC883D3" w14:textId="77777777">
      <w:pPr>
        <w:contextualSpacing/>
        <w:jc w:val="both"/>
        <w:rPr>
          <w:rFonts w:asciiTheme="minorHAnsi" w:hAnsiTheme="minorHAnsi" w:cstheme="minorHAnsi"/>
          <w:color w:val="000000"/>
          <w:sz w:val="22"/>
          <w:szCs w:val="22"/>
        </w:rPr>
      </w:pPr>
    </w:p>
    <w:p w:rsidR="0043334F" w:rsidRPr="00AE15DA" w:rsidP="0043334F" w14:paraId="6075E3F5" w14:textId="77777777">
      <w:pPr>
        <w:contextualSpacing/>
        <w:jc w:val="both"/>
        <w:rPr>
          <w:rFonts w:asciiTheme="minorHAnsi" w:hAnsiTheme="minorHAnsi" w:cstheme="minorHAnsi"/>
          <w:color w:val="000000"/>
          <w:sz w:val="22"/>
          <w:szCs w:val="22"/>
        </w:rPr>
      </w:pPr>
    </w:p>
    <w:p w:rsidR="006658FF" w:rsidRPr="00AE15DA" w:rsidP="0043334F" w14:paraId="25B71196" w14:textId="77777777">
      <w:pPr>
        <w:bidi w:val="0"/>
        <w:contextualSpacing/>
        <w:jc w:val="both"/>
        <w:rPr>
          <w:rFonts w:asciiTheme="minorHAnsi" w:hAnsiTheme="minorHAnsi" w:cstheme="minorHAnsi"/>
          <w:color w:val="000000"/>
          <w:sz w:val="22"/>
          <w:szCs w:val="22"/>
        </w:rPr>
      </w:pPr>
      <w:r w:rsidRPr="00AE15DA">
        <w:rPr>
          <w:rFonts w:asciiTheme="minorHAnsi" w:hAnsiTheme="minorHAnsi"/>
          <w:b/>
          <w:sz w:val="22"/>
          <w:szCs w:val="22"/>
          <w:rtl w:val="0"/>
          <w:lang w:val="ru"/>
        </w:rPr>
        <w:t xml:space="preserve">C4. Использование ИПП в полной терапевтической </w:t>
      </w:r>
      <w:r w:rsidRPr="00AE15DA">
        <w:rPr>
          <w:rFonts w:asciiTheme="minorHAnsi" w:hAnsiTheme="minorHAnsi"/>
          <w:b/>
          <w:color w:val="000000" w:themeColor="text1"/>
          <w:sz w:val="22"/>
          <w:szCs w:val="22"/>
          <w:rtl w:val="0"/>
          <w:lang w:val="ru"/>
        </w:rPr>
        <w:t>дозе более 8-12 недель</w:t>
      </w:r>
      <w:r w:rsidRPr="00AE15DA">
        <w:rPr>
          <w:rFonts w:asciiTheme="minorHAnsi" w:hAnsiTheme="minorHAnsi"/>
          <w:b/>
          <w:sz w:val="22"/>
          <w:szCs w:val="22"/>
          <w:rtl w:val="0"/>
          <w:lang w:val="ru"/>
        </w:rPr>
        <w:t xml:space="preserve"> нецелесообразно при лечении неосложненной язвенной болезни или эрозивного пептического эзофагита (показано снижение дозы или более короткий перерыв).</w:t>
      </w:r>
    </w:p>
    <w:p w:rsidR="007A7469" w:rsidRPr="00AE15DA" w:rsidP="0043334F" w14:paraId="7B2A6A53" w14:textId="77777777">
      <w:pPr>
        <w:pStyle w:val="NormalWeb"/>
        <w:bidi w:val="0"/>
        <w:spacing w:before="0" w:beforeAutospacing="0" w:after="0" w:afterAutospacing="0"/>
        <w:contextualSpacing/>
        <w:jc w:val="both"/>
        <w:rPr>
          <w:rFonts w:asciiTheme="minorHAnsi" w:hAnsiTheme="minorHAnsi"/>
          <w:i/>
          <w:color w:val="000000"/>
          <w:sz w:val="22"/>
          <w:szCs w:val="22"/>
        </w:rPr>
      </w:pPr>
      <w:r w:rsidRPr="00AE15DA">
        <w:rPr>
          <w:rFonts w:asciiTheme="minorHAnsi" w:hAnsiTheme="minorHAnsi"/>
          <w:i/>
          <w:color w:val="000000"/>
          <w:sz w:val="22"/>
          <w:szCs w:val="22"/>
          <w:rtl w:val="0"/>
          <w:lang w:val="ru"/>
        </w:rPr>
        <w:t>* Период терапевтического дозирования 8-12 недель не включает в себя продолжительность терапии ИПП для эрадикации H. pylori.</w:t>
      </w:r>
    </w:p>
    <w:p w:rsidR="00C846A1" w:rsidRPr="00AE15DA" w:rsidP="0043334F" w14:paraId="253DF341" w14:textId="77777777">
      <w:pPr>
        <w:bidi w:val="0"/>
        <w:spacing w:after="200"/>
        <w:contextualSpacing/>
        <w:jc w:val="both"/>
        <w:rPr>
          <w:rFonts w:asciiTheme="minorHAnsi" w:hAnsiTheme="minorHAnsi"/>
          <w:i/>
          <w:sz w:val="22"/>
          <w:szCs w:val="22"/>
        </w:rPr>
      </w:pPr>
      <w:r w:rsidRPr="00AE15DA">
        <w:rPr>
          <w:rFonts w:asciiTheme="minorHAnsi" w:hAnsiTheme="minorHAnsi"/>
          <w:i/>
          <w:color w:val="000000" w:themeColor="text1"/>
          <w:sz w:val="22"/>
          <w:szCs w:val="22"/>
          <w:rtl w:val="0"/>
          <w:lang w:val="ru"/>
        </w:rPr>
        <w:t>*</w:t>
      </w:r>
      <w:r w:rsidRPr="00AE15DA">
        <w:rPr>
          <w:rFonts w:asciiTheme="minorHAnsi" w:hAnsiTheme="minorHAnsi"/>
          <w:i/>
          <w:sz w:val="22"/>
          <w:szCs w:val="22"/>
          <w:rtl w:val="0"/>
          <w:lang w:val="ru"/>
        </w:rPr>
        <w:t xml:space="preserve"> Чтобы избежать эффекта отскока в период прекращения приема, целесообразно сократить ИЦП путем постепенного сужения. (например, половина дозы в течение 1 недели, через день в течение 1 недели, затем прекращение).</w:t>
      </w:r>
    </w:p>
    <w:p w:rsidR="0043334F" w:rsidRPr="00AE15DA" w:rsidP="0043334F" w14:paraId="1E6FE7E5" w14:textId="77777777">
      <w:pPr>
        <w:pStyle w:val="HTMLPreformatted"/>
        <w:contextualSpacing/>
        <w:jc w:val="both"/>
        <w:rPr>
          <w:rFonts w:asciiTheme="minorHAnsi" w:hAnsiTheme="minorHAnsi" w:cs="Times New Roman"/>
          <w:b/>
          <w:color w:val="000000"/>
          <w:sz w:val="22"/>
          <w:szCs w:val="22"/>
        </w:rPr>
      </w:pPr>
    </w:p>
    <w:p w:rsidR="00441B80" w:rsidRPr="00AE15DA" w:rsidP="0043334F" w14:paraId="461FFF1A" w14:textId="77777777">
      <w:pPr>
        <w:pStyle w:val="HTMLPreformatted"/>
        <w:bidi w:val="0"/>
        <w:contextualSpacing/>
        <w:jc w:val="both"/>
        <w:rPr>
          <w:rFonts w:asciiTheme="minorHAnsi" w:hAnsiTheme="minorHAnsi" w:cs="Times New Roman"/>
          <w:b/>
          <w:color w:val="000000"/>
          <w:sz w:val="22"/>
          <w:szCs w:val="22"/>
        </w:rPr>
      </w:pPr>
      <w:r w:rsidRPr="00AE15DA">
        <w:rPr>
          <w:rFonts w:asciiTheme="minorHAnsi" w:hAnsiTheme="minorHAnsi" w:cs="Times New Roman"/>
          <w:b/>
          <w:color w:val="000000"/>
          <w:sz w:val="22"/>
          <w:szCs w:val="22"/>
          <w:rtl w:val="0"/>
          <w:lang w:val="ru"/>
        </w:rPr>
        <w:t>C5. Использование ИПП нецелесообразно из-за использования нескольких препаратов (не имеет пользы, несет потенциальный вред)</w:t>
      </w:r>
    </w:p>
    <w:p w:rsidR="007A7469" w:rsidRPr="00AE15DA" w:rsidP="0043334F" w14:paraId="548A6A27" w14:textId="77777777">
      <w:pPr>
        <w:pStyle w:val="HTMLPreformatted"/>
        <w:bidi w:val="0"/>
        <w:contextualSpacing/>
        <w:jc w:val="both"/>
        <w:rPr>
          <w:rFonts w:asciiTheme="minorHAnsi" w:hAnsiTheme="minorHAnsi" w:cs="Times New Roman"/>
          <w:i/>
          <w:color w:val="000000"/>
          <w:sz w:val="22"/>
          <w:szCs w:val="22"/>
        </w:rPr>
      </w:pPr>
      <w:r w:rsidRPr="00AE15DA">
        <w:rPr>
          <w:rFonts w:asciiTheme="minorHAnsi" w:hAnsiTheme="minorHAnsi" w:cs="Times New Roman"/>
          <w:color w:val="000000"/>
          <w:sz w:val="22"/>
          <w:szCs w:val="22"/>
          <w:rtl w:val="0"/>
          <w:lang w:val="ru"/>
        </w:rPr>
        <w:t>*</w:t>
      </w:r>
      <w:r w:rsidRPr="00AE15DA">
        <w:rPr>
          <w:rFonts w:asciiTheme="minorHAnsi" w:hAnsiTheme="minorHAnsi" w:cs="Times New Roman"/>
          <w:i/>
          <w:color w:val="000000"/>
          <w:sz w:val="22"/>
          <w:szCs w:val="22"/>
          <w:rtl w:val="0"/>
          <w:lang w:val="ru"/>
        </w:rPr>
        <w:t xml:space="preserve"> Среди показаний к применению ИПП нет указания на «многократное употребление лекарственных средств». С другой стороны, постоянное использование ИПП является фактором риска хронической почечной недостаточности, переломов, повышенного риска деменции, увеличения частоты инфекции C. difficile, дефицита витамина B12, гипомагниемии, кишечных инфекций - избыточного бактериального роста.</w:t>
      </w:r>
    </w:p>
    <w:p w:rsidR="00FF4066" w:rsidRPr="00AE15DA" w:rsidP="0043334F" w14:paraId="5C7B6D1B" w14:textId="77777777">
      <w:pPr>
        <w:spacing w:before="100" w:beforeAutospacing="1" w:after="100" w:afterAutospacing="1"/>
        <w:contextualSpacing/>
        <w:jc w:val="both"/>
        <w:rPr>
          <w:rFonts w:asciiTheme="minorHAnsi" w:hAnsiTheme="minorHAnsi"/>
          <w:b/>
          <w:sz w:val="22"/>
          <w:szCs w:val="22"/>
          <w:shd w:val="clear" w:color="auto" w:fill="FFFFFF"/>
        </w:rPr>
      </w:pPr>
    </w:p>
    <w:p w:rsidR="00A97094" w:rsidRPr="00AE15DA" w:rsidP="0043334F" w14:paraId="0615883E" w14:textId="77777777">
      <w:pPr>
        <w:bidi w:val="0"/>
        <w:spacing w:before="100" w:beforeAutospacing="1" w:after="100" w:afterAutospacing="1"/>
        <w:contextualSpacing/>
        <w:jc w:val="both"/>
        <w:rPr>
          <w:rFonts w:asciiTheme="minorHAnsi" w:hAnsiTheme="minorHAnsi"/>
          <w:b/>
          <w:sz w:val="22"/>
          <w:szCs w:val="22"/>
        </w:rPr>
      </w:pPr>
      <w:r w:rsidRPr="00AE15DA">
        <w:rPr>
          <w:rFonts w:asciiTheme="minorHAnsi" w:hAnsiTheme="minorHAnsi"/>
          <w:b/>
          <w:sz w:val="22"/>
          <w:szCs w:val="22"/>
          <w:shd w:val="clear" w:color="auto" w:fill="FFFFFF"/>
          <w:rtl w:val="0"/>
          <w:lang w:val="ru"/>
        </w:rPr>
        <w:t xml:space="preserve">C6. Использование спазмолитиков (например, гиосциамина) с антихолинергическим действием нецелесообразно </w:t>
      </w:r>
      <w:r w:rsidRPr="00AE15DA" w:rsidR="00441B80">
        <w:rPr>
          <w:rFonts w:ascii="Symbol" w:hAnsi="Symbol"/>
          <w:b/>
          <w:sz w:val="22"/>
          <w:szCs w:val="22"/>
          <w:rtl w:val="0"/>
          <w:lang w:val="ru"/>
        </w:rPr>
        <w:sym w:font="Symbol" w:char="F05B"/>
      </w:r>
      <w:r w:rsidRPr="00AE15DA">
        <w:rPr>
          <w:rFonts w:asciiTheme="minorHAnsi" w:hAnsiTheme="minorHAnsi"/>
          <w:b/>
          <w:sz w:val="22"/>
          <w:szCs w:val="22"/>
          <w:shd w:val="clear" w:color="auto" w:fill="FFFFFF"/>
          <w:rtl w:val="0"/>
          <w:lang w:val="ru"/>
        </w:rPr>
        <w:t>из-за усиления антихолинергических побочных эффектов (головокружение, снижение когнитивных способностей, помутнение зрения, аритмия, вздутие живота-запор) и ограниченного применения у пожилых людей.</w:t>
      </w:r>
      <w:r w:rsidRPr="00AE15DA" w:rsidR="00441B80">
        <w:rPr>
          <w:rFonts w:ascii="Symbol" w:hAnsi="Symbol"/>
          <w:b/>
          <w:sz w:val="22"/>
          <w:szCs w:val="22"/>
          <w:rtl w:val="0"/>
          <w:lang w:val="ru"/>
        </w:rPr>
        <w:sym w:font="Symbol" w:char="F05D"/>
      </w:r>
    </w:p>
    <w:p w:rsidR="00A97094" w:rsidRPr="00AE15DA" w:rsidP="0043334F" w14:paraId="39AC0902" w14:textId="77777777">
      <w:pPr>
        <w:spacing w:before="100" w:beforeAutospacing="1" w:after="100" w:afterAutospacing="1"/>
        <w:contextualSpacing/>
        <w:rPr>
          <w:rFonts w:asciiTheme="minorHAnsi" w:hAnsiTheme="minorHAnsi"/>
          <w:b/>
          <w:sz w:val="22"/>
          <w:szCs w:val="22"/>
        </w:rPr>
      </w:pPr>
    </w:p>
    <w:p w:rsidR="00A97094" w:rsidRPr="00AE15DA" w:rsidP="0043334F" w14:paraId="17E256AA" w14:textId="77777777">
      <w:pPr>
        <w:spacing w:before="100" w:beforeAutospacing="1" w:after="100" w:afterAutospacing="1"/>
        <w:contextualSpacing/>
        <w:rPr>
          <w:rFonts w:asciiTheme="minorHAnsi" w:hAnsiTheme="minorHAnsi"/>
          <w:b/>
          <w:sz w:val="22"/>
          <w:szCs w:val="22"/>
        </w:rPr>
      </w:pPr>
    </w:p>
    <w:p w:rsidR="007B6ECF" w:rsidRPr="00AE15DA" w:rsidP="0043334F" w14:paraId="61236F6E" w14:textId="77777777">
      <w:pPr>
        <w:bidi w:val="0"/>
        <w:spacing w:before="100" w:beforeAutospacing="1" w:after="100" w:afterAutospacing="1"/>
        <w:contextualSpacing/>
        <w:rPr>
          <w:rFonts w:asciiTheme="minorHAnsi" w:hAnsiTheme="minorHAnsi" w:cstheme="minorHAnsi"/>
          <w:color w:val="000000" w:themeColor="text1"/>
          <w:sz w:val="22"/>
          <w:szCs w:val="22"/>
        </w:rPr>
      </w:pPr>
      <w:r w:rsidRPr="00AE15DA">
        <w:rPr>
          <w:rFonts w:asciiTheme="minorHAnsi" w:hAnsiTheme="minorHAnsi"/>
          <w:b/>
          <w:sz w:val="22"/>
          <w:szCs w:val="22"/>
          <w:rtl w:val="0"/>
          <w:lang w:val="ru"/>
        </w:rPr>
        <w:t>C7. У пациентов с хроническим запором использование препаратов, которые могут вызвать запор (препараты с высоким антихолинергическим действием, пероральное железо, опиоиды, верапамил, антациды алюминия) нецелесообразно (риск усиленного запора), если есть альтернативы, не имеющие этого побочного эффекта.</w:t>
      </w:r>
    </w:p>
    <w:p w:rsidR="00A97094" w:rsidRPr="00AE15DA" w:rsidP="0043334F" w14:paraId="2776A73A" w14:textId="77777777">
      <w:pPr>
        <w:bidi w:val="0"/>
        <w:spacing w:after="100" w:afterAutospacing="1"/>
        <w:contextualSpacing/>
        <w:jc w:val="both"/>
        <w:rPr>
          <w:rFonts w:asciiTheme="minorHAnsi" w:hAnsiTheme="minorHAnsi"/>
          <w:i/>
          <w:sz w:val="22"/>
          <w:szCs w:val="22"/>
        </w:rPr>
      </w:pPr>
      <w:r w:rsidRPr="00AE15DA">
        <w:rPr>
          <w:rFonts w:asciiTheme="minorHAnsi" w:hAnsiTheme="minorHAnsi"/>
          <w:i/>
          <w:sz w:val="22"/>
          <w:szCs w:val="22"/>
          <w:rtl w:val="0"/>
          <w:lang w:val="ru"/>
        </w:rPr>
        <w:t>* Антигипертензивные средства, блокирующие кальциевые каналы, за исключением верапамила, также могут вызывать запор. Однако этот эффект более выражен у верапамила и нифедипина.</w:t>
      </w:r>
    </w:p>
    <w:p w:rsidR="0043334F" w:rsidRPr="00AE15DA" w:rsidP="0043334F" w14:paraId="0DFA34DD" w14:textId="77777777">
      <w:pPr>
        <w:spacing w:after="100" w:afterAutospacing="1"/>
        <w:contextualSpacing/>
        <w:jc w:val="both"/>
        <w:rPr>
          <w:rFonts w:asciiTheme="minorHAnsi" w:hAnsiTheme="minorHAnsi" w:cstheme="minorHAnsi"/>
          <w:sz w:val="22"/>
          <w:szCs w:val="22"/>
          <w:lang w:eastAsia="en-GB"/>
        </w:rPr>
      </w:pPr>
    </w:p>
    <w:p w:rsidR="00364C7E" w:rsidRPr="00AE15DA" w:rsidP="0043334F" w14:paraId="352D7D81" w14:textId="77777777">
      <w:pPr>
        <w:spacing w:before="100" w:beforeAutospacing="1" w:after="100" w:afterAutospacing="1"/>
        <w:contextualSpacing/>
        <w:jc w:val="both"/>
        <w:rPr>
          <w:rFonts w:asciiTheme="minorHAnsi" w:hAnsiTheme="minorHAnsi" w:cstheme="minorHAnsi"/>
          <w:color w:val="000000"/>
          <w:sz w:val="22"/>
          <w:szCs w:val="22"/>
        </w:rPr>
      </w:pPr>
    </w:p>
    <w:p w:rsidR="007A7469" w:rsidRPr="00AE15DA" w:rsidP="0043334F" w14:paraId="2D348053" w14:textId="77777777">
      <w:pPr>
        <w:bidi w:val="0"/>
        <w:spacing w:before="100" w:beforeAutospacing="1" w:after="100" w:afterAutospacing="1"/>
        <w:contextualSpacing/>
        <w:jc w:val="both"/>
        <w:rPr>
          <w:rFonts w:asciiTheme="minorHAnsi" w:hAnsiTheme="minorHAnsi" w:cstheme="minorHAnsi"/>
          <w:color w:val="000000"/>
          <w:sz w:val="22"/>
          <w:szCs w:val="22"/>
        </w:rPr>
      </w:pPr>
      <w:r w:rsidRPr="00AE15DA">
        <w:rPr>
          <w:rFonts w:asciiTheme="minorHAnsi" w:hAnsiTheme="minorHAnsi"/>
          <w:b/>
          <w:color w:val="000000"/>
          <w:sz w:val="22"/>
          <w:szCs w:val="22"/>
          <w:rtl w:val="0"/>
          <w:lang w:val="ru"/>
        </w:rPr>
        <w:t>C8. Использование метоклопрамида или триметобензамида в качестве первой линии противорвотного лечения у пожилых людей нецелесообразно (из-за экстрапирамидных побочных эффектов, побочных эффектов беспокойства)</w:t>
      </w:r>
      <w:r w:rsidRPr="00AE15DA">
        <w:rPr>
          <w:rFonts w:asciiTheme="minorHAnsi" w:hAnsiTheme="minorHAnsi"/>
          <w:b/>
          <w:sz w:val="22"/>
          <w:szCs w:val="22"/>
          <w:rtl w:val="0"/>
          <w:lang w:val="ru"/>
        </w:rPr>
        <w:t xml:space="preserve">. </w:t>
      </w:r>
    </w:p>
    <w:p w:rsidR="005E391F" w:rsidRPr="00AE15DA" w:rsidP="0043334F" w14:paraId="522BCE69" w14:textId="77777777">
      <w:pPr>
        <w:shd w:val="clear" w:color="auto" w:fill="FFFFFF"/>
        <w:bidi w:val="0"/>
        <w:contextualSpacing/>
        <w:jc w:val="both"/>
        <w:textAlignment w:val="top"/>
        <w:rPr>
          <w:rFonts w:asciiTheme="minorHAnsi" w:hAnsiTheme="minorHAnsi"/>
          <w:i/>
          <w:sz w:val="22"/>
          <w:szCs w:val="22"/>
          <w:shd w:val="clear" w:color="auto" w:fill="FFFFFF"/>
        </w:rPr>
      </w:pPr>
      <w:r w:rsidRPr="00AE15DA">
        <w:rPr>
          <w:rFonts w:asciiTheme="minorHAnsi" w:hAnsiTheme="minorHAnsi"/>
          <w:i/>
          <w:sz w:val="22"/>
          <w:szCs w:val="22"/>
          <w:rtl w:val="0"/>
          <w:lang w:val="ru"/>
        </w:rPr>
        <w:t xml:space="preserve">* Антагонисты серотониновых рецепторов 5HT3 в качестве противорвотных средств являются наиболее безопасными препаратами для пожилых людей. </w:t>
      </w:r>
    </w:p>
    <w:p w:rsidR="00316C80" w:rsidRPr="00AE15DA" w:rsidP="0043334F" w14:paraId="759A7F50" w14:textId="77777777">
      <w:pPr>
        <w:shd w:val="clear" w:color="auto" w:fill="FFFFFF"/>
        <w:bidi w:val="0"/>
        <w:contextualSpacing/>
        <w:jc w:val="both"/>
        <w:textAlignment w:val="top"/>
        <w:rPr>
          <w:rFonts w:asciiTheme="minorHAnsi" w:hAnsiTheme="minorHAnsi"/>
          <w:i/>
          <w:sz w:val="22"/>
          <w:szCs w:val="22"/>
        </w:rPr>
      </w:pPr>
      <w:r w:rsidRPr="00AE15DA">
        <w:rPr>
          <w:rFonts w:asciiTheme="minorHAnsi" w:hAnsiTheme="minorHAnsi"/>
          <w:i/>
          <w:sz w:val="22"/>
          <w:szCs w:val="22"/>
          <w:rtl w:val="0"/>
          <w:lang w:val="ru"/>
        </w:rPr>
        <w:t>* Метоклопрамид и триметобензамид противопоказаны пациентам с паркинсонизмом.</w:t>
      </w:r>
    </w:p>
    <w:p w:rsidR="00567CAF" w:rsidRPr="00AE15DA" w:rsidP="0043334F" w14:paraId="431312DA" w14:textId="77777777">
      <w:pPr>
        <w:shd w:val="clear" w:color="auto" w:fill="FFFFFF"/>
        <w:contextualSpacing/>
        <w:jc w:val="both"/>
        <w:textAlignment w:val="top"/>
        <w:rPr>
          <w:rFonts w:asciiTheme="minorHAnsi" w:hAnsiTheme="minorHAnsi"/>
          <w:i/>
          <w:sz w:val="22"/>
          <w:szCs w:val="22"/>
        </w:rPr>
      </w:pPr>
    </w:p>
    <w:p w:rsidR="001D5654" w:rsidRPr="00AE15DA" w:rsidP="0043334F" w14:paraId="4B83C59E" w14:textId="77777777">
      <w:pPr>
        <w:spacing w:before="100" w:beforeAutospacing="1" w:after="100" w:afterAutospacing="1"/>
        <w:contextualSpacing/>
        <w:jc w:val="both"/>
        <w:rPr>
          <w:rFonts w:asciiTheme="minorHAnsi" w:hAnsiTheme="minorHAnsi"/>
          <w:b/>
          <w:color w:val="000000"/>
          <w:sz w:val="22"/>
          <w:szCs w:val="22"/>
        </w:rPr>
      </w:pPr>
    </w:p>
    <w:p w:rsidR="00642443" w:rsidRPr="00AE15DA" w:rsidP="0043334F" w14:paraId="19412B46" w14:textId="77777777">
      <w:pPr>
        <w:spacing w:before="100" w:beforeAutospacing="1" w:after="100" w:afterAutospacing="1"/>
        <w:contextualSpacing/>
        <w:jc w:val="both"/>
        <w:rPr>
          <w:rFonts w:asciiTheme="minorHAnsi" w:hAnsiTheme="minorHAnsi"/>
          <w:b/>
          <w:color w:val="000000"/>
          <w:sz w:val="22"/>
          <w:szCs w:val="22"/>
        </w:rPr>
      </w:pPr>
    </w:p>
    <w:p w:rsidR="007A7469" w:rsidRPr="00AE15DA" w:rsidP="0043334F" w14:paraId="7425CCFB" w14:textId="77777777">
      <w:pPr>
        <w:bidi w:val="0"/>
        <w:spacing w:before="100" w:beforeAutospacing="1" w:after="100" w:afterAutospacing="1"/>
        <w:contextualSpacing/>
        <w:jc w:val="both"/>
        <w:rPr>
          <w:rFonts w:asciiTheme="minorHAnsi" w:hAnsiTheme="minorHAnsi"/>
          <w:b/>
          <w:color w:val="000000"/>
          <w:sz w:val="22"/>
          <w:szCs w:val="22"/>
        </w:rPr>
      </w:pPr>
      <w:r w:rsidRPr="00AE15DA">
        <w:rPr>
          <w:rFonts w:asciiTheme="minorHAnsi" w:hAnsiTheme="minorHAnsi"/>
          <w:b/>
          <w:color w:val="000000"/>
          <w:sz w:val="22"/>
          <w:szCs w:val="22"/>
          <w:rtl w:val="0"/>
          <w:lang w:val="ru"/>
        </w:rPr>
        <w:t xml:space="preserve">C9. Использование препаратов магния в качестве слабительных или антацидов нецелесообразно у пациентов с СКФ &lt;30 мл/мин/1,73 м2 (риск гипермагниемии). </w:t>
      </w:r>
    </w:p>
    <w:p w:rsidR="00316725" w:rsidRPr="00AE15DA" w:rsidP="0043334F" w14:paraId="05D40360" w14:textId="77777777">
      <w:pPr>
        <w:spacing w:before="100" w:beforeAutospacing="1" w:after="100" w:afterAutospacing="1"/>
        <w:contextualSpacing/>
        <w:jc w:val="both"/>
        <w:rPr>
          <w:rFonts w:asciiTheme="minorHAnsi" w:hAnsiTheme="minorHAnsi"/>
          <w:color w:val="000000" w:themeColor="text1"/>
          <w:sz w:val="22"/>
          <w:szCs w:val="22"/>
          <w:vertAlign w:val="superscript"/>
        </w:rPr>
      </w:pPr>
      <w:r w:rsidRPr="00AE15DA">
        <w:rPr>
          <w:rFonts w:asciiTheme="minorHAnsi" w:hAnsiTheme="minorHAnsi"/>
          <w:color w:val="000000" w:themeColor="text1"/>
          <w:sz w:val="22"/>
          <w:szCs w:val="22"/>
          <w:vertAlign w:val="superscript"/>
        </w:rPr>
        <w:t xml:space="preserve"> </w:t>
      </w:r>
    </w:p>
    <w:p w:rsidR="00642443" w:rsidRPr="00AE15DA" w:rsidP="0043334F" w14:paraId="31921F57" w14:textId="77777777">
      <w:pPr>
        <w:spacing w:before="100" w:beforeAutospacing="1" w:after="100" w:afterAutospacing="1"/>
        <w:contextualSpacing/>
        <w:jc w:val="both"/>
        <w:rPr>
          <w:rFonts w:asciiTheme="minorHAnsi" w:eastAsiaTheme="majorEastAsia" w:hAnsiTheme="minorHAnsi" w:cstheme="minorHAnsi"/>
          <w:i/>
          <w:color w:val="000000"/>
          <w:sz w:val="22"/>
          <w:szCs w:val="22"/>
        </w:rPr>
      </w:pPr>
    </w:p>
    <w:p w:rsidR="004816D3" w:rsidRPr="00AE15DA" w:rsidP="0043334F" w14:paraId="4DC92B0C" w14:textId="77777777">
      <w:pPr>
        <w:bidi w:val="0"/>
        <w:contextualSpacing/>
        <w:jc w:val="both"/>
        <w:rPr>
          <w:rFonts w:asciiTheme="minorHAnsi" w:hAnsiTheme="minorHAnsi"/>
          <w:b/>
          <w:sz w:val="28"/>
          <w:szCs w:val="28"/>
        </w:rPr>
      </w:pPr>
      <w:r w:rsidRPr="00AE15DA">
        <w:rPr>
          <w:rFonts w:asciiTheme="minorHAnsi" w:hAnsiTheme="minorHAnsi"/>
          <w:b/>
          <w:sz w:val="28"/>
          <w:szCs w:val="28"/>
          <w:rtl w:val="0"/>
          <w:lang w:val="ru"/>
        </w:rPr>
        <w:t>D: Критерии дыхательной системы.</w:t>
      </w:r>
    </w:p>
    <w:p w:rsidR="00A97094" w:rsidRPr="00AE15DA" w:rsidP="0043334F" w14:paraId="170BE77F" w14:textId="77777777">
      <w:pPr>
        <w:spacing w:before="100" w:beforeAutospacing="1" w:after="100" w:afterAutospacing="1"/>
        <w:contextualSpacing/>
        <w:jc w:val="both"/>
        <w:rPr>
          <w:rFonts w:asciiTheme="minorHAnsi" w:hAnsiTheme="minorHAnsi"/>
          <w:b/>
          <w:sz w:val="22"/>
          <w:szCs w:val="22"/>
        </w:rPr>
      </w:pPr>
    </w:p>
    <w:p w:rsidR="00112690" w:rsidRPr="00AE15DA" w:rsidP="0043334F" w14:paraId="3EBCBB85" w14:textId="77777777">
      <w:pPr>
        <w:bidi w:val="0"/>
        <w:spacing w:before="100" w:beforeAutospacing="1" w:after="100" w:afterAutospacing="1"/>
        <w:contextualSpacing/>
        <w:jc w:val="both"/>
        <w:rPr>
          <w:rFonts w:asciiTheme="minorHAnsi" w:hAnsiTheme="minorHAnsi"/>
          <w:b/>
          <w:sz w:val="22"/>
          <w:szCs w:val="22"/>
        </w:rPr>
      </w:pPr>
      <w:r w:rsidRPr="00AE15DA">
        <w:rPr>
          <w:rFonts w:asciiTheme="minorHAnsi" w:hAnsiTheme="minorHAnsi"/>
          <w:b/>
          <w:sz w:val="22"/>
          <w:szCs w:val="22"/>
          <w:rtl w:val="0"/>
          <w:lang w:val="ru"/>
        </w:rPr>
        <w:t xml:space="preserve">D1. Применение антимускариновых бронходилататоров (ипратропиум, тиотропий) не рекомендуется пациентам с узкоугольной глаукомой или обструкцией оттока мочи (риск обострения глаукомы и задержки мочи). </w:t>
      </w:r>
    </w:p>
    <w:p w:rsidR="00B46CF1" w:rsidRPr="00AE15DA" w:rsidP="0043334F" w14:paraId="6972A29F" w14:textId="77777777">
      <w:pPr>
        <w:bidi w:val="0"/>
        <w:spacing w:before="100" w:beforeAutospacing="1" w:after="100" w:afterAutospacing="1"/>
        <w:contextualSpacing/>
        <w:jc w:val="both"/>
        <w:rPr>
          <w:rFonts w:asciiTheme="minorHAnsi" w:hAnsiTheme="minorHAnsi"/>
          <w:bCs/>
          <w:i/>
          <w:color w:val="000000" w:themeColor="text1"/>
          <w:sz w:val="22"/>
          <w:szCs w:val="22"/>
        </w:rPr>
      </w:pPr>
      <w:r w:rsidRPr="00AE15DA">
        <w:rPr>
          <w:rFonts w:asciiTheme="minorHAnsi" w:hAnsiTheme="minorHAnsi"/>
          <w:bCs/>
          <w:i/>
          <w:color w:val="000000" w:themeColor="text1"/>
          <w:sz w:val="22"/>
          <w:szCs w:val="22"/>
          <w:rtl w:val="0"/>
          <w:lang w:val="ru"/>
        </w:rPr>
        <w:t xml:space="preserve">* Симптомы обструктивных СНМП (симптомы нижних мочевыводящих путей), сопровождающие доброкачественную гиперплазию простаты, часто встречаются у пожилых мужчин. В случаях с легкими обструктивными симптомами врач может использовать </w:t>
      </w:r>
      <w:r w:rsidRPr="00AE15DA">
        <w:rPr>
          <w:rFonts w:asciiTheme="minorHAnsi" w:hAnsiTheme="minorHAnsi"/>
          <w:bCs/>
          <w:i/>
          <w:sz w:val="22"/>
          <w:szCs w:val="22"/>
          <w:rtl w:val="0"/>
          <w:lang w:val="ru"/>
        </w:rPr>
        <w:t>антимускариновые бронходилататоры</w:t>
      </w:r>
      <w:r w:rsidRPr="00AE15DA">
        <w:rPr>
          <w:rFonts w:asciiTheme="minorHAnsi" w:hAnsiTheme="minorHAnsi"/>
          <w:bCs/>
          <w:i/>
          <w:color w:val="000000" w:themeColor="text1"/>
          <w:sz w:val="22"/>
          <w:szCs w:val="22"/>
          <w:rtl w:val="0"/>
          <w:lang w:val="ru"/>
        </w:rPr>
        <w:t xml:space="preserve"> под тщательным клиническим наблюдением. Что касается побочных эффектов задержки мочи, случаи с PMR&gt; 150 мл особенно опасны. (Не подходит для случаев с объемом&gt; 150 мл)</w:t>
      </w:r>
    </w:p>
    <w:p w:rsidR="00642443" w:rsidRPr="00AE15DA" w:rsidP="0043334F" w14:paraId="6DD5AEA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lang w:eastAsia="en-GB"/>
        </w:rPr>
      </w:pPr>
    </w:p>
    <w:p w:rsidR="00A97094" w:rsidRPr="00AE15DA" w:rsidP="0043334F" w14:paraId="5AA263E7" w14:textId="77777777">
      <w:pPr>
        <w:contextualSpacing/>
        <w:rPr>
          <w:rFonts w:asciiTheme="minorHAnsi" w:hAnsiTheme="minorHAnsi" w:cstheme="minorHAnsi"/>
          <w:sz w:val="22"/>
          <w:szCs w:val="22"/>
        </w:rPr>
      </w:pPr>
    </w:p>
    <w:p w:rsidR="00112690" w:rsidRPr="00AE15DA" w:rsidP="0043334F" w14:paraId="22DF858A" w14:textId="77777777">
      <w:pPr>
        <w:bidi w:val="0"/>
        <w:contextualSpacing/>
        <w:rPr>
          <w:rFonts w:asciiTheme="minorHAnsi" w:hAnsiTheme="minorHAnsi" w:cstheme="minorHAnsi"/>
          <w:sz w:val="22"/>
          <w:szCs w:val="22"/>
        </w:rPr>
      </w:pPr>
      <w:r w:rsidRPr="00AE15DA">
        <w:rPr>
          <w:rFonts w:asciiTheme="minorHAnsi" w:hAnsiTheme="minorHAnsi"/>
          <w:b/>
          <w:color w:val="000000"/>
          <w:sz w:val="22"/>
          <w:szCs w:val="22"/>
          <w:rtl w:val="0"/>
          <w:lang w:val="ru"/>
        </w:rPr>
        <w:t xml:space="preserve">D2. Теофиллин не подходит для поддерживающего лечения ХОБЛ или бронхиаленовой астмы (из-за узкого терапевтического индекса и высокого риска бессонницы, аритмии у пожилых людей). </w:t>
      </w:r>
    </w:p>
    <w:p w:rsidR="00FA22B8" w:rsidRPr="00AE15DA" w:rsidP="0043334F" w14:paraId="45B05150" w14:textId="77777777">
      <w:pPr>
        <w:pStyle w:val="HTMLPreformatted"/>
        <w:contextualSpacing/>
        <w:jc w:val="both"/>
        <w:rPr>
          <w:rFonts w:asciiTheme="minorHAnsi" w:hAnsiTheme="minorHAnsi" w:cstheme="minorHAnsi"/>
          <w:color w:val="000000"/>
          <w:sz w:val="22"/>
          <w:szCs w:val="22"/>
        </w:rPr>
      </w:pPr>
    </w:p>
    <w:p w:rsidR="007B4B4E" w:rsidRPr="00AE15DA" w:rsidP="0043334F" w14:paraId="182C41F5" w14:textId="77777777">
      <w:pPr>
        <w:pStyle w:val="HTMLPreformatted"/>
        <w:contextualSpacing/>
        <w:jc w:val="both"/>
        <w:rPr>
          <w:rFonts w:asciiTheme="minorHAnsi" w:hAnsiTheme="minorHAnsi" w:cstheme="minorHAnsi"/>
          <w:color w:val="000000"/>
          <w:sz w:val="22"/>
          <w:szCs w:val="22"/>
        </w:rPr>
      </w:pPr>
    </w:p>
    <w:p w:rsidR="00112690" w:rsidRPr="00AE15DA" w:rsidP="0043334F" w14:paraId="74EB09F3" w14:textId="77777777">
      <w:pPr>
        <w:bidi w:val="0"/>
        <w:contextualSpacing/>
        <w:jc w:val="both"/>
        <w:rPr>
          <w:rFonts w:asciiTheme="minorHAnsi" w:hAnsiTheme="minorHAnsi"/>
          <w:b/>
          <w:sz w:val="22"/>
          <w:szCs w:val="22"/>
        </w:rPr>
      </w:pPr>
      <w:r w:rsidRPr="00AE15DA">
        <w:rPr>
          <w:rFonts w:asciiTheme="minorHAnsi" w:hAnsiTheme="minorHAnsi"/>
          <w:b/>
          <w:sz w:val="22"/>
          <w:szCs w:val="22"/>
          <w:rtl w:val="0"/>
          <w:lang w:val="ru"/>
        </w:rPr>
        <w:t>D3. Использование системных кортикостероидов вместо ингаляционных кортикостероидов не подходит для поддерживающей терапии при умеренно тяжелой ХОБЛ (длительное ненужное воздействие системных кортикостероидов, доступны эффективные ингаляционные методы лечения).</w:t>
      </w:r>
    </w:p>
    <w:p w:rsidR="00642443" w:rsidRPr="00AE15DA" w:rsidP="0043334F" w14:paraId="77E9A716" w14:textId="77777777">
      <w:pPr>
        <w:pStyle w:val="HTMLPreformatted"/>
        <w:contextualSpacing/>
        <w:rPr>
          <w:rFonts w:asciiTheme="minorHAnsi" w:hAnsiTheme="minorHAnsi" w:cstheme="minorHAnsi"/>
          <w:sz w:val="22"/>
          <w:szCs w:val="22"/>
          <w:lang w:eastAsia="en-GB"/>
        </w:rPr>
      </w:pPr>
    </w:p>
    <w:p w:rsidR="00364C7E" w:rsidRPr="00AE15DA" w:rsidP="0043334F" w14:paraId="6513243B" w14:textId="77777777">
      <w:pPr>
        <w:contextualSpacing/>
        <w:jc w:val="both"/>
        <w:rPr>
          <w:rFonts w:asciiTheme="minorHAnsi" w:hAnsiTheme="minorHAnsi"/>
          <w:b/>
          <w:i/>
          <w:color w:val="4472C4" w:themeColor="accent5"/>
          <w:sz w:val="22"/>
          <w:szCs w:val="22"/>
          <w:u w:val="single"/>
        </w:rPr>
      </w:pPr>
    </w:p>
    <w:p w:rsidR="004816D3" w:rsidRPr="00AE15DA" w:rsidP="0043334F" w14:paraId="2A61E32C" w14:textId="77777777">
      <w:pPr>
        <w:bidi w:val="0"/>
        <w:contextualSpacing/>
        <w:jc w:val="both"/>
        <w:rPr>
          <w:rFonts w:asciiTheme="minorHAnsi" w:hAnsiTheme="minorHAnsi"/>
          <w:b/>
          <w:sz w:val="28"/>
          <w:szCs w:val="28"/>
        </w:rPr>
      </w:pPr>
      <w:r w:rsidRPr="00AE15DA">
        <w:rPr>
          <w:rFonts w:asciiTheme="minorHAnsi" w:hAnsiTheme="minorHAnsi"/>
          <w:b/>
          <w:sz w:val="28"/>
          <w:szCs w:val="28"/>
          <w:rtl w:val="0"/>
          <w:lang w:val="ru"/>
        </w:rPr>
        <w:t>E: Критерии костно-мышечной системы и обезболивающие препараты.</w:t>
      </w:r>
    </w:p>
    <w:p w:rsidR="00A97094" w:rsidRPr="00AE15DA" w:rsidP="0043334F" w14:paraId="10D7C6E0" w14:textId="77777777">
      <w:pPr>
        <w:contextualSpacing/>
        <w:jc w:val="both"/>
        <w:rPr>
          <w:rFonts w:asciiTheme="minorHAnsi" w:hAnsiTheme="minorHAnsi"/>
          <w:b/>
          <w:sz w:val="28"/>
          <w:szCs w:val="28"/>
        </w:rPr>
      </w:pPr>
    </w:p>
    <w:p w:rsidR="004816D3" w:rsidRPr="00AE15DA" w:rsidP="0043334F" w14:paraId="40F53313" w14:textId="77777777">
      <w:pPr>
        <w:bidi w:val="0"/>
        <w:spacing w:before="100" w:beforeAutospacing="1"/>
        <w:contextualSpacing/>
        <w:jc w:val="both"/>
        <w:rPr>
          <w:rFonts w:asciiTheme="minorHAnsi" w:hAnsiTheme="minorHAnsi"/>
          <w:b/>
          <w:sz w:val="22"/>
          <w:szCs w:val="22"/>
        </w:rPr>
      </w:pPr>
      <w:r w:rsidRPr="00AE15DA">
        <w:rPr>
          <w:rFonts w:asciiTheme="minorHAnsi" w:hAnsiTheme="minorHAnsi"/>
          <w:b/>
          <w:sz w:val="22"/>
          <w:szCs w:val="22"/>
          <w:rtl w:val="0"/>
          <w:lang w:val="ru"/>
        </w:rPr>
        <w:t xml:space="preserve">E1. Нецелесообразно использовать НПВП дольше 3 месяцев при наличии альтернативного лечения. </w:t>
      </w:r>
    </w:p>
    <w:p w:rsidR="00994461" w:rsidRPr="00AE15DA" w:rsidP="0043334F" w14:paraId="19B5467B" w14:textId="77777777">
      <w:pPr>
        <w:bidi w:val="0"/>
        <w:contextualSpacing/>
        <w:jc w:val="both"/>
        <w:rPr>
          <w:rFonts w:asciiTheme="minorHAnsi" w:hAnsiTheme="minorHAnsi"/>
          <w:i/>
          <w:sz w:val="22"/>
          <w:szCs w:val="22"/>
        </w:rPr>
      </w:pPr>
      <w:r w:rsidRPr="00AE15DA">
        <w:rPr>
          <w:rFonts w:asciiTheme="minorHAnsi" w:hAnsiTheme="minorHAnsi"/>
          <w:sz w:val="22"/>
          <w:szCs w:val="22"/>
          <w:rtl w:val="0"/>
          <w:lang w:val="ru"/>
        </w:rPr>
        <w:t>*</w:t>
      </w:r>
      <w:r w:rsidRPr="00AE15DA">
        <w:rPr>
          <w:rFonts w:asciiTheme="minorHAnsi" w:hAnsiTheme="minorHAnsi"/>
          <w:i/>
          <w:sz w:val="22"/>
          <w:szCs w:val="22"/>
          <w:rtl w:val="0"/>
          <w:lang w:val="ru"/>
        </w:rPr>
        <w:t xml:space="preserve"> При остеоартрите и простой боли (опорно-двигательный аппарат, головная боль и т. д.) сначала следует применять лечение парацетамолом (можно рассмотреть комбинацию лечения парацетамолом с метамизолом, низкими дозами кодеина/трамадола).</w:t>
      </w:r>
    </w:p>
    <w:p w:rsidR="004D50E2" w:rsidRPr="00AE15DA" w:rsidP="0043334F" w14:paraId="5A5DA9B5" w14:textId="77777777">
      <w:pPr>
        <w:bidi w:val="0"/>
        <w:contextualSpacing/>
        <w:jc w:val="both"/>
        <w:rPr>
          <w:rFonts w:asciiTheme="minorHAnsi" w:hAnsiTheme="minorHAnsi"/>
          <w:sz w:val="22"/>
          <w:szCs w:val="22"/>
        </w:rPr>
      </w:pPr>
      <w:r w:rsidRPr="00AE15DA">
        <w:rPr>
          <w:rFonts w:asciiTheme="minorHAnsi" w:hAnsiTheme="minorHAnsi"/>
          <w:i/>
          <w:sz w:val="22"/>
          <w:szCs w:val="22"/>
          <w:rtl w:val="0"/>
          <w:lang w:val="ru"/>
        </w:rPr>
        <w:t>* Пациенты, принимающие НПВП, должны тщательно контролироваться с точки зрения побочных эффектов (нефропатия, АГ, сердечная недостаточность, сердечно-сосудистые события).</w:t>
      </w:r>
    </w:p>
    <w:p w:rsidR="00AE67BB" w:rsidRPr="00AE15DA" w:rsidP="0043334F" w14:paraId="56447A77" w14:textId="77777777">
      <w:pPr>
        <w:bidi w:val="0"/>
        <w:contextualSpacing/>
        <w:jc w:val="both"/>
        <w:rPr>
          <w:rFonts w:asciiTheme="minorHAnsi" w:hAnsiTheme="minorHAnsi"/>
          <w:i/>
          <w:sz w:val="22"/>
          <w:szCs w:val="22"/>
        </w:rPr>
      </w:pPr>
      <w:r w:rsidRPr="00AE15DA">
        <w:rPr>
          <w:rFonts w:asciiTheme="minorHAnsi" w:hAnsiTheme="minorHAnsi"/>
          <w:sz w:val="22"/>
          <w:szCs w:val="22"/>
          <w:rtl w:val="0"/>
          <w:lang w:val="ru"/>
        </w:rPr>
        <w:t>*</w:t>
      </w:r>
      <w:r w:rsidRPr="00AE15DA">
        <w:rPr>
          <w:rFonts w:asciiTheme="minorHAnsi" w:hAnsiTheme="minorHAnsi"/>
          <w:i/>
          <w:sz w:val="22"/>
          <w:szCs w:val="22"/>
          <w:rtl w:val="0"/>
          <w:lang w:val="ru"/>
        </w:rPr>
        <w:t xml:space="preserve"> В случае использования НПВП индометацину не следует отдавать предпочтение (больше побочных эффектов со стороны ЦНС и других систем у пожилых людей по сравнению с другими НПВП).</w:t>
      </w:r>
    </w:p>
    <w:p w:rsidR="002544BF" w:rsidRPr="00AE15DA" w:rsidP="0043334F" w14:paraId="1C1B0EC9" w14:textId="77777777">
      <w:pPr>
        <w:bidi w:val="0"/>
        <w:contextualSpacing/>
        <w:jc w:val="both"/>
        <w:rPr>
          <w:rFonts w:asciiTheme="minorHAnsi" w:hAnsiTheme="minorHAnsi"/>
          <w:i/>
          <w:sz w:val="22"/>
          <w:szCs w:val="22"/>
        </w:rPr>
      </w:pPr>
      <w:r w:rsidRPr="00AE15DA">
        <w:rPr>
          <w:rFonts w:asciiTheme="minorHAnsi" w:hAnsiTheme="minorHAnsi"/>
          <w:i/>
          <w:sz w:val="22"/>
          <w:szCs w:val="22"/>
          <w:rtl w:val="0"/>
          <w:lang w:val="ru"/>
        </w:rPr>
        <w:t xml:space="preserve">* В случаях, когда требуется хроническое применение НПВП, в дополнение к ним следует использовать ИПП/мизопростол. </w:t>
      </w:r>
    </w:p>
    <w:p w:rsidR="004D50E2" w:rsidRPr="00AE15DA" w:rsidP="0043334F" w14:paraId="5512E98B" w14:textId="77777777">
      <w:pPr>
        <w:contextualSpacing/>
        <w:jc w:val="both"/>
        <w:rPr>
          <w:rFonts w:asciiTheme="minorHAnsi" w:hAnsiTheme="minorHAnsi"/>
          <w:i/>
          <w:sz w:val="22"/>
          <w:szCs w:val="22"/>
        </w:rPr>
      </w:pPr>
    </w:p>
    <w:p w:rsidR="00B40EEF" w:rsidRPr="00AE15DA" w:rsidP="0043334F" w14:paraId="10B06ED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p>
    <w:p w:rsidR="004816D3" w:rsidRPr="00AE15DA" w:rsidP="0043334F" w14:paraId="6D55B576" w14:textId="77777777">
      <w:pPr>
        <w:bidi w:val="0"/>
        <w:spacing w:before="100" w:beforeAutospacing="1" w:after="100" w:afterAutospacing="1"/>
        <w:contextualSpacing/>
        <w:jc w:val="both"/>
        <w:rPr>
          <w:rFonts w:asciiTheme="minorHAnsi" w:hAnsiTheme="minorHAnsi"/>
          <w:b/>
          <w:sz w:val="22"/>
          <w:szCs w:val="22"/>
        </w:rPr>
      </w:pPr>
      <w:r w:rsidRPr="00AE15DA">
        <w:rPr>
          <w:rFonts w:asciiTheme="minorHAnsi" w:hAnsiTheme="minorHAnsi"/>
          <w:b/>
          <w:sz w:val="22"/>
          <w:szCs w:val="22"/>
          <w:rtl w:val="0"/>
          <w:lang w:val="ru"/>
        </w:rPr>
        <w:t xml:space="preserve">E2. НПВП не подходят для пациентов с СКФ &lt;50 мл/мин/1,73 м2 (риск ухудшения функции почек). </w:t>
      </w:r>
    </w:p>
    <w:p w:rsidR="0050241C" w:rsidRPr="00AE15DA" w:rsidP="0043334F" w14:paraId="0C1F715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lang w:eastAsia="en-GB"/>
        </w:rPr>
      </w:pPr>
    </w:p>
    <w:p w:rsidR="00642443" w:rsidRPr="00AE15DA" w:rsidP="0043334F" w14:paraId="39CA5F14" w14:textId="77777777">
      <w:pPr>
        <w:spacing w:before="100" w:beforeAutospacing="1" w:after="100" w:afterAutospacing="1"/>
        <w:contextualSpacing/>
        <w:jc w:val="both"/>
        <w:rPr>
          <w:rFonts w:asciiTheme="minorHAnsi" w:hAnsiTheme="minorHAnsi"/>
          <w:b/>
          <w:sz w:val="22"/>
          <w:szCs w:val="22"/>
        </w:rPr>
      </w:pPr>
    </w:p>
    <w:p w:rsidR="00642443" w:rsidRPr="00AE15DA" w:rsidP="0043334F" w14:paraId="23AE5CA2" w14:textId="77777777">
      <w:pPr>
        <w:bidi w:val="0"/>
        <w:spacing w:before="100" w:beforeAutospacing="1" w:after="100" w:afterAutospacing="1"/>
        <w:contextualSpacing/>
        <w:jc w:val="both"/>
        <w:rPr>
          <w:rFonts w:asciiTheme="minorHAnsi" w:hAnsiTheme="minorHAnsi"/>
          <w:b/>
          <w:sz w:val="22"/>
          <w:szCs w:val="22"/>
        </w:rPr>
      </w:pPr>
      <w:r w:rsidRPr="00AE15DA">
        <w:rPr>
          <w:rFonts w:asciiTheme="minorHAnsi" w:hAnsiTheme="minorHAnsi"/>
          <w:b/>
          <w:sz w:val="22"/>
          <w:szCs w:val="22"/>
          <w:rtl w:val="0"/>
          <w:lang w:val="ru"/>
        </w:rPr>
        <w:t xml:space="preserve">E3. Системное использование стероидов не подходит для лечения остеоартрита (риск побочных эффектов при применении системных кортикостероидов). </w:t>
      </w:r>
    </w:p>
    <w:p w:rsidR="00642443" w:rsidRPr="00AE15DA" w:rsidP="0043334F" w14:paraId="0E4837F8" w14:textId="77777777">
      <w:pPr>
        <w:spacing w:before="100" w:beforeAutospacing="1" w:after="100" w:afterAutospacing="1"/>
        <w:contextualSpacing/>
        <w:jc w:val="both"/>
        <w:rPr>
          <w:rFonts w:asciiTheme="minorHAnsi" w:hAnsiTheme="minorHAnsi"/>
          <w:b/>
          <w:sz w:val="22"/>
          <w:szCs w:val="22"/>
        </w:rPr>
      </w:pPr>
    </w:p>
    <w:p w:rsidR="0036490F" w:rsidRPr="00AE15DA" w:rsidP="0043334F" w14:paraId="0397CB16" w14:textId="77777777">
      <w:pPr>
        <w:bidi w:val="0"/>
        <w:spacing w:before="100" w:beforeAutospacing="1"/>
        <w:contextualSpacing/>
        <w:jc w:val="both"/>
        <w:rPr>
          <w:rFonts w:asciiTheme="minorHAnsi" w:hAnsiTheme="minorHAnsi"/>
          <w:b/>
          <w:sz w:val="22"/>
          <w:szCs w:val="22"/>
        </w:rPr>
      </w:pPr>
      <w:r w:rsidRPr="00AE15DA">
        <w:rPr>
          <w:rFonts w:asciiTheme="minorHAnsi" w:hAnsiTheme="minorHAnsi"/>
          <w:b/>
          <w:sz w:val="22"/>
          <w:szCs w:val="22"/>
          <w:rtl w:val="0"/>
          <w:lang w:val="ru"/>
        </w:rPr>
        <w:t xml:space="preserve">E4. Использование монотерапии кортикостероидами более 3 месяцев при ревматоидном артрите нецелесообразно (риск побочных эффектов при применении системных кортикостероидов). </w:t>
      </w:r>
    </w:p>
    <w:p w:rsidR="0036490F" w:rsidRPr="00AE15DA" w:rsidP="0043334F" w14:paraId="7156C1F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lang w:eastAsia="en-GB"/>
        </w:rPr>
      </w:pPr>
    </w:p>
    <w:p w:rsidR="0036490F" w:rsidRPr="00AE15DA" w:rsidP="0043334F" w14:paraId="6F219748" w14:textId="77777777">
      <w:pPr>
        <w:contextualSpacing/>
        <w:rPr>
          <w:rFonts w:asciiTheme="minorHAnsi" w:hAnsiTheme="minorHAnsi"/>
          <w:sz w:val="22"/>
          <w:szCs w:val="22"/>
        </w:rPr>
      </w:pPr>
    </w:p>
    <w:p w:rsidR="00B40EEF" w:rsidRPr="00AE15DA" w:rsidP="0043334F" w14:paraId="76B59279" w14:textId="77777777">
      <w:pPr>
        <w:contextualSpacing/>
        <w:rPr>
          <w:rFonts w:asciiTheme="minorHAnsi" w:hAnsiTheme="minorHAnsi"/>
          <w:sz w:val="22"/>
          <w:szCs w:val="22"/>
        </w:rPr>
      </w:pPr>
    </w:p>
    <w:p w:rsidR="00884CE4" w:rsidRPr="00AE15DA" w:rsidP="0043334F" w14:paraId="6EEAEC64" w14:textId="69B868A5">
      <w:pPr>
        <w:bidi w:val="0"/>
        <w:spacing w:before="100" w:beforeAutospacing="1" w:after="100" w:afterAutospacing="1"/>
        <w:contextualSpacing/>
        <w:jc w:val="both"/>
        <w:rPr>
          <w:rFonts w:asciiTheme="minorHAnsi" w:hAnsiTheme="minorHAnsi"/>
          <w:b/>
          <w:sz w:val="22"/>
          <w:szCs w:val="22"/>
        </w:rPr>
      </w:pPr>
      <w:r w:rsidRPr="00AE15DA">
        <w:rPr>
          <w:rFonts w:asciiTheme="minorHAnsi" w:hAnsiTheme="minorHAnsi"/>
          <w:b/>
          <w:color w:val="000000"/>
          <w:sz w:val="22"/>
          <w:szCs w:val="22"/>
          <w:rtl w:val="0"/>
          <w:lang w:val="ru"/>
        </w:rPr>
        <w:t>E5. Длительное применение НПВП или колхицина не подходит для хронического лечения подагры, если только использование ингибиторов ксантиноксидазы (например, аллопуринола, фебуксостата) не противопоказано (ингибиторы ксантиноксидазы являются препаратами первого выбора для профилактики подагры).</w:t>
      </w:r>
    </w:p>
    <w:p w:rsidR="00642443" w:rsidRPr="00AE15DA" w:rsidP="0043334F" w14:paraId="457B9B4F" w14:textId="77777777">
      <w:pPr>
        <w:spacing w:before="100" w:beforeAutospacing="1" w:after="100" w:afterAutospacing="1"/>
        <w:contextualSpacing/>
        <w:jc w:val="both"/>
        <w:rPr>
          <w:rFonts w:asciiTheme="minorHAnsi" w:hAnsiTheme="minorHAnsi"/>
          <w:b/>
          <w:sz w:val="22"/>
          <w:szCs w:val="22"/>
        </w:rPr>
      </w:pPr>
    </w:p>
    <w:p w:rsidR="00DA3647" w:rsidRPr="00AE15DA" w:rsidP="0043334F" w14:paraId="3201FD97" w14:textId="77777777">
      <w:pPr>
        <w:bidi w:val="0"/>
        <w:spacing w:before="100" w:beforeAutospacing="1" w:after="100" w:afterAutospacing="1"/>
        <w:contextualSpacing/>
        <w:jc w:val="both"/>
        <w:rPr>
          <w:rFonts w:asciiTheme="minorHAnsi" w:hAnsiTheme="minorHAnsi"/>
          <w:b/>
          <w:sz w:val="22"/>
          <w:szCs w:val="22"/>
        </w:rPr>
      </w:pPr>
      <w:r w:rsidRPr="00AE15DA">
        <w:rPr>
          <w:rFonts w:asciiTheme="minorHAnsi" w:hAnsiTheme="minorHAnsi"/>
          <w:b/>
          <w:sz w:val="22"/>
          <w:szCs w:val="22"/>
          <w:rtl w:val="0"/>
          <w:lang w:val="ru"/>
        </w:rPr>
        <w:t xml:space="preserve">E6. Колхицин не подходит для пациентов с СКФ &lt;10 мл/мин/1,73 м2 (риск токсичности колхицина).  </w:t>
      </w:r>
    </w:p>
    <w:p w:rsidR="00B40EEF" w:rsidRPr="00AE15DA" w:rsidP="0043334F" w14:paraId="515E29BA" w14:textId="77777777">
      <w:pPr>
        <w:contextualSpacing/>
        <w:jc w:val="both"/>
        <w:rPr>
          <w:rFonts w:asciiTheme="minorHAnsi" w:hAnsiTheme="minorHAnsi"/>
          <w:b/>
          <w:sz w:val="22"/>
          <w:szCs w:val="22"/>
        </w:rPr>
      </w:pPr>
    </w:p>
    <w:p w:rsidR="00EE6325" w:rsidRPr="00AE15DA" w:rsidP="0043334F" w14:paraId="2473A1DC" w14:textId="77777777">
      <w:pPr>
        <w:bidi w:val="0"/>
        <w:contextualSpacing/>
        <w:jc w:val="both"/>
        <w:rPr>
          <w:rFonts w:asciiTheme="minorHAnsi" w:hAnsiTheme="minorHAnsi"/>
          <w:b/>
          <w:sz w:val="22"/>
          <w:szCs w:val="22"/>
        </w:rPr>
      </w:pPr>
      <w:r w:rsidRPr="00AE15DA">
        <w:rPr>
          <w:rFonts w:asciiTheme="minorHAnsi" w:hAnsiTheme="minorHAnsi"/>
          <w:b/>
          <w:sz w:val="22"/>
          <w:szCs w:val="22"/>
          <w:rtl w:val="0"/>
          <w:lang w:val="ru"/>
        </w:rPr>
        <w:t>E7. Метотрексат не подходит для пациентов с СКФ &lt;30 мл/мин/1,73 м2.</w:t>
      </w:r>
    </w:p>
    <w:p w:rsidR="00D536CC" w:rsidRPr="00AE15DA" w:rsidP="0043334F" w14:paraId="03152DDF" w14:textId="77777777">
      <w:pPr>
        <w:contextualSpacing/>
        <w:jc w:val="both"/>
        <w:rPr>
          <w:rFonts w:asciiTheme="minorHAnsi" w:hAnsiTheme="minorHAnsi"/>
          <w:b/>
          <w:sz w:val="22"/>
          <w:szCs w:val="22"/>
        </w:rPr>
      </w:pPr>
    </w:p>
    <w:p w:rsidR="004816D3" w:rsidRPr="00AE15DA" w:rsidP="0043334F" w14:paraId="008B541E" w14:textId="77777777">
      <w:pPr>
        <w:bidi w:val="0"/>
        <w:contextualSpacing/>
        <w:jc w:val="both"/>
        <w:rPr>
          <w:rFonts w:asciiTheme="minorHAnsi" w:hAnsiTheme="minorHAnsi"/>
          <w:b/>
          <w:color w:val="000000"/>
          <w:sz w:val="22"/>
          <w:szCs w:val="22"/>
        </w:rPr>
      </w:pPr>
      <w:r w:rsidRPr="00AE15DA">
        <w:rPr>
          <w:rFonts w:asciiTheme="minorHAnsi" w:hAnsiTheme="minorHAnsi"/>
          <w:b/>
          <w:color w:val="000000"/>
          <w:sz w:val="22"/>
          <w:szCs w:val="22"/>
          <w:rtl w:val="0"/>
          <w:lang w:val="ru"/>
        </w:rPr>
        <w:t xml:space="preserve">E8. Использование меперидина для лечения боли нецелесообразно (повышенная нейротоксичность, риск делирия по сравнению с другими опиоидами; существуют более надежные альтернативы. Его использование рискованно, особенно при почечной недостаточности) </w:t>
      </w:r>
    </w:p>
    <w:p w:rsidR="00071CA0" w:rsidRPr="00AE15DA" w:rsidP="0043334F" w14:paraId="5AB5AF58" w14:textId="77777777">
      <w:pPr>
        <w:pStyle w:val="HTMLPreformatted"/>
        <w:contextualSpacing/>
        <w:jc w:val="both"/>
        <w:rPr>
          <w:rFonts w:asciiTheme="minorHAnsi" w:hAnsiTheme="minorHAnsi" w:cstheme="minorHAnsi"/>
          <w:sz w:val="22"/>
          <w:szCs w:val="22"/>
        </w:rPr>
      </w:pPr>
    </w:p>
    <w:p w:rsidR="00991613" w:rsidRPr="00AE15DA" w:rsidP="0043334F" w14:paraId="071499AA" w14:textId="77777777">
      <w:pPr>
        <w:pStyle w:val="HTMLPreformatted"/>
        <w:bidi w:val="0"/>
        <w:contextualSpacing/>
        <w:jc w:val="both"/>
        <w:rPr>
          <w:rFonts w:asciiTheme="minorHAnsi" w:hAnsiTheme="minorHAnsi" w:cstheme="minorHAnsi"/>
          <w:color w:val="000000"/>
          <w:sz w:val="22"/>
          <w:szCs w:val="22"/>
        </w:rPr>
      </w:pPr>
      <w:r w:rsidRPr="00AE15DA">
        <w:rPr>
          <w:rFonts w:asciiTheme="minorHAnsi" w:hAnsiTheme="minorHAnsi"/>
          <w:b/>
          <w:color w:val="000000"/>
          <w:sz w:val="22"/>
          <w:szCs w:val="22"/>
          <w:rtl w:val="0"/>
          <w:lang w:val="ru"/>
        </w:rPr>
        <w:t xml:space="preserve">E9. Трамадол с пролонгированным высвобождением не подходит для пациентов с СКФ &lt;30 мл/мин/1,7 м2. </w:t>
      </w:r>
    </w:p>
    <w:p w:rsidR="00642443" w:rsidRPr="00AE15DA" w:rsidP="0043334F" w14:paraId="3C57C84E" w14:textId="77777777">
      <w:pPr>
        <w:bidi w:val="0"/>
        <w:spacing w:after="100" w:afterAutospacing="1"/>
        <w:contextualSpacing/>
        <w:jc w:val="both"/>
        <w:rPr>
          <w:rFonts w:asciiTheme="minorHAnsi" w:hAnsiTheme="minorHAnsi"/>
          <w:i/>
          <w:sz w:val="22"/>
          <w:szCs w:val="22"/>
        </w:rPr>
      </w:pPr>
      <w:r w:rsidRPr="00AE15DA">
        <w:rPr>
          <w:rFonts w:asciiTheme="minorHAnsi" w:hAnsiTheme="minorHAnsi"/>
          <w:i/>
          <w:sz w:val="22"/>
          <w:szCs w:val="22"/>
          <w:rtl w:val="0"/>
          <w:lang w:val="ru"/>
        </w:rPr>
        <w:t>* Следует уменьшить дозу трамадола с немедленным высвобождением.</w:t>
      </w:r>
    </w:p>
    <w:p w:rsidR="00071CA0" w:rsidRPr="00AE15DA" w:rsidP="0043334F" w14:paraId="063C4733" w14:textId="77777777">
      <w:pPr>
        <w:pStyle w:val="HTMLPreformatted"/>
        <w:contextualSpacing/>
        <w:jc w:val="both"/>
        <w:rPr>
          <w:rFonts w:asciiTheme="minorHAnsi" w:hAnsiTheme="minorHAnsi" w:cstheme="minorHAnsi"/>
          <w:sz w:val="22"/>
          <w:szCs w:val="22"/>
        </w:rPr>
      </w:pPr>
    </w:p>
    <w:p w:rsidR="00991613" w:rsidRPr="00AE15DA" w:rsidP="0043334F" w14:paraId="5664E1D8" w14:textId="77777777">
      <w:pPr>
        <w:pStyle w:val="HTMLPreformatted"/>
        <w:bidi w:val="0"/>
        <w:contextualSpacing/>
        <w:jc w:val="both"/>
        <w:rPr>
          <w:rFonts w:asciiTheme="minorHAnsi" w:hAnsiTheme="minorHAnsi" w:cstheme="minorHAnsi"/>
          <w:color w:val="000000"/>
          <w:sz w:val="22"/>
          <w:szCs w:val="22"/>
        </w:rPr>
      </w:pPr>
      <w:r w:rsidRPr="00AE15DA">
        <w:rPr>
          <w:rFonts w:asciiTheme="minorHAnsi" w:hAnsiTheme="minorHAnsi"/>
          <w:b/>
          <w:color w:val="000000"/>
          <w:sz w:val="22"/>
          <w:szCs w:val="22"/>
          <w:rtl w:val="0"/>
          <w:lang w:val="ru"/>
        </w:rPr>
        <w:t xml:space="preserve">E10. </w:t>
      </w:r>
      <w:r w:rsidRPr="00AE15DA" w:rsidR="0086661D">
        <w:rPr>
          <w:rFonts w:asciiTheme="minorHAnsi" w:hAnsiTheme="minorHAnsi"/>
          <w:b/>
          <w:sz w:val="22"/>
          <w:szCs w:val="22"/>
          <w:rtl w:val="0"/>
          <w:lang w:val="ru"/>
        </w:rPr>
        <w:t xml:space="preserve">Опиоиды не подходят для постоянного </w:t>
      </w:r>
      <w:r w:rsidRPr="00AE15DA" w:rsidR="0086661D">
        <w:rPr>
          <w:rFonts w:asciiTheme="minorHAnsi" w:hAnsiTheme="minorHAnsi"/>
          <w:b/>
          <w:color w:val="000000"/>
          <w:sz w:val="22"/>
          <w:szCs w:val="22"/>
          <w:rtl w:val="0"/>
          <w:lang w:val="ru"/>
        </w:rPr>
        <w:t>употребления</w:t>
      </w:r>
      <w:r w:rsidRPr="00AE15DA" w:rsidR="0086661D">
        <w:rPr>
          <w:rFonts w:asciiTheme="minorHAnsi" w:hAnsiTheme="minorHAnsi"/>
          <w:b/>
          <w:sz w:val="22"/>
          <w:szCs w:val="22"/>
          <w:rtl w:val="0"/>
          <w:lang w:val="ru"/>
        </w:rPr>
        <w:t xml:space="preserve"> без сопутствующего приема слабительных (риск сильного запора). </w:t>
      </w:r>
    </w:p>
    <w:p w:rsidR="00642443" w:rsidRPr="00AE15DA" w:rsidP="0043334F" w14:paraId="7738F68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lang w:eastAsia="en-GB"/>
        </w:rPr>
      </w:pPr>
    </w:p>
    <w:p w:rsidR="00071CA0" w:rsidRPr="00AE15DA" w:rsidP="0043334F" w14:paraId="68F1A1CA" w14:textId="77777777">
      <w:pPr>
        <w:contextualSpacing/>
        <w:rPr>
          <w:rFonts w:asciiTheme="minorHAnsi" w:hAnsiTheme="minorHAnsi"/>
          <w:b/>
          <w:sz w:val="22"/>
          <w:szCs w:val="22"/>
        </w:rPr>
      </w:pPr>
    </w:p>
    <w:p w:rsidR="001633D3" w:rsidRPr="00AE15DA" w:rsidP="0043334F" w14:paraId="4C2FA2E0" w14:textId="77777777">
      <w:pPr>
        <w:bidi w:val="0"/>
        <w:contextualSpacing/>
        <w:rPr>
          <w:rFonts w:asciiTheme="minorHAnsi" w:hAnsiTheme="minorHAnsi"/>
          <w:b/>
          <w:sz w:val="22"/>
          <w:szCs w:val="22"/>
        </w:rPr>
      </w:pPr>
      <w:r w:rsidRPr="00AE15DA">
        <w:rPr>
          <w:rFonts w:asciiTheme="minorHAnsi" w:hAnsiTheme="minorHAnsi"/>
          <w:b/>
          <w:sz w:val="22"/>
          <w:szCs w:val="22"/>
          <w:rtl w:val="0"/>
          <w:lang w:val="ru"/>
        </w:rPr>
        <w:t xml:space="preserve">E11. Использование системных миорелаксантов (скелетных мышц) (тиоколхикозид, тизанидин, хлорзоксазон, каризопродол, хлорфенезина карбамат, циклобензаприн, метаксалон, метокарбамол и орфенадрин ... и т. д.) не подходит при мышечно-скелетной боли, головокружении, головокружении. запор из-за побочных когнитивных эффектов).  </w:t>
      </w:r>
    </w:p>
    <w:p w:rsidR="00071CA0" w:rsidRPr="00AE15DA" w:rsidP="0043334F" w14:paraId="5A883EEB" w14:textId="77777777">
      <w:pPr>
        <w:bidi w:val="0"/>
        <w:spacing w:after="100" w:afterAutospacing="1"/>
        <w:contextualSpacing/>
        <w:jc w:val="both"/>
        <w:rPr>
          <w:rFonts w:asciiTheme="minorHAnsi" w:hAnsiTheme="minorHAnsi"/>
          <w:i/>
          <w:color w:val="000000" w:themeColor="text1"/>
          <w:sz w:val="22"/>
          <w:szCs w:val="22"/>
        </w:rPr>
      </w:pPr>
      <w:r w:rsidRPr="00AE15DA">
        <w:rPr>
          <w:rFonts w:asciiTheme="minorHAnsi" w:hAnsiTheme="minorHAnsi"/>
          <w:color w:val="000000" w:themeColor="text1"/>
          <w:sz w:val="22"/>
          <w:szCs w:val="22"/>
          <w:rtl w:val="0"/>
          <w:lang w:val="ru"/>
        </w:rPr>
        <w:t>*</w:t>
      </w:r>
      <w:r w:rsidRPr="00AE15DA">
        <w:rPr>
          <w:rFonts w:asciiTheme="minorHAnsi" w:hAnsiTheme="minorHAnsi"/>
          <w:i/>
          <w:color w:val="000000" w:themeColor="text1"/>
          <w:sz w:val="22"/>
          <w:szCs w:val="22"/>
          <w:rtl w:val="0"/>
          <w:lang w:val="ru"/>
        </w:rPr>
        <w:t xml:space="preserve"> При приеме тизанидина также очевиден риск гипотензии.</w:t>
      </w:r>
    </w:p>
    <w:p w:rsidR="00071CA0" w:rsidRPr="00AE15DA" w:rsidP="0043334F" w14:paraId="22226DA5" w14:textId="77777777">
      <w:pPr>
        <w:contextualSpacing/>
        <w:jc w:val="both"/>
        <w:rPr>
          <w:rFonts w:asciiTheme="minorHAnsi" w:hAnsiTheme="minorHAnsi" w:cstheme="minorHAnsi"/>
          <w:sz w:val="22"/>
          <w:szCs w:val="22"/>
        </w:rPr>
      </w:pPr>
    </w:p>
    <w:p w:rsidR="00415CD8" w:rsidRPr="00AE15DA" w:rsidP="0043334F" w14:paraId="12C85880" w14:textId="7E94F9AF">
      <w:pPr>
        <w:bidi w:val="0"/>
        <w:contextualSpacing/>
        <w:jc w:val="both"/>
        <w:rPr>
          <w:rFonts w:asciiTheme="minorHAnsi" w:hAnsiTheme="minorHAnsi"/>
          <w:b/>
          <w:color w:val="000000"/>
          <w:sz w:val="22"/>
          <w:szCs w:val="22"/>
        </w:rPr>
      </w:pPr>
      <w:r>
        <w:rPr>
          <w:rFonts w:ascii="Calibri" w:hAnsi="Calibri" w:cs="Calibri"/>
          <w:b/>
          <w:sz w:val="22"/>
          <w:szCs w:val="22"/>
          <w:rtl w:val="0"/>
          <w:lang w:val="ru"/>
        </w:rPr>
        <w:t>#</w:t>
      </w:r>
      <w:r w:rsidRPr="00AE15DA">
        <w:rPr>
          <w:rFonts w:asciiTheme="minorHAnsi" w:hAnsiTheme="minorHAnsi"/>
          <w:b/>
          <w:color w:val="000000"/>
          <w:sz w:val="22"/>
          <w:szCs w:val="22"/>
          <w:rtl w:val="0"/>
          <w:lang w:val="ru"/>
        </w:rPr>
        <w:t xml:space="preserve">E12. Нецелесообразно начинать лечение остеопороза без исключения остеомаляции.  </w:t>
      </w:r>
    </w:p>
    <w:p w:rsidR="003115C2" w:rsidRPr="00AE15DA" w:rsidP="0043334F" w14:paraId="2AF7ECBF" w14:textId="77777777">
      <w:pPr>
        <w:contextualSpacing/>
        <w:jc w:val="both"/>
        <w:rPr>
          <w:rFonts w:asciiTheme="minorHAnsi" w:hAnsiTheme="minorHAnsi"/>
          <w:b/>
          <w:color w:val="000000"/>
          <w:sz w:val="22"/>
          <w:szCs w:val="22"/>
        </w:rPr>
      </w:pPr>
    </w:p>
    <w:p w:rsidR="00CE7E93" w:rsidRPr="00AE15DA" w:rsidP="0043334F" w14:paraId="2A8A4847" w14:textId="77777777">
      <w:pPr>
        <w:contextualSpacing/>
        <w:jc w:val="both"/>
        <w:rPr>
          <w:rFonts w:asciiTheme="minorHAnsi" w:hAnsiTheme="minorHAnsi"/>
          <w:b/>
          <w:color w:val="000000"/>
          <w:sz w:val="22"/>
          <w:szCs w:val="22"/>
        </w:rPr>
      </w:pPr>
    </w:p>
    <w:p w:rsidR="00415CD8" w:rsidRPr="00AE15DA" w:rsidP="0043334F" w14:paraId="160397D9" w14:textId="77777777">
      <w:pPr>
        <w:bidi w:val="0"/>
        <w:contextualSpacing/>
        <w:jc w:val="both"/>
        <w:rPr>
          <w:rFonts w:asciiTheme="minorHAnsi" w:hAnsiTheme="minorHAnsi"/>
          <w:sz w:val="22"/>
          <w:szCs w:val="22"/>
        </w:rPr>
      </w:pPr>
      <w:r w:rsidRPr="00AE15DA">
        <w:rPr>
          <w:rFonts w:asciiTheme="minorHAnsi" w:hAnsiTheme="minorHAnsi"/>
          <w:b/>
          <w:color w:val="000000"/>
          <w:sz w:val="22"/>
          <w:szCs w:val="22"/>
          <w:rtl w:val="0"/>
          <w:lang w:val="ru"/>
        </w:rPr>
        <w:t>E13. Прерывистое обычное употребление высоких доз (300000 МЕ) витамина D не подходит для «поддерживающего» лечения витамином D (</w:t>
      </w:r>
      <w:r w:rsidRPr="00AE15DA" w:rsidR="00A90924">
        <w:rPr>
          <w:rFonts w:asciiTheme="minorHAnsi" w:hAnsiTheme="minorHAnsi"/>
          <w:b/>
          <w:sz w:val="22"/>
          <w:szCs w:val="22"/>
          <w:rtl w:val="0"/>
          <w:lang w:val="ru"/>
        </w:rPr>
        <w:t>повышенный риск падений, отсутствие дополнительных преимуществ для опорно-двигательного аппарата)</w:t>
      </w:r>
      <w:r w:rsidRPr="00AE15DA">
        <w:rPr>
          <w:rFonts w:asciiTheme="minorHAnsi" w:hAnsiTheme="minorHAnsi"/>
          <w:b/>
          <w:color w:val="000000"/>
          <w:sz w:val="22"/>
          <w:szCs w:val="22"/>
          <w:rtl w:val="0"/>
          <w:lang w:val="ru"/>
        </w:rPr>
        <w:t>.</w:t>
      </w:r>
    </w:p>
    <w:p w:rsidR="00C139FE" w:rsidRPr="00AE15DA" w:rsidP="0043334F" w14:paraId="22E52152" w14:textId="77777777">
      <w:pPr>
        <w:bidi w:val="0"/>
        <w:contextualSpacing/>
        <w:jc w:val="both"/>
        <w:rPr>
          <w:rFonts w:asciiTheme="minorHAnsi" w:hAnsiTheme="minorHAnsi"/>
          <w:i/>
          <w:sz w:val="22"/>
          <w:szCs w:val="22"/>
        </w:rPr>
      </w:pPr>
      <w:r w:rsidRPr="00AE15DA">
        <w:rPr>
          <w:rFonts w:asciiTheme="minorHAnsi" w:hAnsiTheme="minorHAnsi"/>
          <w:i/>
          <w:sz w:val="22"/>
          <w:szCs w:val="22"/>
          <w:rtl w:val="0"/>
          <w:lang w:val="ru"/>
        </w:rPr>
        <w:t xml:space="preserve">* Демонстрируются отрицательные результаты применения обычных высоких доз витамина D в «поддерживающей» терапии. </w:t>
      </w:r>
    </w:p>
    <w:p w:rsidR="00C139FE" w:rsidRPr="00AE15DA" w:rsidP="0043334F" w14:paraId="4B3C1730" w14:textId="77777777">
      <w:pPr>
        <w:bidi w:val="0"/>
        <w:spacing w:after="100" w:afterAutospacing="1"/>
        <w:contextualSpacing/>
        <w:jc w:val="both"/>
        <w:rPr>
          <w:rFonts w:asciiTheme="minorHAnsi" w:hAnsiTheme="minorHAnsi"/>
          <w:i/>
          <w:sz w:val="22"/>
          <w:szCs w:val="22"/>
        </w:rPr>
      </w:pPr>
      <w:r w:rsidRPr="00AE15DA">
        <w:rPr>
          <w:rFonts w:asciiTheme="minorHAnsi" w:hAnsiTheme="minorHAnsi"/>
          <w:i/>
          <w:sz w:val="22"/>
          <w:szCs w:val="22"/>
          <w:rtl w:val="0"/>
          <w:lang w:val="ru"/>
        </w:rPr>
        <w:t xml:space="preserve">* Не сообщалось об отрицательных результатах, связанных с применением обычных высоких доз витамина D в «заместительной» терапии. Однако из-за принципа «начинать с небольшого количества - увеличивать медленно», который обычно применим при приеме лекарств у пожилых людей, может оказаться целесообразным постепенно применять «заместительную» терапию витамином D. </w:t>
      </w:r>
    </w:p>
    <w:p w:rsidR="00642443" w:rsidRPr="00AE15DA" w:rsidP="0043334F" w14:paraId="5B526274" w14:textId="77777777">
      <w:pPr>
        <w:contextualSpacing/>
        <w:jc w:val="both"/>
        <w:rPr>
          <w:rFonts w:asciiTheme="minorHAnsi" w:hAnsiTheme="minorHAnsi" w:cstheme="minorHAnsi"/>
          <w:sz w:val="22"/>
          <w:szCs w:val="22"/>
        </w:rPr>
      </w:pPr>
    </w:p>
    <w:p w:rsidR="00071CA0" w:rsidRPr="00AE15DA" w:rsidP="0043334F" w14:paraId="2684CDF3" w14:textId="77777777">
      <w:pPr>
        <w:pStyle w:val="HTMLPreformatted"/>
        <w:contextualSpacing/>
        <w:jc w:val="both"/>
        <w:rPr>
          <w:rFonts w:asciiTheme="minorHAnsi" w:hAnsiTheme="minorHAnsi" w:cstheme="minorHAnsi"/>
          <w:b/>
          <w:bCs/>
          <w:color w:val="000000" w:themeColor="text1"/>
          <w:sz w:val="22"/>
          <w:szCs w:val="22"/>
        </w:rPr>
      </w:pPr>
    </w:p>
    <w:p w:rsidR="00994461" w:rsidRPr="00AE15DA" w:rsidP="0043334F" w14:paraId="4FDDA49D" w14:textId="77777777">
      <w:pPr>
        <w:pStyle w:val="HTMLPreformatted"/>
        <w:bidi w:val="0"/>
        <w:contextualSpacing/>
        <w:jc w:val="both"/>
        <w:rPr>
          <w:rFonts w:asciiTheme="minorHAnsi" w:hAnsiTheme="minorHAnsi" w:cstheme="minorHAnsi"/>
          <w:b/>
          <w:bCs/>
          <w:color w:val="000000" w:themeColor="text1"/>
          <w:sz w:val="22"/>
          <w:szCs w:val="22"/>
        </w:rPr>
      </w:pPr>
      <w:r w:rsidRPr="00AE15DA">
        <w:rPr>
          <w:rFonts w:asciiTheme="minorHAnsi" w:hAnsiTheme="minorHAnsi" w:cs="Times New Roman"/>
          <w:b/>
          <w:bCs/>
          <w:color w:val="000000" w:themeColor="text1"/>
          <w:sz w:val="22"/>
          <w:szCs w:val="22"/>
          <w:rtl w:val="0"/>
          <w:lang w:val="ru"/>
        </w:rPr>
        <w:t xml:space="preserve">E14. При гиперфосфатемии и/или гиперкальциемии использование активного (кальцитриол) (1-25 (ОН) </w:t>
      </w:r>
      <w:r w:rsidRPr="00AE15DA" w:rsidR="00992E12">
        <w:rPr>
          <w:rFonts w:asciiTheme="minorHAnsi" w:hAnsiTheme="minorHAnsi" w:cs="Times New Roman"/>
          <w:b/>
          <w:bCs/>
          <w:color w:val="000000" w:themeColor="text1"/>
          <w:sz w:val="22"/>
          <w:szCs w:val="22"/>
          <w:vertAlign w:val="subscript"/>
          <w:rtl w:val="0"/>
          <w:lang w:val="ru"/>
        </w:rPr>
        <w:t>2</w:t>
      </w:r>
      <w:r w:rsidRPr="00AE15DA">
        <w:rPr>
          <w:rFonts w:asciiTheme="minorHAnsi" w:hAnsiTheme="minorHAnsi" w:cs="Times New Roman"/>
          <w:b/>
          <w:bCs/>
          <w:color w:val="000000" w:themeColor="text1"/>
          <w:sz w:val="22"/>
          <w:szCs w:val="22"/>
          <w:rtl w:val="0"/>
          <w:lang w:val="ru"/>
        </w:rPr>
        <w:t>холекальциферол) или обычного (25 (ОН) холекальциферол) витамина D нецелесообразно.</w:t>
      </w:r>
    </w:p>
    <w:p w:rsidR="00B40EEF" w:rsidRPr="00AE15DA" w:rsidP="0043334F" w14:paraId="3280EAE2" w14:textId="77777777">
      <w:pPr>
        <w:contextualSpacing/>
        <w:jc w:val="both"/>
        <w:rPr>
          <w:rFonts w:asciiTheme="minorHAnsi" w:hAnsiTheme="minorHAnsi"/>
          <w:b/>
          <w:sz w:val="22"/>
          <w:szCs w:val="22"/>
        </w:rPr>
      </w:pPr>
    </w:p>
    <w:p w:rsidR="007C70E3" w:rsidRPr="00AE15DA" w:rsidP="0043334F" w14:paraId="16BFAC88" w14:textId="77777777">
      <w:pPr>
        <w:contextualSpacing/>
        <w:jc w:val="both"/>
        <w:rPr>
          <w:rFonts w:asciiTheme="minorHAnsi" w:hAnsiTheme="minorHAnsi"/>
          <w:b/>
          <w:sz w:val="22"/>
          <w:szCs w:val="22"/>
        </w:rPr>
      </w:pPr>
    </w:p>
    <w:p w:rsidR="007C09E9" w:rsidRPr="00AE15DA" w:rsidP="0043334F" w14:paraId="524A9B5F" w14:textId="0587F9FB">
      <w:pPr>
        <w:bidi w:val="0"/>
        <w:contextualSpacing/>
        <w:jc w:val="both"/>
        <w:rPr>
          <w:rFonts w:asciiTheme="minorHAnsi" w:hAnsiTheme="minorHAnsi"/>
          <w:b/>
          <w:sz w:val="22"/>
          <w:szCs w:val="22"/>
        </w:rPr>
      </w:pPr>
      <w:r w:rsidRPr="00AE15DA">
        <w:rPr>
          <w:rFonts w:asciiTheme="minorHAnsi" w:hAnsiTheme="minorHAnsi"/>
          <w:b/>
          <w:sz w:val="22"/>
          <w:szCs w:val="22"/>
          <w:rtl w:val="0"/>
          <w:lang w:val="ru"/>
        </w:rPr>
        <w:t xml:space="preserve">E15. Пероральный прием бисфосфонатов не рекомендуется пациентам с заболеваниями верхних отделов ЖКТ в анамнезе (например, дисфагией, эзофагитом, язвенной болезнью, кровотечением из верхних отделов желудочно-кишечного тракта или ГЭР, не контролируемым лечением) </w:t>
      </w:r>
      <w:r w:rsidRPr="00AE15DA" w:rsidR="00992E12">
        <w:rPr>
          <w:rFonts w:asciiTheme="minorHAnsi" w:hAnsiTheme="minorHAnsi"/>
          <w:b/>
          <w:color w:val="000000"/>
          <w:sz w:val="22"/>
          <w:szCs w:val="22"/>
          <w:rtl w:val="0"/>
          <w:lang w:val="ru"/>
        </w:rPr>
        <w:t>и/или пациентам, которые физически не могут стоять в вертикальном положении</w:t>
      </w:r>
      <w:r w:rsidRPr="00AE15DA">
        <w:rPr>
          <w:rFonts w:asciiTheme="minorHAnsi" w:hAnsiTheme="minorHAnsi"/>
          <w:b/>
          <w:sz w:val="22"/>
          <w:szCs w:val="22"/>
          <w:rtl w:val="0"/>
          <w:lang w:val="ru"/>
        </w:rPr>
        <w:t xml:space="preserve"> </w:t>
      </w:r>
      <w:r w:rsidRPr="00FE62C6" w:rsidR="00C2436C">
        <w:rPr>
          <w:rFonts w:ascii="Calibri" w:eastAsia="Calibri" w:hAnsi="Calibri" w:cs="Calibri"/>
          <w:b/>
          <w:color w:val="000000"/>
          <w:sz w:val="22"/>
          <w:szCs w:val="22"/>
          <w:rtl w:val="0"/>
          <w:lang w:val="ru"/>
        </w:rPr>
        <w:t>(эзофагит, пищевод язва, рецидив структуры пищевода / риск обострения)</w:t>
      </w:r>
      <w:r w:rsidRPr="00AE15DA">
        <w:rPr>
          <w:rFonts w:asciiTheme="minorHAnsi" w:hAnsiTheme="minorHAnsi"/>
          <w:b/>
          <w:sz w:val="22"/>
          <w:szCs w:val="22"/>
          <w:rtl w:val="0"/>
          <w:lang w:val="ru"/>
        </w:rPr>
        <w:t>.</w:t>
      </w:r>
    </w:p>
    <w:p w:rsidR="00F11DEE" w:rsidRPr="00AE15DA" w:rsidP="0043334F" w14:paraId="13376DAC" w14:textId="77777777">
      <w:pPr>
        <w:bidi w:val="0"/>
        <w:contextualSpacing/>
        <w:jc w:val="both"/>
        <w:rPr>
          <w:rFonts w:asciiTheme="minorHAnsi" w:hAnsiTheme="minorHAnsi"/>
          <w:i/>
          <w:sz w:val="22"/>
          <w:szCs w:val="22"/>
        </w:rPr>
      </w:pPr>
      <w:r w:rsidRPr="00AE15DA">
        <w:rPr>
          <w:rFonts w:asciiTheme="minorHAnsi" w:hAnsiTheme="minorHAnsi"/>
          <w:i/>
          <w:sz w:val="22"/>
          <w:szCs w:val="22"/>
          <w:rtl w:val="0"/>
          <w:lang w:val="ru"/>
        </w:rPr>
        <w:t>* Пероральные бисфосфонаты можно использовать с осторожностью в присутствии хорошо контролируемого ГЭР.</w:t>
      </w:r>
    </w:p>
    <w:p w:rsidR="00B40EEF" w:rsidRPr="00AE15DA" w:rsidP="0043334F" w14:paraId="16A752F5" w14:textId="5356D9B6">
      <w:pPr>
        <w:tabs>
          <w:tab w:val="left" w:pos="708"/>
        </w:tabs>
        <w:contextualSpacing/>
        <w:jc w:val="both"/>
        <w:rPr>
          <w:rFonts w:asciiTheme="minorHAnsi" w:hAnsiTheme="minorHAnsi" w:cstheme="minorHAnsi"/>
          <w:sz w:val="22"/>
          <w:szCs w:val="22"/>
        </w:rPr>
      </w:pPr>
    </w:p>
    <w:p w:rsidR="00364C7E" w:rsidRPr="00AE15DA" w:rsidP="0043334F" w14:paraId="2C264C4F" w14:textId="77777777">
      <w:pPr>
        <w:contextualSpacing/>
        <w:jc w:val="both"/>
        <w:rPr>
          <w:rFonts w:asciiTheme="minorHAnsi" w:hAnsiTheme="minorHAnsi"/>
          <w:b/>
          <w:sz w:val="22"/>
          <w:szCs w:val="22"/>
        </w:rPr>
      </w:pPr>
    </w:p>
    <w:p w:rsidR="00F11DEE" w:rsidRPr="00AE15DA" w:rsidP="0043334F" w14:paraId="544A3B3B" w14:textId="77777777">
      <w:pPr>
        <w:bidi w:val="0"/>
        <w:contextualSpacing/>
        <w:jc w:val="both"/>
        <w:rPr>
          <w:rFonts w:asciiTheme="minorHAnsi" w:hAnsiTheme="minorHAnsi"/>
          <w:color w:val="000000"/>
          <w:sz w:val="22"/>
          <w:szCs w:val="22"/>
          <w:vertAlign w:val="superscript"/>
        </w:rPr>
      </w:pPr>
      <w:r w:rsidRPr="00AE15DA">
        <w:rPr>
          <w:rFonts w:asciiTheme="minorHAnsi" w:hAnsiTheme="minorHAnsi"/>
          <w:b/>
          <w:sz w:val="22"/>
          <w:szCs w:val="22"/>
          <w:rtl w:val="0"/>
          <w:lang w:val="ru"/>
        </w:rPr>
        <w:t xml:space="preserve">E16. Бисфосфонаты не подходят пациентам с СКФ </w:t>
      </w:r>
      <w:r w:rsidRPr="00AE15DA">
        <w:rPr>
          <w:rFonts w:asciiTheme="minorHAnsi" w:hAnsiTheme="minorHAnsi"/>
          <w:b/>
          <w:color w:val="000000"/>
          <w:sz w:val="22"/>
          <w:szCs w:val="22"/>
          <w:rtl w:val="0"/>
          <w:lang w:val="ru"/>
        </w:rPr>
        <w:t>&lt;30 мл/мин/1,73 м2</w:t>
      </w:r>
      <w:r w:rsidRPr="00AE15DA">
        <w:rPr>
          <w:rFonts w:asciiTheme="minorHAnsi" w:hAnsiTheme="minorHAnsi"/>
          <w:b/>
          <w:sz w:val="22"/>
          <w:szCs w:val="22"/>
          <w:rtl w:val="0"/>
          <w:lang w:val="ru"/>
        </w:rPr>
        <w:t xml:space="preserve"> </w:t>
      </w:r>
      <w:r w:rsidRPr="00AE15DA">
        <w:rPr>
          <w:rFonts w:asciiTheme="minorHAnsi" w:hAnsiTheme="minorHAnsi"/>
          <w:b/>
          <w:color w:val="000000"/>
          <w:sz w:val="22"/>
          <w:szCs w:val="22"/>
          <w:rtl w:val="0"/>
          <w:lang w:val="ru"/>
        </w:rPr>
        <w:t>(</w:t>
      </w:r>
      <w:r w:rsidRPr="00AE15DA">
        <w:rPr>
          <w:rFonts w:asciiTheme="minorHAnsi" w:hAnsiTheme="minorHAnsi"/>
          <w:b/>
          <w:sz w:val="22"/>
          <w:szCs w:val="22"/>
          <w:rtl w:val="0"/>
          <w:lang w:val="ru"/>
        </w:rPr>
        <w:t>повышенный риск острой почечной недостаточности</w:t>
      </w:r>
      <w:r w:rsidRPr="00AE15DA">
        <w:rPr>
          <w:rFonts w:asciiTheme="minorHAnsi" w:hAnsiTheme="minorHAnsi"/>
          <w:b/>
          <w:color w:val="000000"/>
          <w:sz w:val="22"/>
          <w:szCs w:val="22"/>
          <w:rtl w:val="0"/>
          <w:lang w:val="ru"/>
        </w:rPr>
        <w:t>)</w:t>
      </w:r>
      <w:r w:rsidRPr="00AE15DA">
        <w:rPr>
          <w:rFonts w:asciiTheme="minorHAnsi" w:hAnsiTheme="minorHAnsi"/>
          <w:b/>
          <w:sz w:val="22"/>
          <w:szCs w:val="22"/>
          <w:rtl w:val="0"/>
          <w:lang w:val="ru"/>
        </w:rPr>
        <w:t>.</w:t>
      </w:r>
    </w:p>
    <w:p w:rsidR="00F11DEE" w:rsidRPr="00AE15DA" w:rsidP="0043334F" w14:paraId="3ECF19AE" w14:textId="77777777">
      <w:pPr>
        <w:bidi w:val="0"/>
        <w:contextualSpacing/>
        <w:jc w:val="both"/>
        <w:rPr>
          <w:rFonts w:asciiTheme="minorHAnsi" w:hAnsiTheme="minorHAnsi"/>
          <w:i/>
          <w:sz w:val="22"/>
          <w:szCs w:val="22"/>
        </w:rPr>
      </w:pPr>
      <w:r w:rsidRPr="00AE15DA">
        <w:rPr>
          <w:rFonts w:asciiTheme="minorHAnsi" w:hAnsiTheme="minorHAnsi"/>
          <w:i/>
          <w:sz w:val="22"/>
          <w:szCs w:val="22"/>
          <w:rtl w:val="0"/>
          <w:lang w:val="ru"/>
        </w:rPr>
        <w:t xml:space="preserve">* Пороговая СКФ выше для золедроната и алендроната (&lt;35 </w:t>
      </w:r>
      <w:r w:rsidRPr="00AE15DA">
        <w:rPr>
          <w:rFonts w:asciiTheme="minorHAnsi" w:hAnsiTheme="minorHAnsi"/>
          <w:i/>
          <w:color w:val="000000"/>
          <w:sz w:val="22"/>
          <w:szCs w:val="22"/>
          <w:rtl w:val="0"/>
          <w:lang w:val="ru"/>
        </w:rPr>
        <w:t>мл/мин/1,73 м2)</w:t>
      </w:r>
      <w:r w:rsidRPr="00AE15DA">
        <w:rPr>
          <w:rFonts w:asciiTheme="minorHAnsi" w:hAnsiTheme="minorHAnsi"/>
          <w:i/>
          <w:sz w:val="22"/>
          <w:szCs w:val="22"/>
          <w:rtl w:val="0"/>
          <w:lang w:val="ru"/>
        </w:rPr>
        <w:t>.</w:t>
      </w:r>
    </w:p>
    <w:p w:rsidR="00364C7E" w:rsidRPr="00AE15DA" w:rsidP="0043334F" w14:paraId="2A18FA7C" w14:textId="77777777">
      <w:pPr>
        <w:pStyle w:val="HTMLPreformatted"/>
        <w:contextualSpacing/>
        <w:rPr>
          <w:rFonts w:asciiTheme="minorHAnsi" w:hAnsiTheme="minorHAnsi" w:cstheme="minorHAnsi"/>
          <w:sz w:val="22"/>
          <w:szCs w:val="22"/>
        </w:rPr>
      </w:pPr>
    </w:p>
    <w:p w:rsidR="00C1596E" w:rsidRPr="00AE15DA" w:rsidP="0043334F" w14:paraId="03F3021D" w14:textId="77777777">
      <w:pPr>
        <w:contextualSpacing/>
        <w:jc w:val="both"/>
        <w:rPr>
          <w:rFonts w:asciiTheme="minorHAnsi" w:hAnsiTheme="minorHAnsi"/>
          <w:b/>
          <w:color w:val="000000"/>
          <w:sz w:val="22"/>
          <w:szCs w:val="22"/>
        </w:rPr>
      </w:pPr>
    </w:p>
    <w:p w:rsidR="00415CD8" w:rsidRPr="00AE15DA" w:rsidP="0043334F" w14:paraId="1CA4C6EA" w14:textId="77777777">
      <w:pPr>
        <w:bidi w:val="0"/>
        <w:contextualSpacing/>
        <w:jc w:val="both"/>
        <w:rPr>
          <w:rFonts w:asciiTheme="minorHAnsi" w:hAnsiTheme="minorHAnsi"/>
          <w:b/>
          <w:color w:val="000000"/>
          <w:sz w:val="22"/>
          <w:szCs w:val="22"/>
        </w:rPr>
      </w:pPr>
      <w:r w:rsidRPr="00AE15DA">
        <w:rPr>
          <w:rFonts w:asciiTheme="minorHAnsi" w:hAnsiTheme="minorHAnsi"/>
          <w:b/>
          <w:color w:val="000000"/>
          <w:sz w:val="22"/>
          <w:szCs w:val="22"/>
          <w:rtl w:val="0"/>
          <w:lang w:val="ru"/>
        </w:rPr>
        <w:t xml:space="preserve">E17. Использование золедроната, деносумаба или терипаратида нецелесообразно без определения уровня кальция в сыворотке до лечения и обеспечения адекватного потребления кальция/витамина D. </w:t>
      </w:r>
    </w:p>
    <w:p w:rsidR="00C80C53" w:rsidRPr="00AE15DA" w:rsidP="0043334F" w14:paraId="17B89B4E" w14:textId="77777777">
      <w:pPr>
        <w:contextualSpacing/>
        <w:jc w:val="both"/>
        <w:rPr>
          <w:rFonts w:asciiTheme="minorHAnsi" w:hAnsiTheme="minorHAnsi"/>
          <w:b/>
          <w:i/>
          <w:color w:val="4472C4" w:themeColor="accent5"/>
          <w:sz w:val="22"/>
          <w:szCs w:val="22"/>
          <w:u w:val="single"/>
        </w:rPr>
      </w:pPr>
    </w:p>
    <w:p w:rsidR="004816D3" w:rsidRPr="00AE15DA" w:rsidP="0043334F" w14:paraId="202AB42A" w14:textId="77777777">
      <w:pPr>
        <w:bidi w:val="0"/>
        <w:contextualSpacing/>
        <w:jc w:val="both"/>
        <w:rPr>
          <w:rFonts w:asciiTheme="minorHAnsi" w:hAnsiTheme="minorHAnsi"/>
          <w:b/>
          <w:sz w:val="28"/>
          <w:szCs w:val="28"/>
        </w:rPr>
      </w:pPr>
      <w:r w:rsidRPr="00AE15DA">
        <w:rPr>
          <w:rFonts w:asciiTheme="minorHAnsi" w:hAnsiTheme="minorHAnsi"/>
          <w:b/>
          <w:sz w:val="28"/>
          <w:szCs w:val="28"/>
          <w:rtl w:val="0"/>
          <w:lang w:val="ru"/>
        </w:rPr>
        <w:t>F: Критерии мочеполовой системы.</w:t>
      </w:r>
    </w:p>
    <w:p w:rsidR="00F327A4" w:rsidRPr="00AE15DA" w:rsidP="0043334F" w14:paraId="2F82DD50" w14:textId="77777777">
      <w:pPr>
        <w:contextualSpacing/>
        <w:jc w:val="both"/>
        <w:rPr>
          <w:rFonts w:asciiTheme="minorHAnsi" w:hAnsiTheme="minorHAnsi"/>
          <w:b/>
          <w:i/>
          <w:color w:val="4472C4" w:themeColor="accent5"/>
          <w:sz w:val="22"/>
          <w:szCs w:val="22"/>
          <w:u w:val="single"/>
        </w:rPr>
      </w:pPr>
    </w:p>
    <w:p w:rsidR="00236CC7" w:rsidRPr="00AE15DA" w:rsidP="0043334F" w14:paraId="4A711F27" w14:textId="77777777">
      <w:pPr>
        <w:pStyle w:val="CommentText"/>
        <w:bidi w:val="0"/>
        <w:spacing w:after="0"/>
        <w:contextualSpacing/>
        <w:jc w:val="both"/>
        <w:rPr>
          <w:rStyle w:val="CommentReference"/>
          <w:rFonts w:cs="Times New Roman"/>
          <w:b/>
          <w:sz w:val="22"/>
          <w:szCs w:val="22"/>
        </w:rPr>
      </w:pPr>
      <w:r w:rsidRPr="00AE15DA">
        <w:rPr>
          <w:rFonts w:cs="Times New Roman"/>
          <w:b/>
          <w:sz w:val="22"/>
          <w:szCs w:val="22"/>
          <w:rtl w:val="0"/>
          <w:lang w:val="ru"/>
        </w:rPr>
        <w:t>F1. У мужчин с симптомами СНМП из-за доброкачественной гиперплазии простаты, если PMR &gt;150 мл, применение антихолинергических препаратов для лечения мочевого пузыря нецелесообразно.</w:t>
      </w:r>
    </w:p>
    <w:p w:rsidR="00F327A4" w:rsidP="00E85274" w14:paraId="364AA477" w14:textId="4D009920">
      <w:pPr>
        <w:pStyle w:val="CommentText"/>
        <w:bidi w:val="0"/>
        <w:contextualSpacing/>
        <w:jc w:val="both"/>
        <w:rPr>
          <w:rFonts w:eastAsia="Times New Roman" w:cs="Times New Roman"/>
          <w:i/>
          <w:color w:val="000000" w:themeColor="text1"/>
          <w:sz w:val="22"/>
          <w:szCs w:val="22"/>
        </w:rPr>
      </w:pPr>
      <w:r w:rsidRPr="00AE15DA">
        <w:rPr>
          <w:rFonts w:eastAsia="Times New Roman" w:cs="Times New Roman"/>
          <w:i/>
          <w:color w:val="000000" w:themeColor="text1"/>
          <w:sz w:val="22"/>
          <w:szCs w:val="22"/>
          <w:rtl w:val="0"/>
          <w:lang w:val="ru"/>
        </w:rPr>
        <w:t>* У мужчин более старшего возраста следует подвергнуть сомнению симптомы СНМП и во всех случаях определять PMR, прежде чем назначать антихолинергические препараты, направленные на лечение гиперактивного мочевого пузыря.</w:t>
      </w:r>
    </w:p>
    <w:p w:rsidR="00E85274" w:rsidRPr="00E85274" w:rsidP="00E85274" w14:paraId="2AFF43AF" w14:textId="77777777">
      <w:pPr>
        <w:pStyle w:val="CommentText"/>
        <w:contextualSpacing/>
        <w:jc w:val="both"/>
        <w:rPr>
          <w:rFonts w:eastAsia="Times New Roman" w:cs="Times New Roman"/>
          <w:i/>
          <w:color w:val="000000" w:themeColor="text1"/>
          <w:sz w:val="22"/>
          <w:szCs w:val="22"/>
        </w:rPr>
      </w:pPr>
    </w:p>
    <w:p w:rsidR="006C2A94" w:rsidRPr="00AE15DA" w:rsidP="0043334F" w14:paraId="68942A7E" w14:textId="77777777">
      <w:pPr>
        <w:bidi w:val="0"/>
        <w:spacing w:before="100" w:beforeAutospacing="1"/>
        <w:contextualSpacing/>
        <w:jc w:val="both"/>
        <w:rPr>
          <w:rFonts w:asciiTheme="minorHAnsi" w:hAnsiTheme="minorHAnsi"/>
          <w:b/>
          <w:sz w:val="22"/>
          <w:szCs w:val="22"/>
        </w:rPr>
      </w:pPr>
      <w:r w:rsidRPr="00AE15DA">
        <w:rPr>
          <w:rFonts w:asciiTheme="minorHAnsi" w:hAnsiTheme="minorHAnsi"/>
          <w:b/>
          <w:sz w:val="22"/>
          <w:szCs w:val="22"/>
          <w:rtl w:val="0"/>
          <w:lang w:val="ru"/>
        </w:rPr>
        <w:t xml:space="preserve">F2. Антихолинергические препараты, направленные на мочевой пузырь, не подходят пациентам с хронической </w:t>
      </w:r>
      <w:r w:rsidRPr="00AE15DA">
        <w:rPr>
          <w:rFonts w:asciiTheme="minorHAnsi" w:hAnsiTheme="minorHAnsi"/>
          <w:b/>
          <w:color w:val="000000"/>
          <w:sz w:val="22"/>
          <w:szCs w:val="22"/>
          <w:rtl w:val="0"/>
          <w:lang w:val="ru"/>
        </w:rPr>
        <w:t>узкоугольной</w:t>
      </w:r>
      <w:r w:rsidRPr="00AE15DA">
        <w:rPr>
          <w:rFonts w:asciiTheme="minorHAnsi" w:hAnsiTheme="minorHAnsi"/>
          <w:b/>
          <w:sz w:val="22"/>
          <w:szCs w:val="22"/>
          <w:rtl w:val="0"/>
          <w:lang w:val="ru"/>
        </w:rPr>
        <w:t xml:space="preserve"> глаукомой. </w:t>
      </w:r>
    </w:p>
    <w:p w:rsidR="006C2A94" w:rsidRPr="00AE15DA" w:rsidP="0043334F" w14:paraId="172F05A2" w14:textId="77777777">
      <w:pPr>
        <w:bidi w:val="0"/>
        <w:contextualSpacing/>
        <w:jc w:val="both"/>
        <w:rPr>
          <w:rFonts w:asciiTheme="minorHAnsi" w:hAnsiTheme="minorHAnsi"/>
          <w:i/>
          <w:color w:val="000000" w:themeColor="text1"/>
          <w:sz w:val="22"/>
          <w:szCs w:val="22"/>
        </w:rPr>
      </w:pPr>
      <w:r w:rsidRPr="00AE15DA">
        <w:rPr>
          <w:rFonts w:asciiTheme="minorHAnsi" w:hAnsiTheme="minorHAnsi"/>
          <w:i/>
          <w:sz w:val="22"/>
          <w:szCs w:val="22"/>
          <w:rtl w:val="0"/>
          <w:lang w:val="ru"/>
        </w:rPr>
        <w:t xml:space="preserve">* Перед началом приема антихолинергических препаратов для мочевого пузыря следует выяснить </w:t>
      </w:r>
      <w:r w:rsidRPr="00AE15DA">
        <w:rPr>
          <w:rFonts w:asciiTheme="minorHAnsi" w:hAnsiTheme="minorHAnsi"/>
          <w:i/>
          <w:color w:val="000000" w:themeColor="text1"/>
          <w:sz w:val="22"/>
          <w:szCs w:val="22"/>
          <w:rtl w:val="0"/>
          <w:lang w:val="ru"/>
        </w:rPr>
        <w:t>историю глаукомы.</w:t>
      </w:r>
    </w:p>
    <w:p w:rsidR="006C2A94" w:rsidRPr="00AE15DA" w:rsidP="0043334F" w14:paraId="01F7D3E0" w14:textId="77777777">
      <w:pPr>
        <w:bidi w:val="0"/>
        <w:contextualSpacing/>
        <w:jc w:val="both"/>
        <w:rPr>
          <w:rFonts w:asciiTheme="minorHAnsi" w:hAnsiTheme="minorHAnsi"/>
          <w:i/>
          <w:color w:val="000000" w:themeColor="text1"/>
          <w:sz w:val="22"/>
          <w:szCs w:val="22"/>
        </w:rPr>
      </w:pPr>
      <w:r w:rsidRPr="00AE15DA">
        <w:rPr>
          <w:rFonts w:asciiTheme="minorHAnsi" w:hAnsiTheme="minorHAnsi"/>
          <w:i/>
          <w:color w:val="000000" w:themeColor="text1"/>
          <w:sz w:val="22"/>
          <w:szCs w:val="22"/>
          <w:rtl w:val="0"/>
          <w:lang w:val="ru"/>
        </w:rPr>
        <w:t>* Антихолинергические препараты, направленные на мочевой пузырь, не противопоказаны, если глаукома узкоугольной формы лечилась с помощью лазерной иридотомии.</w:t>
      </w:r>
    </w:p>
    <w:p w:rsidR="00F11DEE" w:rsidRPr="00AE15DA" w:rsidP="0043334F" w14:paraId="1B87D872" w14:textId="77777777">
      <w:pPr>
        <w:bidi w:val="0"/>
        <w:contextualSpacing/>
        <w:jc w:val="both"/>
        <w:rPr>
          <w:rFonts w:asciiTheme="minorHAnsi" w:hAnsiTheme="minorHAnsi"/>
          <w:i/>
          <w:color w:val="000000" w:themeColor="text1"/>
          <w:sz w:val="22"/>
          <w:szCs w:val="22"/>
        </w:rPr>
      </w:pPr>
      <w:r w:rsidRPr="00AE15DA">
        <w:rPr>
          <w:rFonts w:asciiTheme="minorHAnsi" w:hAnsiTheme="minorHAnsi"/>
          <w:i/>
          <w:sz w:val="22"/>
          <w:szCs w:val="22"/>
          <w:rtl w:val="0"/>
          <w:lang w:val="ru"/>
        </w:rPr>
        <w:t>* Антихолинергические препараты</w:t>
      </w:r>
      <w:r w:rsidRPr="00AE15DA">
        <w:rPr>
          <w:rFonts w:asciiTheme="minorHAnsi" w:hAnsiTheme="minorHAnsi"/>
          <w:i/>
          <w:color w:val="000000" w:themeColor="text1"/>
          <w:sz w:val="22"/>
          <w:szCs w:val="22"/>
          <w:rtl w:val="0"/>
          <w:lang w:val="ru"/>
        </w:rPr>
        <w:t xml:space="preserve"> для мочевого пузыря не противопоказаны при открытоугольной глаукоме.</w:t>
      </w:r>
    </w:p>
    <w:p w:rsidR="006C2A94" w:rsidRPr="00AE15DA" w:rsidP="0043334F" w14:paraId="45875D5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b/>
          <w:color w:val="000000" w:themeColor="text1"/>
          <w:sz w:val="22"/>
          <w:szCs w:val="22"/>
        </w:rPr>
      </w:pPr>
    </w:p>
    <w:p w:rsidR="00080395" w:rsidRPr="00AE15DA" w:rsidP="0043334F" w14:paraId="73C951C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rPr>
      </w:pPr>
    </w:p>
    <w:p w:rsidR="00415CD8" w:rsidRPr="00AE15DA" w:rsidP="0043334F" w14:paraId="0D52192E" w14:textId="77777777">
      <w:pPr>
        <w:bidi w:val="0"/>
        <w:spacing w:before="100" w:beforeAutospacing="1" w:after="100" w:afterAutospacing="1"/>
        <w:contextualSpacing/>
        <w:jc w:val="both"/>
        <w:rPr>
          <w:rFonts w:asciiTheme="minorHAnsi" w:hAnsiTheme="minorHAnsi"/>
          <w:b/>
          <w:sz w:val="22"/>
          <w:szCs w:val="22"/>
        </w:rPr>
      </w:pPr>
      <w:r w:rsidRPr="00AE15DA">
        <w:rPr>
          <w:rFonts w:asciiTheme="minorHAnsi" w:hAnsiTheme="minorHAnsi"/>
          <w:b/>
          <w:color w:val="000000"/>
          <w:sz w:val="22"/>
          <w:szCs w:val="22"/>
          <w:rtl w:val="0"/>
          <w:lang w:val="ru"/>
        </w:rPr>
        <w:t xml:space="preserve">F3. </w:t>
      </w:r>
      <w:r w:rsidRPr="00AE15DA">
        <w:rPr>
          <w:rFonts w:asciiTheme="minorHAnsi" w:hAnsiTheme="minorHAnsi"/>
          <w:b/>
          <w:sz w:val="22"/>
          <w:szCs w:val="22"/>
          <w:rtl w:val="0"/>
          <w:lang w:val="ru"/>
        </w:rPr>
        <w:t>Применение антихолинергических препаратов для лечения мочевого пузыря</w:t>
      </w:r>
      <w:r w:rsidRPr="00AE15DA">
        <w:rPr>
          <w:rFonts w:asciiTheme="minorHAnsi" w:hAnsiTheme="minorHAnsi"/>
          <w:b/>
          <w:color w:val="000000"/>
          <w:sz w:val="22"/>
          <w:szCs w:val="22"/>
          <w:rtl w:val="0"/>
          <w:lang w:val="ru"/>
        </w:rPr>
        <w:t xml:space="preserve"> у пожилых людей с гиперплазией предстательной железы (риск обструкции), с осложнениями сахарного диабета (риск нейрогенной дисфункции мочевого пузыря) или с ослабленным здоровьем нецелесообразно без определения PMR (</w:t>
      </w:r>
      <w:r w:rsidRPr="00AE15DA" w:rsidR="004B7EAD">
        <w:rPr>
          <w:rFonts w:asciiTheme="minorHAnsi" w:hAnsiTheme="minorHAnsi"/>
          <w:b/>
          <w:sz w:val="22"/>
          <w:szCs w:val="22"/>
          <w:rtl w:val="0"/>
          <w:lang w:val="ru"/>
        </w:rPr>
        <w:t>риск задержки мочи и постренальной почечной недостаточности</w:t>
      </w:r>
      <w:r w:rsidRPr="00AE15DA">
        <w:rPr>
          <w:rFonts w:asciiTheme="minorHAnsi" w:hAnsiTheme="minorHAnsi"/>
          <w:b/>
          <w:color w:val="000000"/>
          <w:sz w:val="22"/>
          <w:szCs w:val="22"/>
          <w:rtl w:val="0"/>
          <w:lang w:val="ru"/>
        </w:rPr>
        <w:t>).</w:t>
      </w:r>
    </w:p>
    <w:p w:rsidR="00C1596E" w:rsidRPr="00AE15DA" w:rsidP="0043334F" w14:paraId="219CB8E1" w14:textId="77777777">
      <w:pPr>
        <w:spacing w:before="100" w:beforeAutospacing="1" w:after="100" w:afterAutospacing="1"/>
        <w:contextualSpacing/>
        <w:jc w:val="both"/>
        <w:rPr>
          <w:rFonts w:asciiTheme="minorHAnsi" w:hAnsiTheme="minorHAnsi" w:cstheme="minorHAnsi"/>
          <w:color w:val="000000" w:themeColor="text1"/>
          <w:sz w:val="22"/>
          <w:szCs w:val="22"/>
        </w:rPr>
      </w:pPr>
    </w:p>
    <w:p w:rsidR="00E456DB" w:rsidRPr="00AE15DA" w:rsidP="0043334F" w14:paraId="0F884FDA" w14:textId="77777777">
      <w:pPr>
        <w:spacing w:before="100" w:beforeAutospacing="1" w:after="100" w:afterAutospacing="1"/>
        <w:contextualSpacing/>
        <w:jc w:val="both"/>
        <w:rPr>
          <w:rFonts w:asciiTheme="minorHAnsi" w:hAnsiTheme="minorHAnsi" w:cstheme="minorHAnsi"/>
          <w:color w:val="000000"/>
          <w:sz w:val="22"/>
          <w:szCs w:val="22"/>
        </w:rPr>
      </w:pPr>
    </w:p>
    <w:p w:rsidR="00316725" w:rsidRPr="00AE15DA" w:rsidP="0043334F" w14:paraId="7AC99258" w14:textId="77777777">
      <w:pPr>
        <w:bidi w:val="0"/>
        <w:spacing w:before="100" w:beforeAutospacing="1" w:after="100" w:afterAutospacing="1"/>
        <w:contextualSpacing/>
        <w:jc w:val="both"/>
        <w:rPr>
          <w:rFonts w:asciiTheme="minorHAnsi" w:hAnsiTheme="minorHAnsi"/>
          <w:b/>
          <w:sz w:val="22"/>
          <w:szCs w:val="22"/>
        </w:rPr>
      </w:pPr>
      <w:r w:rsidRPr="00AE15DA">
        <w:rPr>
          <w:rFonts w:asciiTheme="minorHAnsi" w:hAnsiTheme="minorHAnsi"/>
          <w:b/>
          <w:sz w:val="22"/>
          <w:szCs w:val="22"/>
          <w:rtl w:val="0"/>
          <w:lang w:val="ru"/>
        </w:rPr>
        <w:t xml:space="preserve">F4. Ингибиторы 5 (например, силденафил, тадалафил, варденафил) не подходят пациентам с артериальным давлением &lt;90/50 мм рт. ст. или &gt;170/100 мм рт. ст., с нестабильной стенокардией/стенокардией во время полового акта/сердечной недостаточностью 4 класса по NYHA/принимающим нитратную терапию по поводу стенокардии/получающим терапию блокаторами альфа-1/имеющим в анамнезе инфаркт миокарда (&lt;3 месяцев)/инсульт (&lt;6 месяцев). </w:t>
      </w:r>
    </w:p>
    <w:p w:rsidR="00080395" w:rsidRPr="00AE15DA" w:rsidP="0043334F" w14:paraId="30307983" w14:textId="77777777">
      <w:pPr>
        <w:autoSpaceDE w:val="0"/>
        <w:autoSpaceDN w:val="0"/>
        <w:adjustRightInd w:val="0"/>
        <w:contextualSpacing/>
        <w:jc w:val="both"/>
        <w:rPr>
          <w:rStyle w:val="Hyperlink"/>
          <w:rFonts w:asciiTheme="minorHAnsi" w:eastAsiaTheme="majorEastAsia" w:hAnsiTheme="minorHAnsi" w:cstheme="minorHAnsi"/>
          <w:color w:val="000000" w:themeColor="text1"/>
          <w:sz w:val="22"/>
          <w:szCs w:val="22"/>
          <w:u w:val="none"/>
        </w:rPr>
      </w:pPr>
    </w:p>
    <w:p w:rsidR="00967AEF" w:rsidRPr="00AE15DA" w:rsidP="0043334F" w14:paraId="4EB25587" w14:textId="77777777">
      <w:pPr>
        <w:autoSpaceDE w:val="0"/>
        <w:autoSpaceDN w:val="0"/>
        <w:adjustRightInd w:val="0"/>
        <w:contextualSpacing/>
        <w:jc w:val="both"/>
        <w:rPr>
          <w:rStyle w:val="Hyperlink"/>
          <w:rFonts w:asciiTheme="minorHAnsi" w:eastAsiaTheme="majorEastAsia" w:hAnsiTheme="minorHAnsi" w:cstheme="minorHAnsi"/>
          <w:color w:val="000000" w:themeColor="text1"/>
          <w:sz w:val="22"/>
          <w:szCs w:val="22"/>
          <w:u w:val="none"/>
        </w:rPr>
      </w:pPr>
    </w:p>
    <w:p w:rsidR="00632179" w:rsidRPr="00AE15DA" w:rsidP="0043334F" w14:paraId="2A880C10" w14:textId="77777777">
      <w:pPr>
        <w:bidi w:val="0"/>
        <w:spacing w:before="100" w:beforeAutospacing="1"/>
        <w:contextualSpacing/>
        <w:jc w:val="both"/>
        <w:rPr>
          <w:rFonts w:asciiTheme="minorHAnsi" w:hAnsiTheme="minorHAnsi"/>
          <w:b/>
          <w:sz w:val="22"/>
          <w:szCs w:val="22"/>
        </w:rPr>
      </w:pPr>
      <w:r w:rsidRPr="00AE15DA">
        <w:rPr>
          <w:rFonts w:asciiTheme="minorHAnsi" w:hAnsiTheme="minorHAnsi"/>
          <w:b/>
          <w:sz w:val="22"/>
          <w:szCs w:val="22"/>
          <w:rtl w:val="0"/>
          <w:lang w:val="ru"/>
        </w:rPr>
        <w:t xml:space="preserve">F5. Неуселективные альфа-1-блокаторы (например, доксазозин, теразозин) не подходят для лечения симптомов СНМП, вызванных доброкачественной гиперплазией предстательной железы, у пациентов с ортостатической гипотензией (усиление ортостатической гипотензии, обмороки и падения). </w:t>
      </w:r>
    </w:p>
    <w:p w:rsidR="00967AEF" w:rsidRPr="00AE15DA" w:rsidP="0043334F" w14:paraId="40438A7E" w14:textId="77777777">
      <w:pPr>
        <w:bidi w:val="0"/>
        <w:contextualSpacing/>
        <w:jc w:val="both"/>
        <w:rPr>
          <w:rFonts w:asciiTheme="minorHAnsi" w:hAnsiTheme="minorHAnsi"/>
          <w:i/>
          <w:color w:val="000000" w:themeColor="text1"/>
          <w:sz w:val="22"/>
          <w:szCs w:val="22"/>
        </w:rPr>
      </w:pPr>
      <w:r w:rsidRPr="00AE15DA">
        <w:rPr>
          <w:rFonts w:asciiTheme="minorHAnsi" w:hAnsiTheme="minorHAnsi"/>
          <w:i/>
          <w:color w:val="000000" w:themeColor="text1"/>
          <w:sz w:val="22"/>
          <w:szCs w:val="22"/>
          <w:rtl w:val="0"/>
          <w:lang w:val="ru"/>
        </w:rPr>
        <w:t xml:space="preserve">* Уроселективным агентом с наименьшим риском ортостатической гипотензии является силодозин, аналогичный плацебо. </w:t>
      </w:r>
    </w:p>
    <w:p w:rsidR="00F11DEE" w:rsidRPr="00AE15DA" w:rsidP="0043334F" w14:paraId="7A24E4F4" w14:textId="77777777">
      <w:pPr>
        <w:bidi w:val="0"/>
        <w:spacing w:after="100" w:afterAutospacing="1"/>
        <w:contextualSpacing/>
        <w:jc w:val="both"/>
        <w:rPr>
          <w:rFonts w:asciiTheme="minorHAnsi" w:hAnsiTheme="minorHAnsi"/>
          <w:i/>
          <w:sz w:val="22"/>
          <w:szCs w:val="22"/>
        </w:rPr>
      </w:pPr>
      <w:r w:rsidRPr="00AE15DA">
        <w:rPr>
          <w:rFonts w:asciiTheme="minorHAnsi" w:hAnsiTheme="minorHAnsi"/>
          <w:i/>
          <w:sz w:val="22"/>
          <w:szCs w:val="22"/>
          <w:rtl w:val="0"/>
          <w:lang w:val="ru"/>
        </w:rPr>
        <w:t>* Пациенты пожилого возраста, принимающие неуроселективные блокаторы альфа-1, должны быть проинформированы о риске ортостатической гипотензии.</w:t>
      </w:r>
    </w:p>
    <w:p w:rsidR="00E456DB" w:rsidP="0043334F" w14:paraId="1A6B33C2" w14:textId="1DD44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themeColor="text1"/>
          <w:sz w:val="22"/>
          <w:szCs w:val="22"/>
        </w:rPr>
      </w:pPr>
    </w:p>
    <w:p w:rsidR="00E85274" w:rsidRPr="00AE15DA" w:rsidP="0043334F" w14:paraId="74012FD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p>
    <w:p w:rsidR="00415CD8" w:rsidRPr="00AE15DA" w:rsidP="0043334F" w14:paraId="1DAD61C9" w14:textId="77777777">
      <w:pPr>
        <w:bidi w:val="0"/>
        <w:contextualSpacing/>
        <w:jc w:val="both"/>
        <w:rPr>
          <w:rFonts w:asciiTheme="minorHAnsi" w:hAnsiTheme="minorHAnsi"/>
          <w:b/>
          <w:sz w:val="22"/>
          <w:szCs w:val="22"/>
        </w:rPr>
      </w:pPr>
      <w:r w:rsidRPr="00AE15DA">
        <w:rPr>
          <w:rFonts w:asciiTheme="minorHAnsi" w:hAnsiTheme="minorHAnsi"/>
          <w:b/>
          <w:sz w:val="22"/>
          <w:szCs w:val="22"/>
          <w:rtl w:val="0"/>
          <w:lang w:val="ru"/>
        </w:rPr>
        <w:t xml:space="preserve">F6. Использование антибиотиков нецелесообразно при бессимптомной бактериурии, за исключением урологических вмешательств, которые могут повредить слизистую. </w:t>
      </w:r>
    </w:p>
    <w:p w:rsidR="00F11DEE" w:rsidRPr="00AE15DA" w:rsidP="0043334F" w14:paraId="1F8D1A5D" w14:textId="77777777">
      <w:pPr>
        <w:bidi w:val="0"/>
        <w:contextualSpacing/>
        <w:jc w:val="both"/>
        <w:rPr>
          <w:rFonts w:asciiTheme="minorHAnsi" w:hAnsiTheme="minorHAnsi"/>
          <w:i/>
          <w:sz w:val="22"/>
          <w:szCs w:val="22"/>
        </w:rPr>
      </w:pPr>
      <w:r w:rsidRPr="00AE15DA">
        <w:rPr>
          <w:rStyle w:val="nowrap"/>
          <w:rFonts w:asciiTheme="minorHAnsi" w:hAnsiTheme="minorHAnsi"/>
          <w:i/>
          <w:sz w:val="22"/>
          <w:szCs w:val="22"/>
          <w:shd w:val="clear" w:color="auto" w:fill="FFFFFF"/>
          <w:rtl w:val="0"/>
          <w:lang w:val="ru"/>
        </w:rPr>
        <w:t xml:space="preserve">* Бессимптомная бактериурия должна быть проверена и вылечена перед урологическими вмешательствами, которые могут повредить слизистую. </w:t>
      </w:r>
    </w:p>
    <w:p w:rsidR="00F11DEE" w:rsidRPr="00AE15DA" w:rsidP="0043334F" w14:paraId="03391A0F" w14:textId="77777777">
      <w:pPr>
        <w:bidi w:val="0"/>
        <w:contextualSpacing/>
        <w:jc w:val="both"/>
        <w:rPr>
          <w:rStyle w:val="nowrap"/>
          <w:rFonts w:asciiTheme="minorHAnsi" w:hAnsiTheme="minorHAnsi"/>
          <w:i/>
          <w:sz w:val="22"/>
          <w:szCs w:val="22"/>
          <w:shd w:val="clear" w:color="auto" w:fill="FFFFFF"/>
        </w:rPr>
      </w:pPr>
      <w:r w:rsidRPr="00AE15DA">
        <w:rPr>
          <w:rStyle w:val="nowrap"/>
          <w:rFonts w:asciiTheme="minorHAnsi" w:hAnsiTheme="minorHAnsi"/>
          <w:i/>
          <w:sz w:val="22"/>
          <w:szCs w:val="22"/>
          <w:shd w:val="clear" w:color="auto" w:fill="FFFFFF"/>
          <w:rtl w:val="0"/>
          <w:lang w:val="ru"/>
        </w:rPr>
        <w:t>* Не рекомендуется проводить скрининг и/или лечение бессимптомной бактериурии у следующих групп пациентов:</w:t>
      </w:r>
    </w:p>
    <w:p w:rsidR="00F11DEE" w:rsidRPr="00AE15DA" w:rsidP="0043334F" w14:paraId="40A974BC" w14:textId="77777777">
      <w:pPr>
        <w:bidi w:val="0"/>
        <w:ind w:firstLine="708"/>
        <w:contextualSpacing/>
        <w:jc w:val="both"/>
        <w:rPr>
          <w:rStyle w:val="nowrap"/>
          <w:rFonts w:asciiTheme="minorHAnsi" w:hAnsiTheme="minorHAnsi"/>
          <w:i/>
          <w:sz w:val="22"/>
          <w:szCs w:val="22"/>
          <w:shd w:val="clear" w:color="auto" w:fill="FFFFFF"/>
        </w:rPr>
      </w:pPr>
      <w:r w:rsidRPr="00AE15DA">
        <w:rPr>
          <w:rStyle w:val="nowrap"/>
          <w:rFonts w:asciiTheme="minorHAnsi" w:hAnsiTheme="minorHAnsi"/>
          <w:i/>
          <w:sz w:val="22"/>
          <w:szCs w:val="22"/>
          <w:shd w:val="clear" w:color="auto" w:fill="FFFFFF"/>
          <w:rtl w:val="0"/>
          <w:lang w:val="ru"/>
        </w:rPr>
        <w:t>Пациенты без факторов риска</w:t>
      </w:r>
    </w:p>
    <w:p w:rsidR="00F11DEE" w:rsidRPr="00AE15DA" w:rsidP="0043334F" w14:paraId="3FF02E7C" w14:textId="77777777">
      <w:pPr>
        <w:bidi w:val="0"/>
        <w:ind w:left="360" w:firstLine="348"/>
        <w:contextualSpacing/>
        <w:jc w:val="both"/>
        <w:rPr>
          <w:rStyle w:val="nowrap"/>
          <w:rFonts w:asciiTheme="minorHAnsi" w:hAnsiTheme="minorHAnsi"/>
          <w:i/>
          <w:sz w:val="22"/>
          <w:szCs w:val="22"/>
          <w:shd w:val="clear" w:color="auto" w:fill="FFFFFF"/>
        </w:rPr>
      </w:pPr>
      <w:r w:rsidRPr="00AE15DA">
        <w:rPr>
          <w:rStyle w:val="nowrap"/>
          <w:rFonts w:asciiTheme="minorHAnsi" w:hAnsiTheme="minorHAnsi"/>
          <w:i/>
          <w:sz w:val="22"/>
          <w:szCs w:val="22"/>
          <w:shd w:val="clear" w:color="auto" w:fill="FFFFFF"/>
          <w:rtl w:val="0"/>
          <w:lang w:val="ru"/>
        </w:rPr>
        <w:t>Пациенты с хорошо контролируемым диабетом</w:t>
      </w:r>
    </w:p>
    <w:p w:rsidR="00F11DEE" w:rsidRPr="00AE15DA" w:rsidP="0043334F" w14:paraId="7C3421E3" w14:textId="77777777">
      <w:pPr>
        <w:bidi w:val="0"/>
        <w:ind w:left="360" w:firstLine="348"/>
        <w:contextualSpacing/>
        <w:jc w:val="both"/>
        <w:rPr>
          <w:rStyle w:val="nowrap"/>
          <w:rFonts w:asciiTheme="minorHAnsi" w:hAnsiTheme="minorHAnsi"/>
          <w:i/>
          <w:sz w:val="22"/>
          <w:szCs w:val="22"/>
          <w:shd w:val="clear" w:color="auto" w:fill="FFFFFF"/>
        </w:rPr>
      </w:pPr>
      <w:r w:rsidRPr="00AE15DA">
        <w:rPr>
          <w:rStyle w:val="nowrap"/>
          <w:rFonts w:asciiTheme="minorHAnsi" w:hAnsiTheme="minorHAnsi"/>
          <w:i/>
          <w:sz w:val="22"/>
          <w:szCs w:val="22"/>
          <w:shd w:val="clear" w:color="auto" w:fill="FFFFFF"/>
          <w:rtl w:val="0"/>
          <w:lang w:val="ru"/>
        </w:rPr>
        <w:t xml:space="preserve">Пациенты, проживающие в доме престарелых </w:t>
      </w:r>
    </w:p>
    <w:p w:rsidR="00F11DEE" w:rsidRPr="00AE15DA" w:rsidP="0043334F" w14:paraId="7704EF4F" w14:textId="77777777">
      <w:pPr>
        <w:bidi w:val="0"/>
        <w:ind w:firstLine="708"/>
        <w:contextualSpacing/>
        <w:jc w:val="both"/>
        <w:rPr>
          <w:rFonts w:asciiTheme="minorHAnsi" w:hAnsiTheme="minorHAnsi"/>
          <w:i/>
          <w:sz w:val="22"/>
          <w:szCs w:val="22"/>
          <w:shd w:val="clear" w:color="auto" w:fill="FFFFFF"/>
        </w:rPr>
      </w:pPr>
      <w:r w:rsidRPr="00AE15DA">
        <w:rPr>
          <w:rFonts w:asciiTheme="minorHAnsi" w:hAnsiTheme="minorHAnsi"/>
          <w:i/>
          <w:sz w:val="22"/>
          <w:szCs w:val="22"/>
          <w:shd w:val="clear" w:color="auto" w:fill="FFFFFF"/>
          <w:rtl w:val="0"/>
          <w:lang w:val="ru"/>
        </w:rPr>
        <w:t>Пациенты с дисфункцией / реконструкцией нижних мочевыводящих путей</w:t>
      </w:r>
    </w:p>
    <w:p w:rsidR="00F11DEE" w:rsidRPr="00AE15DA" w:rsidP="0043334F" w14:paraId="135D8EA1" w14:textId="77777777">
      <w:pPr>
        <w:bidi w:val="0"/>
        <w:ind w:firstLine="708"/>
        <w:contextualSpacing/>
        <w:jc w:val="both"/>
        <w:rPr>
          <w:rFonts w:asciiTheme="minorHAnsi" w:hAnsiTheme="minorHAnsi"/>
          <w:i/>
          <w:sz w:val="22"/>
          <w:szCs w:val="22"/>
          <w:shd w:val="clear" w:color="auto" w:fill="FFFFFF"/>
        </w:rPr>
      </w:pPr>
      <w:r w:rsidRPr="00AE15DA">
        <w:rPr>
          <w:rFonts w:asciiTheme="minorHAnsi" w:hAnsiTheme="minorHAnsi"/>
          <w:i/>
          <w:sz w:val="22"/>
          <w:szCs w:val="22"/>
          <w:shd w:val="clear" w:color="auto" w:fill="FFFFFF"/>
          <w:rtl w:val="0"/>
          <w:lang w:val="ru"/>
        </w:rPr>
        <w:t xml:space="preserve">Пациенты с рецидивирующими инфекциями мочевыводящих путей </w:t>
      </w:r>
    </w:p>
    <w:p w:rsidR="00F11DEE" w:rsidRPr="00AE15DA" w:rsidP="0043334F" w14:paraId="073583BE" w14:textId="77777777">
      <w:pPr>
        <w:bidi w:val="0"/>
        <w:ind w:firstLine="708"/>
        <w:contextualSpacing/>
        <w:jc w:val="both"/>
        <w:rPr>
          <w:rFonts w:asciiTheme="minorHAnsi" w:hAnsiTheme="minorHAnsi"/>
          <w:i/>
          <w:sz w:val="22"/>
          <w:szCs w:val="22"/>
          <w:shd w:val="clear" w:color="auto" w:fill="FFFFFF"/>
        </w:rPr>
      </w:pPr>
      <w:r w:rsidRPr="00AE15DA">
        <w:rPr>
          <w:rFonts w:asciiTheme="minorHAnsi" w:hAnsiTheme="minorHAnsi"/>
          <w:i/>
          <w:sz w:val="22"/>
          <w:szCs w:val="22"/>
          <w:shd w:val="clear" w:color="auto" w:fill="FFFFFF"/>
          <w:rtl w:val="0"/>
          <w:lang w:val="ru"/>
        </w:rPr>
        <w:t>Перед операциями по артропластике</w:t>
      </w:r>
    </w:p>
    <w:p w:rsidR="00A11150" w:rsidRPr="00AE15DA" w:rsidP="0043334F" w14:paraId="2B0BCDEA" w14:textId="77777777">
      <w:pPr>
        <w:bidi w:val="0"/>
        <w:ind w:firstLine="708"/>
        <w:contextualSpacing/>
        <w:jc w:val="both"/>
        <w:rPr>
          <w:rFonts w:asciiTheme="minorHAnsi" w:hAnsiTheme="minorHAnsi"/>
          <w:i/>
          <w:color w:val="3B3838" w:themeColor="background2" w:themeShade="40"/>
          <w:sz w:val="22"/>
          <w:szCs w:val="22"/>
          <w:shd w:val="clear" w:color="auto" w:fill="FFFFFF"/>
        </w:rPr>
      </w:pPr>
      <w:r w:rsidRPr="00AE15DA">
        <w:rPr>
          <w:rFonts w:asciiTheme="minorHAnsi" w:hAnsiTheme="minorHAnsi"/>
          <w:i/>
          <w:sz w:val="22"/>
          <w:szCs w:val="22"/>
          <w:shd w:val="clear" w:color="auto" w:fill="FFFFFF"/>
          <w:rtl w:val="0"/>
          <w:lang w:val="ru"/>
        </w:rPr>
        <w:t>Пациенты с мочевым катетером</w:t>
      </w:r>
    </w:p>
    <w:p w:rsidR="00992E12" w:rsidRPr="00AE15DA" w:rsidP="0043334F" w14:paraId="7EE76531" w14:textId="77777777">
      <w:pPr>
        <w:contextualSpacing/>
        <w:jc w:val="both"/>
        <w:rPr>
          <w:rFonts w:asciiTheme="minorHAnsi" w:hAnsiTheme="minorHAnsi"/>
          <w:b/>
          <w:sz w:val="22"/>
          <w:szCs w:val="22"/>
        </w:rPr>
      </w:pPr>
    </w:p>
    <w:p w:rsidR="00F327A4" w:rsidRPr="00AE15DA" w:rsidP="0043334F" w14:paraId="0B584681" w14:textId="77777777">
      <w:pPr>
        <w:contextualSpacing/>
        <w:jc w:val="both"/>
        <w:rPr>
          <w:rFonts w:asciiTheme="minorHAnsi" w:hAnsiTheme="minorHAnsi"/>
          <w:b/>
          <w:color w:val="000000"/>
          <w:sz w:val="22"/>
          <w:szCs w:val="22"/>
        </w:rPr>
      </w:pPr>
    </w:p>
    <w:p w:rsidR="00415CD8" w:rsidRPr="00AE15DA" w:rsidP="0043334F" w14:paraId="54957537" w14:textId="77777777">
      <w:pPr>
        <w:bidi w:val="0"/>
        <w:contextualSpacing/>
        <w:jc w:val="both"/>
        <w:rPr>
          <w:rFonts w:asciiTheme="minorHAnsi" w:hAnsiTheme="minorHAnsi"/>
          <w:color w:val="000000"/>
          <w:sz w:val="22"/>
          <w:szCs w:val="22"/>
        </w:rPr>
      </w:pPr>
      <w:r w:rsidRPr="00AE15DA">
        <w:rPr>
          <w:rFonts w:asciiTheme="minorHAnsi" w:hAnsiTheme="minorHAnsi"/>
          <w:b/>
          <w:color w:val="000000"/>
          <w:sz w:val="22"/>
          <w:szCs w:val="22"/>
          <w:rtl w:val="0"/>
          <w:lang w:val="ru"/>
        </w:rPr>
        <w:t>F7. Нитрофурантоин не подходит для пациентов с СКФ &lt;30 мл/мин/1,73 м2.</w:t>
      </w:r>
    </w:p>
    <w:p w:rsidR="00415CD8" w:rsidRPr="00AE15DA" w:rsidP="0043334F" w14:paraId="04BE9B39" w14:textId="77777777">
      <w:pPr>
        <w:autoSpaceDE w:val="0"/>
        <w:autoSpaceDN w:val="0"/>
        <w:bidi w:val="0"/>
        <w:adjustRightInd w:val="0"/>
        <w:contextualSpacing/>
        <w:jc w:val="both"/>
        <w:rPr>
          <w:rFonts w:asciiTheme="minorHAnsi" w:hAnsiTheme="minorHAnsi"/>
          <w:i/>
          <w:color w:val="000000"/>
          <w:sz w:val="22"/>
          <w:szCs w:val="22"/>
        </w:rPr>
      </w:pPr>
      <w:r w:rsidRPr="00AE15DA">
        <w:rPr>
          <w:rFonts w:asciiTheme="minorHAnsi" w:hAnsiTheme="minorHAnsi"/>
          <w:color w:val="000000"/>
          <w:sz w:val="22"/>
          <w:szCs w:val="22"/>
          <w:rtl w:val="0"/>
          <w:lang w:val="ru"/>
        </w:rPr>
        <w:t>*</w:t>
      </w:r>
      <w:r w:rsidRPr="00AE15DA" w:rsidR="00281E45">
        <w:rPr>
          <w:rFonts w:asciiTheme="minorHAnsi" w:hAnsiTheme="minorHAnsi"/>
          <w:i/>
          <w:color w:val="000000"/>
          <w:sz w:val="22"/>
          <w:szCs w:val="22"/>
          <w:rtl w:val="0"/>
          <w:lang w:val="ru"/>
        </w:rPr>
        <w:t xml:space="preserve"> Длительное использование нитрофурантоина для подавления лечения инфекций мочевыводящих путей не подходит пожилым людям (из-за риска необратимого фиброза легких, токсичности для печени и периферической невропатии).</w:t>
      </w:r>
    </w:p>
    <w:p w:rsidR="00FA465E" w:rsidRPr="00AE15DA" w:rsidP="0043334F" w14:paraId="1F557DD3" w14:textId="77777777">
      <w:pPr>
        <w:autoSpaceDE w:val="0"/>
        <w:autoSpaceDN w:val="0"/>
        <w:adjustRightInd w:val="0"/>
        <w:contextualSpacing/>
        <w:jc w:val="both"/>
        <w:rPr>
          <w:rFonts w:asciiTheme="minorHAnsi" w:hAnsiTheme="minorHAnsi"/>
          <w:i/>
          <w:color w:val="000000"/>
          <w:sz w:val="22"/>
          <w:szCs w:val="22"/>
        </w:rPr>
      </w:pPr>
    </w:p>
    <w:p w:rsidR="002F3D1A" w:rsidRPr="00AE15DA" w:rsidP="0043334F" w14:paraId="36C67BF4" w14:textId="77777777">
      <w:pPr>
        <w:contextualSpacing/>
        <w:jc w:val="both"/>
        <w:rPr>
          <w:rFonts w:asciiTheme="minorHAnsi" w:hAnsiTheme="minorHAnsi"/>
          <w:b/>
          <w:i/>
          <w:color w:val="4472C4" w:themeColor="accent5"/>
          <w:sz w:val="22"/>
          <w:szCs w:val="22"/>
          <w:u w:val="single"/>
        </w:rPr>
      </w:pPr>
    </w:p>
    <w:p w:rsidR="004816D3" w:rsidRPr="00AE15DA" w:rsidP="0043334F" w14:paraId="7BB1223E" w14:textId="77777777">
      <w:pPr>
        <w:bidi w:val="0"/>
        <w:contextualSpacing/>
        <w:jc w:val="both"/>
        <w:rPr>
          <w:rFonts w:asciiTheme="minorHAnsi" w:hAnsiTheme="minorHAnsi"/>
          <w:b/>
          <w:sz w:val="28"/>
          <w:szCs w:val="28"/>
        </w:rPr>
      </w:pPr>
      <w:r w:rsidRPr="00AE15DA">
        <w:rPr>
          <w:rFonts w:asciiTheme="minorHAnsi" w:hAnsiTheme="minorHAnsi"/>
          <w:b/>
          <w:sz w:val="28"/>
          <w:szCs w:val="28"/>
          <w:rtl w:val="0"/>
          <w:lang w:val="ru"/>
        </w:rPr>
        <w:t>G: Критерии эндокринной системы.</w:t>
      </w:r>
    </w:p>
    <w:p w:rsidR="007C70E3" w:rsidRPr="00AE15DA" w:rsidP="0043334F" w14:paraId="557BA9E5" w14:textId="77777777">
      <w:pPr>
        <w:contextualSpacing/>
        <w:jc w:val="both"/>
        <w:rPr>
          <w:rFonts w:asciiTheme="minorHAnsi" w:hAnsiTheme="minorHAnsi"/>
          <w:b/>
          <w:sz w:val="28"/>
          <w:szCs w:val="28"/>
        </w:rPr>
      </w:pPr>
    </w:p>
    <w:p w:rsidR="0043334F" w:rsidRPr="00AE15DA" w:rsidP="0043334F" w14:paraId="7B286138" w14:textId="77777777">
      <w:pPr>
        <w:bidi w:val="0"/>
        <w:spacing w:before="100" w:beforeAutospacing="1" w:after="100" w:afterAutospacing="1"/>
        <w:contextualSpacing/>
        <w:jc w:val="both"/>
        <w:rPr>
          <w:rFonts w:asciiTheme="minorHAnsi" w:hAnsiTheme="minorHAnsi"/>
          <w:b/>
          <w:sz w:val="22"/>
          <w:szCs w:val="22"/>
        </w:rPr>
      </w:pPr>
      <w:r w:rsidRPr="00AE15DA">
        <w:rPr>
          <w:rFonts w:asciiTheme="minorHAnsi" w:hAnsiTheme="minorHAnsi"/>
          <w:b/>
          <w:sz w:val="22"/>
          <w:szCs w:val="22"/>
          <w:rtl w:val="0"/>
          <w:lang w:val="ru"/>
        </w:rPr>
        <w:t>G1. Жесткий контроль уровня глюкозы в крови (HbA1C &lt;7%) не подходит пациентам с низкой ожидаемой продолжительностью жизни (&lt;5 лет), с падением или когнитивными нарушениями в анамнезе.</w:t>
      </w:r>
    </w:p>
    <w:p w:rsidR="00E456DB" w:rsidRPr="00AE15DA" w:rsidP="0043334F" w14:paraId="58B66C74" w14:textId="77777777">
      <w:pPr>
        <w:autoSpaceDE w:val="0"/>
        <w:autoSpaceDN w:val="0"/>
        <w:adjustRightInd w:val="0"/>
        <w:contextualSpacing/>
        <w:jc w:val="both"/>
        <w:rPr>
          <w:rFonts w:asciiTheme="minorHAnsi" w:hAnsiTheme="minorHAnsi"/>
          <w:b/>
          <w:sz w:val="22"/>
          <w:szCs w:val="22"/>
        </w:rPr>
      </w:pPr>
    </w:p>
    <w:p w:rsidR="002F3D1A" w:rsidRPr="00AE15DA" w:rsidP="0043334F" w14:paraId="696B7C06" w14:textId="77777777">
      <w:pPr>
        <w:autoSpaceDE w:val="0"/>
        <w:autoSpaceDN w:val="0"/>
        <w:adjustRightInd w:val="0"/>
        <w:contextualSpacing/>
        <w:jc w:val="both"/>
        <w:rPr>
          <w:rFonts w:asciiTheme="minorHAnsi" w:hAnsiTheme="minorHAnsi"/>
          <w:b/>
          <w:sz w:val="22"/>
          <w:szCs w:val="22"/>
        </w:rPr>
      </w:pPr>
    </w:p>
    <w:p w:rsidR="00DF1C70" w:rsidRPr="00AE15DA" w:rsidP="0043334F" w14:paraId="5B81E2DF" w14:textId="541327CB">
      <w:pPr>
        <w:autoSpaceDE w:val="0"/>
        <w:autoSpaceDN w:val="0"/>
        <w:bidi w:val="0"/>
        <w:adjustRightInd w:val="0"/>
        <w:contextualSpacing/>
        <w:jc w:val="both"/>
        <w:rPr>
          <w:rFonts w:asciiTheme="minorHAnsi" w:hAnsiTheme="minorHAnsi"/>
          <w:b/>
          <w:sz w:val="22"/>
          <w:szCs w:val="22"/>
        </w:rPr>
      </w:pPr>
      <w:r>
        <w:rPr>
          <w:rFonts w:ascii="Calibri" w:hAnsi="Calibri" w:cs="Calibri"/>
          <w:b/>
          <w:sz w:val="22"/>
          <w:szCs w:val="22"/>
          <w:rtl w:val="0"/>
          <w:lang w:val="ru"/>
        </w:rPr>
        <w:t>#G2. Использование метформина ослабленными или истощенными пожилыми людьми не рекомендуется (из-за побочных эффектов со стороны желудочно-кишечного тракта и анорексического эффекта метформина).</w:t>
      </w:r>
    </w:p>
    <w:p w:rsidR="00415CD8" w:rsidRPr="00AE15DA" w:rsidP="0043334F" w14:paraId="20E9660C" w14:textId="77777777">
      <w:pPr>
        <w:bidi w:val="0"/>
        <w:contextualSpacing/>
        <w:jc w:val="both"/>
        <w:rPr>
          <w:rFonts w:asciiTheme="minorHAnsi" w:hAnsiTheme="minorHAnsi"/>
          <w:i/>
          <w:sz w:val="22"/>
          <w:szCs w:val="22"/>
        </w:rPr>
      </w:pPr>
      <w:r w:rsidRPr="00AE15DA">
        <w:rPr>
          <w:rFonts w:asciiTheme="minorHAnsi" w:hAnsiTheme="minorHAnsi"/>
          <w:i/>
          <w:sz w:val="22"/>
          <w:szCs w:val="22"/>
          <w:rtl w:val="0"/>
          <w:lang w:val="ru"/>
        </w:rPr>
        <w:t>* Решение об использовании метформина в случаях с риском недоедания следует принимать с учетом баланса пользы и вреда.</w:t>
      </w:r>
    </w:p>
    <w:p w:rsidR="00850F9D" w:rsidRPr="00AE15DA" w:rsidP="0043334F" w14:paraId="34FC9674" w14:textId="77777777">
      <w:pPr>
        <w:contextualSpacing/>
        <w:jc w:val="both"/>
        <w:rPr>
          <w:rFonts w:asciiTheme="minorHAnsi" w:hAnsiTheme="minorHAnsi"/>
          <w:i/>
          <w:sz w:val="22"/>
          <w:szCs w:val="22"/>
        </w:rPr>
      </w:pPr>
    </w:p>
    <w:p w:rsidR="002F3D1A" w:rsidRPr="00AE15DA" w:rsidP="0043334F" w14:paraId="2F95F3EB" w14:textId="77777777">
      <w:pPr>
        <w:autoSpaceDE w:val="0"/>
        <w:autoSpaceDN w:val="0"/>
        <w:adjustRightInd w:val="0"/>
        <w:contextualSpacing/>
        <w:jc w:val="both"/>
        <w:rPr>
          <w:rFonts w:asciiTheme="minorHAnsi" w:hAnsiTheme="minorHAnsi" w:cstheme="minorHAnsi"/>
          <w:color w:val="000000"/>
          <w:sz w:val="22"/>
          <w:szCs w:val="22"/>
        </w:rPr>
      </w:pPr>
    </w:p>
    <w:p w:rsidR="00415CD8" w:rsidRPr="00AE15DA" w:rsidP="0043334F" w14:paraId="7C817DCB" w14:textId="77777777">
      <w:pPr>
        <w:autoSpaceDE w:val="0"/>
        <w:autoSpaceDN w:val="0"/>
        <w:bidi w:val="0"/>
        <w:adjustRightInd w:val="0"/>
        <w:contextualSpacing/>
        <w:jc w:val="both"/>
        <w:rPr>
          <w:rFonts w:asciiTheme="minorHAnsi" w:hAnsiTheme="minorHAnsi" w:cstheme="minorHAnsi"/>
          <w:color w:val="000000"/>
          <w:sz w:val="22"/>
          <w:szCs w:val="22"/>
        </w:rPr>
      </w:pPr>
      <w:r w:rsidRPr="00AE15DA">
        <w:rPr>
          <w:rFonts w:asciiTheme="minorHAnsi" w:hAnsiTheme="minorHAnsi"/>
          <w:b/>
          <w:sz w:val="22"/>
          <w:szCs w:val="22"/>
          <w:rtl w:val="0"/>
          <w:lang w:val="ru"/>
        </w:rPr>
        <w:t xml:space="preserve">G3. Метформин не подходит для пациентов с СКФ &lt;30 мл/мин/1,73 м2 (риск лактоацидоза). </w:t>
      </w:r>
    </w:p>
    <w:p w:rsidR="00415CD8" w:rsidRPr="00AE15DA" w:rsidP="0043334F" w14:paraId="0EC3D853" w14:textId="77777777">
      <w:pPr>
        <w:bidi w:val="0"/>
        <w:contextualSpacing/>
        <w:jc w:val="both"/>
        <w:rPr>
          <w:rFonts w:asciiTheme="minorHAnsi" w:hAnsiTheme="minorHAnsi"/>
          <w:i/>
          <w:sz w:val="22"/>
          <w:szCs w:val="22"/>
        </w:rPr>
      </w:pPr>
      <w:r w:rsidRPr="00AE15DA">
        <w:rPr>
          <w:rFonts w:asciiTheme="minorHAnsi" w:hAnsiTheme="minorHAnsi"/>
          <w:i/>
          <w:sz w:val="22"/>
          <w:szCs w:val="22"/>
          <w:rtl w:val="0"/>
          <w:lang w:val="ru"/>
        </w:rPr>
        <w:t>* Дозу метформина следует снизить на 50% для пациентов с СКФ 30-45 мл/мин/1,73 м2.</w:t>
      </w:r>
    </w:p>
    <w:p w:rsidR="002F3D1A" w:rsidRPr="00AE15DA" w:rsidP="0043334F" w14:paraId="0A4E9A22" w14:textId="77777777">
      <w:pPr>
        <w:bidi w:val="0"/>
        <w:contextualSpacing/>
        <w:jc w:val="both"/>
        <w:rPr>
          <w:rFonts w:asciiTheme="minorHAnsi" w:hAnsiTheme="minorHAnsi"/>
          <w:i/>
          <w:sz w:val="22"/>
          <w:szCs w:val="22"/>
        </w:rPr>
      </w:pPr>
      <w:r w:rsidRPr="00AE15DA">
        <w:rPr>
          <w:rFonts w:asciiTheme="minorHAnsi" w:hAnsiTheme="minorHAnsi"/>
          <w:i/>
          <w:sz w:val="22"/>
          <w:szCs w:val="22"/>
          <w:rtl w:val="0"/>
          <w:lang w:val="ru"/>
        </w:rPr>
        <w:t>* Использование метформина также не подходит при других состояниях, повышающих риск лактоацидоза (сердечная недостаточность, печеночная недостаточность, шок или стойкая гемодинамическая нестабильность, ХОБЛ, гипоксия).</w:t>
      </w:r>
    </w:p>
    <w:p w:rsidR="002F3D1A" w:rsidRPr="00AE15DA" w:rsidP="0043334F" w14:paraId="047BC3C0" w14:textId="77777777">
      <w:pPr>
        <w:contextualSpacing/>
        <w:jc w:val="both"/>
        <w:rPr>
          <w:rFonts w:asciiTheme="minorHAnsi" w:hAnsiTheme="minorHAnsi"/>
          <w:i/>
          <w:sz w:val="22"/>
          <w:szCs w:val="22"/>
        </w:rPr>
      </w:pPr>
    </w:p>
    <w:p w:rsidR="002F3D1A" w:rsidRPr="00AE15DA" w:rsidP="0043334F" w14:paraId="34226871" w14:textId="77777777">
      <w:pPr>
        <w:contextualSpacing/>
        <w:jc w:val="both"/>
        <w:rPr>
          <w:rFonts w:asciiTheme="minorHAnsi" w:hAnsiTheme="minorHAnsi" w:cstheme="minorHAnsi"/>
          <w:color w:val="000000"/>
          <w:sz w:val="22"/>
          <w:szCs w:val="22"/>
        </w:rPr>
      </w:pPr>
    </w:p>
    <w:p w:rsidR="002F3D1A" w:rsidRPr="00AE15DA" w:rsidP="0043334F" w14:paraId="270D9490" w14:textId="77777777">
      <w:pPr>
        <w:bidi w:val="0"/>
        <w:contextualSpacing/>
        <w:jc w:val="both"/>
        <w:rPr>
          <w:rFonts w:asciiTheme="minorHAnsi" w:hAnsiTheme="minorHAnsi" w:cstheme="minorHAnsi"/>
          <w:color w:val="000000"/>
          <w:sz w:val="22"/>
          <w:szCs w:val="22"/>
        </w:rPr>
      </w:pPr>
      <w:r w:rsidRPr="00AE15DA">
        <w:rPr>
          <w:rFonts w:asciiTheme="minorHAnsi" w:hAnsiTheme="minorHAnsi"/>
          <w:b/>
          <w:sz w:val="22"/>
          <w:szCs w:val="22"/>
          <w:rtl w:val="0"/>
          <w:lang w:val="ru"/>
        </w:rPr>
        <w:t>G4. Сульфанилмочевины пролонгированного действия, такие как глибенкламид и хлорпропамид, не подходят пациентам с СД 2 типа (длительный риск гипогликемии).</w:t>
      </w:r>
    </w:p>
    <w:p w:rsidR="002F3D1A" w:rsidRPr="00AE15DA" w:rsidP="0043334F" w14:paraId="4F09262A" w14:textId="77777777">
      <w:pPr>
        <w:contextualSpacing/>
        <w:jc w:val="both"/>
        <w:rPr>
          <w:rFonts w:asciiTheme="minorHAnsi" w:hAnsiTheme="minorHAnsi" w:cstheme="minorHAnsi"/>
          <w:color w:val="000000"/>
          <w:sz w:val="22"/>
          <w:szCs w:val="22"/>
        </w:rPr>
      </w:pPr>
    </w:p>
    <w:p w:rsidR="002F3D1A" w:rsidRPr="00AE15DA" w:rsidP="0043334F" w14:paraId="11C3855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p>
    <w:p w:rsidR="002F3D1A" w:rsidRPr="00AE15DA" w:rsidP="0043334F" w14:paraId="14DF3FE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contextualSpacing/>
        <w:jc w:val="both"/>
        <w:rPr>
          <w:rFonts w:asciiTheme="minorHAnsi" w:hAnsiTheme="minorHAnsi" w:cstheme="minorHAnsi"/>
          <w:color w:val="000000"/>
          <w:sz w:val="22"/>
          <w:szCs w:val="22"/>
        </w:rPr>
      </w:pPr>
      <w:r w:rsidRPr="00AE15DA">
        <w:rPr>
          <w:rFonts w:asciiTheme="minorHAnsi" w:hAnsiTheme="minorHAnsi"/>
          <w:b/>
          <w:sz w:val="22"/>
          <w:szCs w:val="22"/>
          <w:rtl w:val="0"/>
          <w:lang w:val="ru"/>
        </w:rPr>
        <w:t xml:space="preserve">G5. Использование тиазолидиндионов (розиглитазон, пиоглитазон) не подходит пациентам с задокументированной сердечной недостаточностью/наличием переломов в прошлом/повышенным риском переломов/ раком мочевого пузыря в анамнезе или находящимся на терапии инсулином (обострение сердечной недостаточности, увеличение риска переломов и рака мочевого пузыря). </w:t>
      </w:r>
    </w:p>
    <w:p w:rsidR="002F3D1A" w:rsidRPr="00AE15DA" w:rsidP="0043334F" w14:paraId="53A3974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p>
    <w:p w:rsidR="00730686" w:rsidRPr="00AE15DA" w:rsidP="0043334F" w14:paraId="48CD0224" w14:textId="77777777">
      <w:pPr>
        <w:spacing w:before="100" w:beforeAutospacing="1" w:after="100" w:afterAutospacing="1"/>
        <w:contextualSpacing/>
        <w:jc w:val="both"/>
        <w:rPr>
          <w:rFonts w:asciiTheme="minorHAnsi" w:hAnsiTheme="minorHAnsi"/>
          <w:sz w:val="22"/>
          <w:szCs w:val="22"/>
          <w:vertAlign w:val="superscript"/>
        </w:rPr>
      </w:pPr>
    </w:p>
    <w:p w:rsidR="002F3D1A" w:rsidRPr="00AE15DA" w:rsidP="0043334F" w14:paraId="298EA8DC" w14:textId="77777777">
      <w:pPr>
        <w:bidi w:val="0"/>
        <w:contextualSpacing/>
        <w:rPr>
          <w:rFonts w:asciiTheme="minorHAnsi" w:hAnsiTheme="minorHAnsi"/>
          <w:b/>
          <w:sz w:val="22"/>
          <w:szCs w:val="22"/>
        </w:rPr>
      </w:pPr>
      <w:r w:rsidRPr="00AE15DA">
        <w:rPr>
          <w:rFonts w:asciiTheme="minorHAnsi" w:hAnsiTheme="minorHAnsi"/>
          <w:b/>
          <w:sz w:val="22"/>
          <w:szCs w:val="22"/>
          <w:rtl w:val="0"/>
          <w:lang w:val="ru"/>
        </w:rPr>
        <w:t>G6. Использование саксаглиптина не рекомендуется пациентам с сердечной недостаточностью.</w:t>
      </w:r>
    </w:p>
    <w:p w:rsidR="002F3D1A" w:rsidRPr="00AE15DA" w:rsidP="0043334F" w14:paraId="60F0D603" w14:textId="77777777">
      <w:pPr>
        <w:contextualSpacing/>
        <w:rPr>
          <w:rFonts w:asciiTheme="minorHAnsi" w:hAnsiTheme="minorHAnsi"/>
          <w:b/>
          <w:sz w:val="22"/>
          <w:szCs w:val="22"/>
        </w:rPr>
      </w:pPr>
    </w:p>
    <w:p w:rsidR="009D067B" w:rsidRPr="00AE15DA" w:rsidP="0043334F" w14:paraId="5FD32A45" w14:textId="77777777">
      <w:pPr>
        <w:pStyle w:val="HTMLPreformatted"/>
        <w:contextualSpacing/>
        <w:jc w:val="both"/>
        <w:rPr>
          <w:rFonts w:asciiTheme="minorHAnsi" w:hAnsiTheme="minorHAnsi" w:cstheme="minorHAnsi"/>
          <w:color w:val="000000"/>
          <w:sz w:val="22"/>
          <w:szCs w:val="22"/>
        </w:rPr>
      </w:pPr>
    </w:p>
    <w:p w:rsidR="00730686" w:rsidRPr="00AE15DA" w:rsidP="0043334F" w14:paraId="5DD1BCAC" w14:textId="77777777">
      <w:pPr>
        <w:bidi w:val="0"/>
        <w:contextualSpacing/>
        <w:rPr>
          <w:rFonts w:asciiTheme="minorHAnsi" w:hAnsiTheme="minorHAnsi"/>
          <w:b/>
          <w:sz w:val="22"/>
          <w:szCs w:val="22"/>
        </w:rPr>
      </w:pPr>
      <w:r w:rsidRPr="00AE15DA">
        <w:rPr>
          <w:rFonts w:asciiTheme="minorHAnsi" w:hAnsiTheme="minorHAnsi"/>
          <w:b/>
          <w:sz w:val="22"/>
          <w:szCs w:val="22"/>
          <w:rtl w:val="0"/>
          <w:lang w:val="ru"/>
        </w:rPr>
        <w:t>G7. Канаглифлозин не подходит для пациентов с диабетом, осложнением ампутации нижних конечностей/тяжелым заболеванием периферических артерий/рецидивирующей инфекцией мочевыводящих путей/мочеполовой инфекцией.</w:t>
      </w:r>
    </w:p>
    <w:p w:rsidR="00D0519F" w:rsidRPr="00AE15DA" w:rsidP="0043334F" w14:paraId="524000C7" w14:textId="77777777">
      <w:pPr>
        <w:bidi w:val="0"/>
        <w:contextualSpacing/>
        <w:rPr>
          <w:rFonts w:asciiTheme="minorHAnsi" w:hAnsiTheme="minorHAnsi"/>
          <w:i/>
          <w:sz w:val="22"/>
          <w:szCs w:val="22"/>
        </w:rPr>
      </w:pPr>
      <w:r w:rsidRPr="00AE15DA">
        <w:rPr>
          <w:rFonts w:asciiTheme="minorHAnsi" w:hAnsiTheme="minorHAnsi"/>
          <w:sz w:val="22"/>
          <w:szCs w:val="22"/>
          <w:rtl w:val="0"/>
          <w:lang w:val="ru"/>
        </w:rPr>
        <w:t>*</w:t>
      </w:r>
      <w:r w:rsidRPr="00AE15DA">
        <w:rPr>
          <w:rFonts w:asciiTheme="minorHAnsi" w:hAnsiTheme="minorHAnsi"/>
          <w:i/>
          <w:sz w:val="22"/>
          <w:szCs w:val="22"/>
          <w:rtl w:val="0"/>
          <w:lang w:val="ru"/>
        </w:rPr>
        <w:t xml:space="preserve"> Ингибиторы SGLT-2 пожилым пациентам обычно следует применять с осторожностью, поскольку они могут вызвать обезвоживание, ургентное недержание мочи и диабетический кетоацидоз. </w:t>
      </w:r>
    </w:p>
    <w:p w:rsidR="00457080" w:rsidRPr="00AE15DA" w:rsidP="0043334F" w14:paraId="7C6ABA84" w14:textId="77777777">
      <w:pPr>
        <w:contextualSpacing/>
        <w:rPr>
          <w:rFonts w:asciiTheme="minorHAnsi" w:hAnsiTheme="minorHAnsi"/>
          <w:i/>
          <w:sz w:val="22"/>
          <w:szCs w:val="22"/>
        </w:rPr>
      </w:pPr>
    </w:p>
    <w:p w:rsidR="00457080" w:rsidRPr="00AE15DA" w:rsidP="0043334F" w14:paraId="609543F5" w14:textId="77777777">
      <w:pPr>
        <w:contextualSpacing/>
        <w:rPr>
          <w:rFonts w:asciiTheme="minorHAnsi" w:hAnsiTheme="minorHAnsi"/>
          <w:i/>
          <w:sz w:val="22"/>
          <w:szCs w:val="22"/>
        </w:rPr>
      </w:pPr>
    </w:p>
    <w:p w:rsidR="00730686" w:rsidRPr="00AE15DA" w:rsidP="0043334F" w14:paraId="60058F4C" w14:textId="77777777">
      <w:pPr>
        <w:autoSpaceDE w:val="0"/>
        <w:autoSpaceDN w:val="0"/>
        <w:bidi w:val="0"/>
        <w:adjustRightInd w:val="0"/>
        <w:contextualSpacing/>
        <w:rPr>
          <w:rFonts w:asciiTheme="minorHAnsi" w:hAnsiTheme="minorHAnsi"/>
          <w:b/>
          <w:sz w:val="22"/>
          <w:szCs w:val="22"/>
        </w:rPr>
      </w:pPr>
      <w:r w:rsidRPr="00AE15DA">
        <w:rPr>
          <w:rFonts w:asciiTheme="minorHAnsi" w:hAnsiTheme="minorHAnsi"/>
          <w:b/>
          <w:sz w:val="22"/>
          <w:szCs w:val="22"/>
          <w:rtl w:val="0"/>
          <w:lang w:val="ru"/>
        </w:rPr>
        <w:t>G8. Нецелесообразно использовать ингибиторы SGLT-2 в случаях, когда СКФ &lt;45 мл/мин/1,73 м2.</w:t>
      </w:r>
    </w:p>
    <w:p w:rsidR="00730686" w:rsidRPr="00AE15DA" w:rsidP="0043334F" w14:paraId="50574667" w14:textId="136939F1">
      <w:pPr>
        <w:autoSpaceDE w:val="0"/>
        <w:autoSpaceDN w:val="0"/>
        <w:bidi w:val="0"/>
        <w:adjustRightInd w:val="0"/>
        <w:contextualSpacing/>
        <w:rPr>
          <w:rFonts w:asciiTheme="minorHAnsi" w:hAnsiTheme="minorHAnsi"/>
          <w:i/>
          <w:sz w:val="22"/>
          <w:szCs w:val="22"/>
        </w:rPr>
      </w:pPr>
      <w:r w:rsidRPr="00AE15DA">
        <w:rPr>
          <w:rFonts w:asciiTheme="minorHAnsi" w:hAnsiTheme="minorHAnsi"/>
          <w:i/>
          <w:sz w:val="22"/>
          <w:szCs w:val="22"/>
          <w:rtl w:val="0"/>
          <w:lang w:val="ru"/>
        </w:rPr>
        <w:t>* Канаглифлозин, эмпаглифлозин и эртуглифлозин не подходят для использования при СКФ &lt;45 мл/мин/1,73 м2, в первую очередь из-за снижения эффективности.</w:t>
      </w:r>
    </w:p>
    <w:p w:rsidR="00730686" w:rsidRPr="00AE15DA" w:rsidP="0043334F" w14:paraId="3F34B78F" w14:textId="77777777">
      <w:pPr>
        <w:bidi w:val="0"/>
        <w:contextualSpacing/>
        <w:rPr>
          <w:rFonts w:asciiTheme="minorHAnsi" w:hAnsiTheme="minorHAnsi"/>
          <w:i/>
          <w:sz w:val="22"/>
          <w:szCs w:val="22"/>
        </w:rPr>
      </w:pPr>
      <w:r w:rsidRPr="00AE15DA">
        <w:rPr>
          <w:rFonts w:asciiTheme="minorHAnsi" w:hAnsiTheme="minorHAnsi"/>
          <w:i/>
          <w:sz w:val="22"/>
          <w:szCs w:val="22"/>
          <w:rtl w:val="0"/>
          <w:lang w:val="ru"/>
        </w:rPr>
        <w:t>* Дапаглифлозин не подходит для случаев со СКФ &lt;60 мл/мин/1,73 м2 из-за его пониженного эффекта.</w:t>
      </w:r>
    </w:p>
    <w:p w:rsidR="00E65BB5" w:rsidRPr="00AE15DA" w:rsidP="0043334F" w14:paraId="6472B021" w14:textId="77777777">
      <w:pPr>
        <w:bidi w:val="0"/>
        <w:contextualSpacing/>
        <w:rPr>
          <w:rFonts w:asciiTheme="minorHAnsi" w:hAnsiTheme="minorHAnsi"/>
          <w:i/>
          <w:sz w:val="22"/>
          <w:szCs w:val="22"/>
        </w:rPr>
      </w:pPr>
      <w:r w:rsidRPr="00AE15DA">
        <w:rPr>
          <w:rFonts w:asciiTheme="minorHAnsi" w:hAnsiTheme="minorHAnsi"/>
          <w:i/>
          <w:sz w:val="22"/>
          <w:szCs w:val="22"/>
          <w:rtl w:val="0"/>
          <w:lang w:val="ru"/>
        </w:rPr>
        <w:t>* Использование ингибиторов SGLT-2 может быть рассмотрено для лечения нефропатии (экскреция альбумина с мочой&gt; 300 мг/день) у пациентов с СКФ 30-60 мл/мин/1,73 м2.</w:t>
      </w:r>
    </w:p>
    <w:p w:rsidR="002F3D1A" w:rsidRPr="00AE15DA" w:rsidP="0043334F" w14:paraId="0A3320CF" w14:textId="77777777">
      <w:pPr>
        <w:tabs>
          <w:tab w:val="left" w:pos="708"/>
        </w:tabs>
        <w:contextualSpacing/>
        <w:jc w:val="both"/>
        <w:rPr>
          <w:rFonts w:asciiTheme="minorHAnsi" w:hAnsiTheme="minorHAnsi" w:cstheme="minorHAnsi"/>
          <w:sz w:val="22"/>
          <w:szCs w:val="22"/>
        </w:rPr>
      </w:pPr>
    </w:p>
    <w:p w:rsidR="002F3D1A" w:rsidRPr="00AE15DA" w:rsidP="0043334F" w14:paraId="667E6E2D" w14:textId="77777777">
      <w:pPr>
        <w:tabs>
          <w:tab w:val="left" w:pos="708"/>
        </w:tabs>
        <w:contextualSpacing/>
        <w:jc w:val="both"/>
        <w:rPr>
          <w:rFonts w:asciiTheme="minorHAnsi" w:hAnsiTheme="minorHAnsi" w:cstheme="minorHAnsi"/>
          <w:sz w:val="22"/>
          <w:szCs w:val="22"/>
        </w:rPr>
      </w:pPr>
    </w:p>
    <w:p w:rsidR="00EA06A2" w:rsidRPr="00AE15DA" w:rsidP="0043334F" w14:paraId="1B55B168" w14:textId="77777777">
      <w:pPr>
        <w:tabs>
          <w:tab w:val="left" w:pos="708"/>
        </w:tabs>
        <w:bidi w:val="0"/>
        <w:contextualSpacing/>
        <w:jc w:val="both"/>
        <w:rPr>
          <w:rFonts w:asciiTheme="minorHAnsi" w:hAnsiTheme="minorHAnsi" w:cstheme="minorHAnsi"/>
          <w:sz w:val="22"/>
          <w:szCs w:val="22"/>
        </w:rPr>
      </w:pPr>
      <w:r w:rsidRPr="00AE15DA">
        <w:rPr>
          <w:rFonts w:asciiTheme="minorHAnsi" w:hAnsiTheme="minorHAnsi"/>
          <w:b/>
          <w:sz w:val="22"/>
          <w:szCs w:val="22"/>
          <w:rtl w:val="0"/>
          <w:lang w:val="ru"/>
        </w:rPr>
        <w:t xml:space="preserve">G9. Использование андрогенов нецелесообразно при низком уровне тестостерона в сыворотке, который не сопровождается симптомами и признаками, связанными с дефицитом андрогенов. </w:t>
      </w:r>
    </w:p>
    <w:p w:rsidR="002F3D1A" w:rsidRPr="00AE15DA" w:rsidP="0043334F" w14:paraId="41839C54" w14:textId="77777777">
      <w:pPr>
        <w:bidi w:val="0"/>
        <w:spacing w:after="100" w:afterAutospacing="1"/>
        <w:contextualSpacing/>
        <w:jc w:val="both"/>
        <w:rPr>
          <w:rFonts w:asciiTheme="minorHAnsi" w:hAnsiTheme="minorHAnsi"/>
          <w:i/>
          <w:sz w:val="22"/>
          <w:szCs w:val="22"/>
        </w:rPr>
      </w:pPr>
      <w:r w:rsidRPr="00AE15DA">
        <w:rPr>
          <w:rFonts w:asciiTheme="minorHAnsi" w:hAnsiTheme="minorHAnsi"/>
          <w:sz w:val="22"/>
          <w:szCs w:val="22"/>
          <w:rtl w:val="0"/>
          <w:lang w:val="ru"/>
        </w:rPr>
        <w:t>*</w:t>
      </w:r>
      <w:r w:rsidRPr="00AE15DA" w:rsidR="00EA06A2">
        <w:rPr>
          <w:rFonts w:asciiTheme="minorHAnsi" w:hAnsiTheme="minorHAnsi"/>
          <w:i/>
          <w:sz w:val="22"/>
          <w:szCs w:val="22"/>
          <w:rtl w:val="0"/>
          <w:lang w:val="ru"/>
        </w:rPr>
        <w:t xml:space="preserve"> Диагноз гипогонадизма ставится при наличии стойкого низкого уровня тестостерона в сыворотке с симптомами и признаками андрогенной недостаточности.</w:t>
      </w:r>
    </w:p>
    <w:p w:rsidR="002F3D1A" w:rsidRPr="00AE15DA" w:rsidP="0043334F" w14:paraId="4E4A874F" w14:textId="77777777">
      <w:pPr>
        <w:spacing w:before="100" w:beforeAutospacing="1"/>
        <w:contextualSpacing/>
        <w:jc w:val="both"/>
        <w:rPr>
          <w:rFonts w:asciiTheme="minorHAnsi" w:hAnsiTheme="minorHAnsi" w:cstheme="minorHAnsi"/>
          <w:color w:val="000000" w:themeColor="text1"/>
          <w:sz w:val="22"/>
          <w:szCs w:val="22"/>
        </w:rPr>
      </w:pPr>
    </w:p>
    <w:p w:rsidR="00FA7B48" w:rsidRPr="00AE15DA" w:rsidP="0043334F" w14:paraId="1C35C19C" w14:textId="77777777">
      <w:pPr>
        <w:bidi w:val="0"/>
        <w:spacing w:before="100" w:beforeAutospacing="1"/>
        <w:contextualSpacing/>
        <w:jc w:val="both"/>
        <w:rPr>
          <w:rFonts w:asciiTheme="minorHAnsi" w:hAnsiTheme="minorHAnsi"/>
          <w:b/>
          <w:sz w:val="22"/>
          <w:szCs w:val="22"/>
        </w:rPr>
      </w:pPr>
      <w:r w:rsidRPr="00AE15DA">
        <w:rPr>
          <w:rFonts w:asciiTheme="minorHAnsi" w:hAnsiTheme="minorHAnsi"/>
          <w:b/>
          <w:sz w:val="22"/>
          <w:szCs w:val="22"/>
          <w:rtl w:val="0"/>
          <w:lang w:val="ru"/>
        </w:rPr>
        <w:t>G10. Системное применение эстрогенов не рекомендуется пациентам с раком груди или венозной тромбоэмболией в анамнезе.</w:t>
      </w:r>
    </w:p>
    <w:p w:rsidR="002F3D1A" w:rsidRPr="00AE15DA" w:rsidP="0043334F" w14:paraId="55514454" w14:textId="77777777">
      <w:pPr>
        <w:bidi w:val="0"/>
        <w:spacing w:after="100" w:afterAutospacing="1"/>
        <w:contextualSpacing/>
        <w:jc w:val="both"/>
        <w:rPr>
          <w:rFonts w:asciiTheme="minorHAnsi" w:hAnsiTheme="minorHAnsi"/>
          <w:bCs/>
          <w:i/>
          <w:sz w:val="22"/>
          <w:szCs w:val="22"/>
        </w:rPr>
      </w:pPr>
      <w:r w:rsidRPr="00AE15DA">
        <w:rPr>
          <w:rFonts w:asciiTheme="minorHAnsi" w:hAnsiTheme="minorHAnsi"/>
          <w:bCs/>
          <w:i/>
          <w:sz w:val="22"/>
          <w:szCs w:val="22"/>
          <w:rtl w:val="0"/>
          <w:lang w:val="ru"/>
        </w:rPr>
        <w:t xml:space="preserve">* Пациентам с раком груди или венозной тромбоэмболией в анамнезе вагинальный эстроген можно назначать после негормонального лечения, </w:t>
      </w:r>
      <w:r w:rsidRPr="00AE15DA" w:rsidR="00F2611F">
        <w:rPr>
          <w:rFonts w:asciiTheme="minorHAnsi" w:hAnsiTheme="minorHAnsi"/>
          <w:i/>
          <w:color w:val="000000" w:themeColor="text1"/>
          <w:sz w:val="22"/>
          <w:szCs w:val="22"/>
          <w:rtl w:val="0"/>
          <w:lang w:val="ru"/>
        </w:rPr>
        <w:t>учитывая баланс пользы и риска</w:t>
      </w:r>
      <w:r w:rsidRPr="00AE15DA">
        <w:rPr>
          <w:rFonts w:asciiTheme="minorHAnsi" w:hAnsiTheme="minorHAnsi"/>
          <w:bCs/>
          <w:i/>
          <w:sz w:val="22"/>
          <w:szCs w:val="22"/>
          <w:rtl w:val="0"/>
          <w:lang w:val="ru"/>
        </w:rPr>
        <w:t>, при таких урогенитальных симптомах, как атрофический вагинит.</w:t>
      </w:r>
    </w:p>
    <w:p w:rsidR="0043334F" w:rsidRPr="00AE15DA" w:rsidP="0043334F" w14:paraId="29B72F5F" w14:textId="77777777">
      <w:pPr>
        <w:spacing w:after="100" w:afterAutospacing="1"/>
        <w:contextualSpacing/>
        <w:jc w:val="both"/>
        <w:rPr>
          <w:rFonts w:asciiTheme="minorHAnsi" w:hAnsiTheme="minorHAnsi"/>
          <w:bCs/>
          <w:i/>
          <w:sz w:val="22"/>
          <w:szCs w:val="22"/>
        </w:rPr>
      </w:pPr>
    </w:p>
    <w:p w:rsidR="00D360FA" w:rsidRPr="00AE15DA" w:rsidP="0043334F" w14:paraId="4526C7D4" w14:textId="77777777">
      <w:pPr>
        <w:spacing w:before="100" w:beforeAutospacing="1" w:after="100" w:afterAutospacing="1"/>
        <w:contextualSpacing/>
        <w:jc w:val="both"/>
        <w:rPr>
          <w:rFonts w:asciiTheme="minorHAnsi" w:hAnsiTheme="minorHAnsi"/>
          <w:b/>
          <w:bCs/>
          <w:i/>
          <w:sz w:val="22"/>
          <w:szCs w:val="22"/>
        </w:rPr>
      </w:pPr>
    </w:p>
    <w:p w:rsidR="002F3D1A" w:rsidRPr="00AE15DA" w:rsidP="0043334F" w14:paraId="7BCCD732" w14:textId="77777777">
      <w:pPr>
        <w:bidi w:val="0"/>
        <w:spacing w:before="100" w:beforeAutospacing="1" w:after="100" w:afterAutospacing="1"/>
        <w:contextualSpacing/>
        <w:jc w:val="both"/>
        <w:rPr>
          <w:rFonts w:asciiTheme="minorHAnsi" w:hAnsiTheme="minorHAnsi"/>
          <w:b/>
          <w:sz w:val="22"/>
          <w:szCs w:val="22"/>
        </w:rPr>
      </w:pPr>
      <w:r w:rsidRPr="00AE15DA">
        <w:rPr>
          <w:rFonts w:asciiTheme="minorHAnsi" w:hAnsiTheme="minorHAnsi"/>
          <w:b/>
          <w:sz w:val="22"/>
          <w:szCs w:val="22"/>
          <w:rtl w:val="0"/>
          <w:lang w:val="ru"/>
        </w:rPr>
        <w:t>G11. Использование эстрогенов без одновременного приема прогестерона не рекомендуется женщинам с неповрежденной маткой (риск рака эндометрия).</w:t>
      </w:r>
    </w:p>
    <w:p w:rsidR="002F3D1A" w:rsidRPr="00AE15DA" w:rsidP="0043334F" w14:paraId="4F2D16DA" w14:textId="77777777">
      <w:pPr>
        <w:pStyle w:val="HTMLPreformatted"/>
        <w:contextualSpacing/>
        <w:jc w:val="both"/>
        <w:rPr>
          <w:rFonts w:asciiTheme="minorHAnsi" w:hAnsiTheme="minorHAnsi" w:cstheme="minorHAnsi"/>
          <w:color w:val="000000"/>
          <w:sz w:val="22"/>
          <w:szCs w:val="22"/>
        </w:rPr>
      </w:pPr>
    </w:p>
    <w:p w:rsidR="00415CD8" w:rsidRPr="00AE15DA" w:rsidP="0043334F" w14:paraId="0FD28B48" w14:textId="77777777">
      <w:pPr>
        <w:pStyle w:val="HTMLPreformatted"/>
        <w:bidi w:val="0"/>
        <w:contextualSpacing/>
        <w:jc w:val="both"/>
        <w:rPr>
          <w:rFonts w:asciiTheme="minorHAnsi" w:hAnsiTheme="minorHAnsi" w:cstheme="minorHAnsi"/>
          <w:color w:val="000000"/>
          <w:sz w:val="22"/>
          <w:szCs w:val="22"/>
        </w:rPr>
      </w:pPr>
      <w:r w:rsidRPr="00AE15DA">
        <w:rPr>
          <w:rFonts w:asciiTheme="minorHAnsi" w:hAnsiTheme="minorHAnsi"/>
          <w:b/>
          <w:color w:val="000000"/>
          <w:sz w:val="22"/>
          <w:szCs w:val="22"/>
          <w:rtl w:val="0"/>
          <w:lang w:val="ru"/>
        </w:rPr>
        <w:t>G12. Использование мегестрола в качестве усилителя аппетита не подходит (минимальное влияние на вес, протромботические побочные эффекты)</w:t>
      </w:r>
      <w:r w:rsidRPr="00AE15DA">
        <w:rPr>
          <w:rFonts w:asciiTheme="minorHAnsi" w:hAnsiTheme="minorHAnsi"/>
          <w:b/>
          <w:sz w:val="22"/>
          <w:szCs w:val="22"/>
          <w:rtl w:val="0"/>
          <w:lang w:val="ru"/>
        </w:rPr>
        <w:t xml:space="preserve">. </w:t>
      </w:r>
    </w:p>
    <w:p w:rsidR="002F3D1A" w:rsidRPr="00AE15DA" w:rsidP="0043334F" w14:paraId="108E5FD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p>
    <w:p w:rsidR="007528C0" w:rsidRPr="00AE15DA" w:rsidP="0043334F" w14:paraId="410068C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contextualSpacing/>
        <w:jc w:val="both"/>
        <w:rPr>
          <w:rFonts w:asciiTheme="minorHAnsi" w:hAnsiTheme="minorHAnsi" w:cstheme="minorHAnsi"/>
          <w:color w:val="000000"/>
          <w:sz w:val="22"/>
          <w:szCs w:val="22"/>
        </w:rPr>
      </w:pPr>
      <w:r w:rsidRPr="00AE15DA">
        <w:rPr>
          <w:rFonts w:asciiTheme="minorHAnsi" w:hAnsiTheme="minorHAnsi"/>
          <w:b/>
          <w:sz w:val="22"/>
          <w:szCs w:val="22"/>
          <w:shd w:val="clear" w:color="auto" w:fill="FFFFFF"/>
          <w:rtl w:val="0"/>
          <w:lang w:val="ru"/>
        </w:rPr>
        <w:t>G13. У пожилых людей с субклиническим гипотиреозом (ТТГ: 4-10 мМЕ/л fT4: N) использование гормонов щитовидной железы нецелесообразно (нет дополнительных преимуществ, потенциальный риск таких побочных эффектов, как фибрилляция предсердий и остеопороз).</w:t>
      </w:r>
    </w:p>
    <w:p w:rsidR="002F3D1A" w:rsidRPr="00AE15DA" w:rsidP="0043334F" w14:paraId="7B7E240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themeColor="text1"/>
          <w:sz w:val="22"/>
          <w:szCs w:val="22"/>
        </w:rPr>
      </w:pPr>
    </w:p>
    <w:p w:rsidR="002F3D1A" w:rsidRPr="00AE15DA" w:rsidP="0043334F" w14:paraId="31391D8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contextualSpacing/>
        <w:jc w:val="both"/>
        <w:rPr>
          <w:rFonts w:asciiTheme="minorHAnsi" w:hAnsiTheme="minorHAnsi" w:cstheme="minorHAnsi"/>
          <w:color w:val="000000" w:themeColor="text1"/>
          <w:sz w:val="22"/>
          <w:szCs w:val="22"/>
        </w:rPr>
      </w:pPr>
      <w:r w:rsidRPr="00AE15DA">
        <w:rPr>
          <w:rFonts w:asciiTheme="minorHAnsi" w:hAnsiTheme="minorHAnsi"/>
          <w:b/>
          <w:sz w:val="28"/>
          <w:szCs w:val="28"/>
          <w:rtl w:val="0"/>
          <w:lang w:val="ru"/>
        </w:rPr>
        <w:t>H: Антимускариновая-антихолинергическая нагрузка</w:t>
      </w:r>
    </w:p>
    <w:p w:rsidR="002F3D1A" w:rsidRPr="00AE15DA" w:rsidP="0043334F" w14:paraId="772E769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themeColor="text1"/>
          <w:sz w:val="22"/>
          <w:szCs w:val="22"/>
        </w:rPr>
      </w:pPr>
    </w:p>
    <w:p w:rsidR="004816D3" w:rsidRPr="00AE15DA" w:rsidP="0043334F" w14:paraId="0E86768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contextualSpacing/>
        <w:jc w:val="both"/>
        <w:rPr>
          <w:rFonts w:asciiTheme="minorHAnsi" w:hAnsiTheme="minorHAnsi" w:cstheme="minorHAnsi"/>
          <w:color w:val="000000" w:themeColor="text1"/>
          <w:sz w:val="22"/>
          <w:szCs w:val="22"/>
        </w:rPr>
      </w:pPr>
      <w:r w:rsidRPr="00AE15DA">
        <w:rPr>
          <w:rFonts w:asciiTheme="minorHAnsi" w:hAnsiTheme="minorHAnsi"/>
          <w:b/>
          <w:sz w:val="22"/>
          <w:szCs w:val="22"/>
          <w:rtl w:val="0"/>
          <w:lang w:val="ru"/>
        </w:rPr>
        <w:t xml:space="preserve">H1. </w:t>
      </w:r>
      <w:r w:rsidRPr="00AE15DA" w:rsidR="00640D00">
        <w:rPr>
          <w:rFonts w:ascii="Symbol" w:hAnsi="Symbol"/>
          <w:b/>
          <w:sz w:val="22"/>
          <w:szCs w:val="22"/>
          <w:rtl w:val="0"/>
          <w:lang w:val="ru"/>
        </w:rPr>
        <w:sym w:font="Symbol" w:char="F05B"/>
      </w:r>
      <w:r w:rsidRPr="00AE15DA">
        <w:rPr>
          <w:rFonts w:asciiTheme="minorHAnsi" w:hAnsiTheme="minorHAnsi"/>
          <w:b/>
          <w:sz w:val="22"/>
          <w:szCs w:val="22"/>
          <w:rtl w:val="0"/>
          <w:lang w:val="ru"/>
        </w:rPr>
        <w:t>Трициклические антидепрессанты, хлорпромазин, тиоридазин, клозапин, оланзапин, гиосцин, пероральный оксибутинин, антигистаминные препараты 1-го поколения (фенирамин, хлорфенирамин, гидроксизин, ципрогептадин, дименгидринат, дифенгидрамин, меклизин и др.)</w:t>
      </w:r>
      <w:r w:rsidRPr="00AE15DA" w:rsidR="00640D00">
        <w:rPr>
          <w:rFonts w:ascii="Symbol" w:hAnsi="Symbol"/>
          <w:b/>
          <w:sz w:val="22"/>
          <w:szCs w:val="22"/>
          <w:rtl w:val="0"/>
          <w:lang w:val="ru"/>
        </w:rPr>
        <w:sym w:font="Symbol" w:char="F05D"/>
      </w:r>
      <w:r w:rsidRPr="00AE15DA">
        <w:rPr>
          <w:rFonts w:asciiTheme="minorHAnsi" w:hAnsiTheme="minorHAnsi"/>
          <w:b/>
          <w:sz w:val="22"/>
          <w:szCs w:val="22"/>
          <w:rtl w:val="0"/>
          <w:lang w:val="ru"/>
        </w:rPr>
        <w:t xml:space="preserve"> </w:t>
      </w:r>
    </w:p>
    <w:p w:rsidR="004816D3" w:rsidRPr="00AE15DA" w:rsidP="0043334F" w14:paraId="577D20A2" w14:textId="77777777">
      <w:pPr>
        <w:bidi w:val="0"/>
        <w:contextualSpacing/>
        <w:rPr>
          <w:rFonts w:asciiTheme="minorHAnsi" w:hAnsiTheme="minorHAnsi"/>
          <w:b/>
          <w:sz w:val="22"/>
          <w:szCs w:val="22"/>
        </w:rPr>
      </w:pPr>
      <w:r w:rsidRPr="00AE15DA">
        <w:rPr>
          <w:rFonts w:asciiTheme="minorHAnsi" w:hAnsiTheme="minorHAnsi"/>
          <w:b/>
          <w:sz w:val="22"/>
          <w:szCs w:val="22"/>
          <w:rtl w:val="0"/>
          <w:lang w:val="ru"/>
        </w:rPr>
        <w:tab/>
        <w:t>Падение/запор/узкоугольная глаукома/деменция/делирий/задержка мочи/обструктивные симптомы СНМП у мужчин/одновременный прием препаратов с высоким антихолинергическим действием.</w:t>
      </w:r>
    </w:p>
    <w:p w:rsidR="004816D3" w:rsidRPr="00AE15DA" w:rsidP="0043334F" w14:paraId="7659C4A9" w14:textId="77777777">
      <w:pPr>
        <w:bidi w:val="0"/>
        <w:contextualSpacing/>
        <w:jc w:val="both"/>
        <w:rPr>
          <w:rFonts w:asciiTheme="minorHAnsi" w:hAnsiTheme="minorHAnsi"/>
          <w:i/>
          <w:sz w:val="22"/>
          <w:szCs w:val="22"/>
          <w:shd w:val="clear" w:color="auto" w:fill="FFFFFF"/>
        </w:rPr>
      </w:pPr>
      <w:r w:rsidRPr="00AE15DA">
        <w:rPr>
          <w:rFonts w:asciiTheme="minorHAnsi" w:hAnsiTheme="minorHAnsi"/>
          <w:i/>
          <w:sz w:val="22"/>
          <w:szCs w:val="22"/>
          <w:shd w:val="clear" w:color="auto" w:fill="FFFFFF"/>
          <w:rtl w:val="0"/>
          <w:lang w:val="ru"/>
        </w:rPr>
        <w:t>* В целом, пожилым людям не стоит отдавать предпочтение препаратам с высоким антихолинергическим действием, а в случае клинической необходимости следует внимательно следить за побочными эффектами.</w:t>
      </w:r>
    </w:p>
    <w:p w:rsidR="002F3D1A" w:rsidRPr="00AE15DA" w:rsidP="0043334F" w14:paraId="6CDA711E" w14:textId="77777777">
      <w:pPr>
        <w:bidi w:val="0"/>
        <w:spacing w:after="100" w:afterAutospacing="1"/>
        <w:contextualSpacing/>
        <w:jc w:val="both"/>
        <w:rPr>
          <w:rFonts w:asciiTheme="minorHAnsi" w:hAnsiTheme="minorHAnsi"/>
          <w:i/>
          <w:sz w:val="22"/>
          <w:szCs w:val="22"/>
        </w:rPr>
      </w:pPr>
      <w:r w:rsidRPr="00AE15DA">
        <w:rPr>
          <w:rFonts w:asciiTheme="minorHAnsi" w:hAnsiTheme="minorHAnsi"/>
          <w:i/>
          <w:sz w:val="22"/>
          <w:szCs w:val="22"/>
          <w:rtl w:val="0"/>
          <w:lang w:val="ru"/>
        </w:rPr>
        <w:t>* Парентеральное применение антигистаминных препаратов 1-го поколения целесообразно при наличии острой аллергической реакции.</w:t>
      </w:r>
    </w:p>
    <w:p w:rsidR="002F3D1A" w:rsidRPr="00AE15DA" w:rsidP="0043334F" w14:paraId="13327121" w14:textId="77777777">
      <w:pPr>
        <w:spacing w:after="100" w:afterAutospacing="1"/>
        <w:contextualSpacing/>
        <w:jc w:val="both"/>
        <w:rPr>
          <w:rFonts w:asciiTheme="minorHAnsi" w:hAnsiTheme="minorHAnsi"/>
          <w:i/>
          <w:sz w:val="22"/>
          <w:szCs w:val="22"/>
        </w:rPr>
      </w:pPr>
    </w:p>
    <w:p w:rsidR="002F3D1A" w:rsidRPr="00AE15DA" w:rsidP="0043334F" w14:paraId="0A81567C" w14:textId="77777777">
      <w:pPr>
        <w:contextualSpacing/>
        <w:jc w:val="both"/>
        <w:rPr>
          <w:rFonts w:asciiTheme="minorHAnsi" w:hAnsiTheme="minorHAnsi" w:cstheme="minorHAnsi"/>
          <w:color w:val="000000"/>
          <w:sz w:val="22"/>
          <w:szCs w:val="22"/>
        </w:rPr>
      </w:pPr>
    </w:p>
    <w:p w:rsidR="002F3D1A" w:rsidRPr="00AE15DA" w:rsidP="0043334F" w14:paraId="33205FE6" w14:textId="77777777">
      <w:pPr>
        <w:bidi w:val="0"/>
        <w:contextualSpacing/>
        <w:jc w:val="both"/>
        <w:rPr>
          <w:rFonts w:asciiTheme="minorHAnsi" w:hAnsiTheme="minorHAnsi"/>
          <w:b/>
          <w:sz w:val="28"/>
          <w:szCs w:val="28"/>
        </w:rPr>
      </w:pPr>
      <w:r w:rsidRPr="00AE15DA">
        <w:rPr>
          <w:rFonts w:asciiTheme="minorHAnsi" w:hAnsiTheme="minorHAnsi"/>
          <w:b/>
          <w:sz w:val="28"/>
          <w:szCs w:val="28"/>
          <w:rtl w:val="0"/>
          <w:lang w:val="ru"/>
        </w:rPr>
        <w:t>J: Дополнения.</w:t>
      </w:r>
    </w:p>
    <w:p w:rsidR="002F3D1A" w:rsidRPr="00AE15DA" w:rsidP="0043334F" w14:paraId="6C41EAFA" w14:textId="77777777">
      <w:pPr>
        <w:contextualSpacing/>
        <w:jc w:val="both"/>
        <w:rPr>
          <w:rFonts w:asciiTheme="minorHAnsi" w:hAnsiTheme="minorHAnsi"/>
          <w:b/>
          <w:sz w:val="28"/>
          <w:szCs w:val="28"/>
        </w:rPr>
      </w:pPr>
    </w:p>
    <w:p w:rsidR="00D21A73" w:rsidRPr="00AE15DA" w:rsidP="0043334F" w14:paraId="37E05D73" w14:textId="77777777">
      <w:pPr>
        <w:bidi w:val="0"/>
        <w:contextualSpacing/>
        <w:jc w:val="both"/>
        <w:rPr>
          <w:rFonts w:asciiTheme="minorHAnsi" w:hAnsiTheme="minorHAnsi"/>
          <w:b/>
          <w:sz w:val="28"/>
          <w:szCs w:val="28"/>
        </w:rPr>
      </w:pPr>
      <w:r w:rsidRPr="00AE15DA">
        <w:rPr>
          <w:rFonts w:asciiTheme="minorHAnsi" w:hAnsiTheme="minorHAnsi"/>
          <w:b/>
          <w:sz w:val="22"/>
          <w:szCs w:val="22"/>
          <w:rtl w:val="0"/>
          <w:lang w:val="ru"/>
        </w:rPr>
        <w:t xml:space="preserve">J1. Использование экстракта гинкго билоба нецелесообразно в случаях с риском кровотечения (применение антикоагулянтов, применение НПВП, значительные кровотечения в анамнезе). </w:t>
      </w:r>
    </w:p>
    <w:p w:rsidR="002F3D1A" w:rsidRPr="00AE15DA" w:rsidP="0043334F" w14:paraId="356DDC85" w14:textId="77777777">
      <w:pPr>
        <w:shd w:val="clear" w:color="auto" w:fill="FFFFFF"/>
        <w:bidi w:val="0"/>
        <w:spacing w:after="100" w:afterAutospacing="1"/>
        <w:contextualSpacing/>
        <w:jc w:val="both"/>
        <w:rPr>
          <w:rFonts w:asciiTheme="minorHAnsi" w:hAnsiTheme="minorHAnsi"/>
          <w:i/>
          <w:color w:val="000000" w:themeColor="text1"/>
          <w:sz w:val="22"/>
          <w:szCs w:val="22"/>
        </w:rPr>
      </w:pPr>
      <w:r w:rsidRPr="00AE15DA">
        <w:rPr>
          <w:rFonts w:asciiTheme="minorHAnsi" w:hAnsiTheme="minorHAnsi"/>
          <w:color w:val="000000"/>
          <w:sz w:val="22"/>
          <w:szCs w:val="22"/>
          <w:rtl w:val="0"/>
          <w:lang w:val="ru"/>
        </w:rPr>
        <w:t>*</w:t>
      </w:r>
      <w:r w:rsidRPr="00AE15DA">
        <w:rPr>
          <w:rFonts w:asciiTheme="minorHAnsi" w:hAnsiTheme="minorHAnsi"/>
          <w:i/>
          <w:color w:val="000000"/>
          <w:sz w:val="22"/>
          <w:szCs w:val="22"/>
          <w:rtl w:val="0"/>
          <w:lang w:val="ru"/>
        </w:rPr>
        <w:t xml:space="preserve"> Риск кровотечения увеличивается при использовании аспирина вместе с гинкго билоба, возможно, будет более целесообразным не использовать их вместе.</w:t>
      </w:r>
    </w:p>
    <w:p w:rsidR="002F3D1A" w:rsidRPr="00AE15DA" w:rsidP="0043334F" w14:paraId="52B1A8B1" w14:textId="77777777">
      <w:pPr>
        <w:shd w:val="clear" w:color="auto" w:fill="FFFFFF"/>
        <w:spacing w:after="100" w:afterAutospacing="1"/>
        <w:contextualSpacing/>
        <w:jc w:val="both"/>
        <w:rPr>
          <w:rFonts w:asciiTheme="minorHAnsi" w:hAnsiTheme="minorHAnsi"/>
          <w:color w:val="000000" w:themeColor="text1"/>
          <w:sz w:val="22"/>
          <w:szCs w:val="22"/>
        </w:rPr>
      </w:pPr>
    </w:p>
    <w:p w:rsidR="00F613FF" w:rsidRPr="00AE15DA" w:rsidP="0043334F" w14:paraId="6735D778" w14:textId="77777777">
      <w:pPr>
        <w:shd w:val="clear" w:color="auto" w:fill="FFFFFF"/>
        <w:spacing w:before="100" w:beforeAutospacing="1" w:after="100" w:afterAutospacing="1"/>
        <w:contextualSpacing/>
        <w:jc w:val="both"/>
        <w:rPr>
          <w:rFonts w:asciiTheme="minorHAnsi" w:hAnsiTheme="minorHAnsi" w:cstheme="minorHAnsi"/>
          <w:color w:val="000000" w:themeColor="text1"/>
          <w:sz w:val="22"/>
          <w:szCs w:val="22"/>
        </w:rPr>
      </w:pPr>
    </w:p>
    <w:p w:rsidR="00F613FF" w:rsidRPr="00AE15DA" w:rsidP="0043334F" w14:paraId="1797F54E" w14:textId="77777777">
      <w:pPr>
        <w:shd w:val="clear" w:color="auto" w:fill="FFFFFF"/>
        <w:spacing w:before="100" w:beforeAutospacing="1" w:after="100" w:afterAutospacing="1"/>
        <w:contextualSpacing/>
        <w:jc w:val="both"/>
        <w:rPr>
          <w:rFonts w:asciiTheme="minorHAnsi" w:hAnsiTheme="minorHAnsi" w:cstheme="minorHAnsi"/>
          <w:color w:val="000000" w:themeColor="text1"/>
          <w:sz w:val="22"/>
          <w:szCs w:val="22"/>
        </w:rPr>
      </w:pPr>
    </w:p>
    <w:p w:rsidR="009361B0" w:rsidRPr="00AE15DA" w:rsidP="0043334F" w14:paraId="3BAA7B97" w14:textId="636F11A5">
      <w:pPr>
        <w:shd w:val="clear" w:color="auto" w:fill="FFFFFF"/>
        <w:bidi w:val="0"/>
        <w:spacing w:before="100" w:beforeAutospacing="1" w:after="100" w:afterAutospacing="1"/>
        <w:contextualSpacing/>
        <w:jc w:val="both"/>
        <w:rPr>
          <w:rFonts w:asciiTheme="minorHAnsi" w:hAnsiTheme="minorHAnsi" w:cstheme="minorHAnsi"/>
          <w:color w:val="000000" w:themeColor="text1"/>
          <w:sz w:val="22"/>
          <w:szCs w:val="22"/>
        </w:rPr>
      </w:pPr>
      <w:r w:rsidRPr="00AE15DA">
        <w:rPr>
          <w:rFonts w:asciiTheme="minorHAnsi" w:hAnsiTheme="minorHAnsi"/>
          <w:b/>
          <w:sz w:val="22"/>
          <w:szCs w:val="22"/>
          <w:rtl w:val="0"/>
          <w:lang w:val="ru"/>
        </w:rPr>
        <w:t>J2. Зверобой (продырявленный) не подходит для системного применения пациентами, принимающими антидепрессанты (особенно с риском серотонинергического синдрома с СИОЗС), и пациентами, принимающими препараты, метаболизируемые цитохромом p450 (например, дигоксин, теофиллин, варфарин, карбамазепин, фенитоин, фенобарбитал) - зверобой активирует цитохром p450.</w:t>
      </w:r>
    </w:p>
    <w:p w:rsidR="00A8214A" w:rsidRPr="00AE15DA" w:rsidP="0043334F" w14:paraId="3A140F84" w14:textId="77777777">
      <w:pPr>
        <w:contextualSpacing/>
        <w:jc w:val="both"/>
        <w:rPr>
          <w:rFonts w:asciiTheme="minorHAnsi" w:hAnsiTheme="minorHAnsi"/>
          <w:b/>
          <w:color w:val="000000" w:themeColor="text1"/>
          <w:sz w:val="22"/>
          <w:szCs w:val="22"/>
        </w:rPr>
      </w:pPr>
    </w:p>
    <w:p w:rsidR="00A8214A" w:rsidRPr="00AE15DA" w:rsidP="0043334F" w14:paraId="2EA3FB18" w14:textId="343B9DEB">
      <w:pPr>
        <w:bidi w:val="0"/>
        <w:contextualSpacing/>
        <w:jc w:val="both"/>
        <w:rPr>
          <w:rFonts w:asciiTheme="minorHAnsi" w:hAnsiTheme="minorHAnsi"/>
          <w:b/>
          <w:color w:val="000000" w:themeColor="text1"/>
          <w:sz w:val="22"/>
          <w:szCs w:val="22"/>
        </w:rPr>
      </w:pPr>
      <w:r>
        <w:rPr>
          <w:rFonts w:ascii="Calibri" w:hAnsi="Calibri" w:cs="Calibri"/>
          <w:b/>
          <w:sz w:val="22"/>
          <w:szCs w:val="22"/>
          <w:rtl w:val="0"/>
          <w:lang w:val="ru"/>
        </w:rPr>
        <w:t>#</w:t>
      </w:r>
      <w:r w:rsidRPr="00AE15DA" w:rsidR="00552087">
        <w:rPr>
          <w:rFonts w:asciiTheme="minorHAnsi" w:hAnsiTheme="minorHAnsi"/>
          <w:b/>
          <w:color w:val="000000" w:themeColor="text1"/>
          <w:sz w:val="22"/>
          <w:szCs w:val="22"/>
          <w:rtl w:val="0"/>
          <w:lang w:val="ru"/>
        </w:rPr>
        <w:t>J3. Добавки не подходят пациентам, принимающим варфарин (из-за возможного повышенного риска кровотечения)</w:t>
      </w:r>
    </w:p>
    <w:p w:rsidR="00F613FF" w:rsidRPr="00AE15DA" w:rsidP="0043334F" w14:paraId="63E48DC6" w14:textId="77777777">
      <w:pPr>
        <w:bidi w:val="0"/>
        <w:contextualSpacing/>
        <w:jc w:val="both"/>
        <w:rPr>
          <w:rFonts w:asciiTheme="minorHAnsi" w:hAnsiTheme="minorHAnsi"/>
          <w:i/>
          <w:color w:val="000000" w:themeColor="text1"/>
          <w:sz w:val="22"/>
          <w:szCs w:val="22"/>
        </w:rPr>
      </w:pPr>
      <w:r w:rsidRPr="00AE15DA">
        <w:rPr>
          <w:rFonts w:asciiTheme="minorHAnsi" w:hAnsiTheme="minorHAnsi"/>
          <w:color w:val="000000" w:themeColor="text1"/>
          <w:sz w:val="22"/>
          <w:szCs w:val="22"/>
          <w:rtl w:val="0"/>
          <w:lang w:val="ru"/>
        </w:rPr>
        <w:t>*</w:t>
      </w:r>
      <w:r w:rsidRPr="00AE15DA">
        <w:rPr>
          <w:rFonts w:asciiTheme="minorHAnsi" w:hAnsiTheme="minorHAnsi"/>
          <w:i/>
          <w:color w:val="000000" w:themeColor="text1"/>
          <w:sz w:val="22"/>
          <w:szCs w:val="22"/>
          <w:rtl w:val="0"/>
          <w:lang w:val="ru"/>
        </w:rPr>
        <w:t xml:space="preserve"> Многие пероральные добавки (например, женьшень, чеснок, куркума, имбирь, дьявольский коготь, зверобой, коэнзим Q10, зеленый чай и т. д.) могут увеличить риск кровотечения за счет усиления антикоагулянтного эффекта варфарина.</w:t>
      </w:r>
    </w:p>
    <w:p w:rsidR="00F613FF" w:rsidRPr="00AE15DA" w:rsidP="0043334F" w14:paraId="521FDEC3" w14:textId="77777777">
      <w:pPr>
        <w:contextualSpacing/>
        <w:jc w:val="both"/>
        <w:rPr>
          <w:rFonts w:asciiTheme="minorHAnsi" w:hAnsiTheme="minorHAnsi"/>
          <w:i/>
          <w:color w:val="000000" w:themeColor="text1"/>
          <w:sz w:val="22"/>
          <w:szCs w:val="22"/>
        </w:rPr>
      </w:pPr>
    </w:p>
    <w:p w:rsidR="00846115" w:rsidP="0043334F" w14:paraId="33678B18" w14:textId="03DEC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p>
    <w:p w:rsidR="00FC26A6" w:rsidP="0043334F" w14:paraId="15625C0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p>
    <w:p w:rsidR="00121BFE" w:rsidRPr="000C6676" w:rsidP="00121BFE" w14:paraId="2D9FD5DA" w14:textId="4ED68353">
      <w:pPr>
        <w:bidi w:val="0"/>
        <w:contextualSpacing/>
        <w:jc w:val="both"/>
        <w:rPr>
          <w:rFonts w:asciiTheme="minorHAnsi" w:hAnsiTheme="minorHAnsi" w:cstheme="minorHAnsi"/>
          <w:bCs/>
          <w:i/>
        </w:rPr>
        <w:sectPr w:rsidSect="003E168B">
          <w:pgSz w:w="11906" w:h="16838"/>
          <w:pgMar w:top="1417" w:right="1417" w:bottom="1417" w:left="1417" w:header="708" w:footer="708" w:gutter="0"/>
          <w:cols w:space="708"/>
          <w:docGrid w:linePitch="360"/>
        </w:sectPr>
      </w:pPr>
      <w:r w:rsidRPr="000C6676">
        <w:rPr>
          <w:rFonts w:asciiTheme="minorHAnsi" w:hAnsiTheme="minorHAnsi" w:cstheme="minorHAnsi"/>
          <w:bCs/>
          <w:rtl w:val="0"/>
          <w:lang w:val="ru"/>
        </w:rPr>
        <w:t>#</w:t>
      </w:r>
      <w:r w:rsidRPr="000C6676">
        <w:rPr>
          <w:rFonts w:asciiTheme="minorHAnsi" w:hAnsiTheme="minorHAnsi" w:cstheme="minorHAnsi"/>
          <w:bCs/>
          <w:color w:val="000000"/>
          <w:shd w:val="clear" w:color="auto" w:fill="FFFFFF"/>
          <w:rtl w:val="0"/>
          <w:lang w:val="ru"/>
        </w:rPr>
        <w:t xml:space="preserve"> Критерии по которым в панельном исследовании #International Delphi отсутствует консенсус</w:t>
      </w:r>
    </w:p>
    <w:tbl>
      <w:tblPr>
        <w:tblpPr w:leftFromText="141" w:rightFromText="141" w:vertAnchor="text" w:horzAnchor="margin" w:tblpY="-1030"/>
        <w:tblW w:w="6877" w:type="dxa"/>
        <w:tblCellMar>
          <w:left w:w="70" w:type="dxa"/>
          <w:right w:w="70" w:type="dxa"/>
        </w:tblCellMar>
        <w:tblLook w:val="04A0"/>
      </w:tblPr>
      <w:tblGrid>
        <w:gridCol w:w="6877"/>
      </w:tblGrid>
      <w:tr w14:paraId="6FF6A4F9" w14:textId="77777777" w:rsidTr="00FC26A6">
        <w:tblPrEx>
          <w:tblW w:w="6877" w:type="dxa"/>
          <w:tblCellMar>
            <w:left w:w="70" w:type="dxa"/>
            <w:right w:w="70" w:type="dxa"/>
          </w:tblCellMar>
          <w:tblLook w:val="04A0"/>
        </w:tblPrEx>
        <w:trPr>
          <w:trHeight w:val="269"/>
        </w:trPr>
        <w:tc>
          <w:tcPr>
            <w:tcW w:w="6877" w:type="dxa"/>
            <w:tcBorders>
              <w:top w:val="nil"/>
              <w:left w:val="nil"/>
              <w:bottom w:val="nil"/>
              <w:right w:val="nil"/>
            </w:tcBorders>
            <w:shd w:val="clear" w:color="auto" w:fill="auto"/>
            <w:noWrap/>
            <w:vAlign w:val="bottom"/>
            <w:hideMark/>
          </w:tcPr>
          <w:p w:rsidR="00FC26A6" w:rsidP="00FC26A6" w14:paraId="2C1FDBDE" w14:textId="77777777">
            <w:pPr>
              <w:bidi w:val="0"/>
              <w:rPr>
                <w:rFonts w:ascii="Calibri" w:hAnsi="Calibri"/>
                <w:b/>
              </w:rPr>
            </w:pPr>
            <w:r>
              <w:rPr>
                <w:rFonts w:ascii="Calibri" w:hAnsi="Calibri"/>
                <w:b/>
                <w:rtl w:val="0"/>
                <w:lang w:val="ru"/>
              </w:rPr>
              <w:t>Сокращения:</w:t>
            </w:r>
          </w:p>
          <w:p w:rsidR="00FC26A6" w:rsidP="00FC26A6" w14:paraId="5D42A0E6" w14:textId="77777777">
            <w:pPr>
              <w:rPr>
                <w:rFonts w:ascii="Calibri" w:hAnsi="Calibri"/>
                <w:b/>
              </w:rPr>
            </w:pPr>
          </w:p>
          <w:p w:rsidR="00FC26A6" w:rsidRPr="009C777C" w:rsidP="00FC26A6" w14:paraId="60237BCF" w14:textId="77777777">
            <w:pPr>
              <w:bidi w:val="0"/>
              <w:rPr>
                <w:rFonts w:ascii="Calibri" w:hAnsi="Calibri"/>
                <w:bCs/>
              </w:rPr>
            </w:pPr>
            <w:r w:rsidRPr="009C777C">
              <w:rPr>
                <w:rFonts w:ascii="Calibri" w:hAnsi="Calibri"/>
                <w:bCs/>
                <w:rtl w:val="0"/>
                <w:lang w:val="ru"/>
              </w:rPr>
              <w:t>AF: Мерцательная аритмия.</w:t>
            </w:r>
          </w:p>
          <w:p w:rsidR="00FC26A6" w:rsidRPr="0063161F" w:rsidP="00FC26A6" w14:paraId="4C518F63" w14:textId="77777777">
            <w:pPr>
              <w:bidi w:val="0"/>
              <w:rPr>
                <w:rFonts w:ascii="Calibri" w:hAnsi="Calibri"/>
              </w:rPr>
            </w:pPr>
            <w:r w:rsidRPr="0063161F">
              <w:rPr>
                <w:rFonts w:ascii="Calibri" w:hAnsi="Calibri"/>
                <w:rtl w:val="0"/>
                <w:lang w:val="ru"/>
              </w:rPr>
              <w:t>ИАПФ: ингибиторы ангиотензинпревращающего фермента</w:t>
            </w:r>
          </w:p>
        </w:tc>
      </w:tr>
      <w:tr w14:paraId="50587585" w14:textId="77777777" w:rsidTr="00FC26A6">
        <w:tblPrEx>
          <w:tblW w:w="6877" w:type="dxa"/>
          <w:tblCellMar>
            <w:left w:w="70" w:type="dxa"/>
            <w:right w:w="70" w:type="dxa"/>
          </w:tblCellMar>
          <w:tblLook w:val="04A0"/>
        </w:tblPrEx>
        <w:trPr>
          <w:trHeight w:val="269"/>
        </w:trPr>
        <w:tc>
          <w:tcPr>
            <w:tcW w:w="6877" w:type="dxa"/>
            <w:tcBorders>
              <w:top w:val="nil"/>
              <w:left w:val="nil"/>
              <w:bottom w:val="nil"/>
              <w:right w:val="nil"/>
            </w:tcBorders>
            <w:shd w:val="clear" w:color="auto" w:fill="auto"/>
            <w:noWrap/>
            <w:vAlign w:val="bottom"/>
            <w:hideMark/>
          </w:tcPr>
          <w:p w:rsidR="00FC26A6" w:rsidRPr="0063161F" w:rsidP="00FC26A6" w14:paraId="6423E6C1" w14:textId="77777777">
            <w:pPr>
              <w:bidi w:val="0"/>
              <w:rPr>
                <w:rFonts w:ascii="Calibri" w:hAnsi="Calibri"/>
              </w:rPr>
            </w:pPr>
            <w:r w:rsidRPr="0063161F">
              <w:rPr>
                <w:rFonts w:ascii="Calibri" w:hAnsi="Calibri"/>
                <w:rtl w:val="0"/>
                <w:lang w:val="ru"/>
              </w:rPr>
              <w:t>БРА: блокаторы рецепторов ангиотензина</w:t>
            </w:r>
          </w:p>
        </w:tc>
      </w:tr>
      <w:tr w14:paraId="5125DA48" w14:textId="77777777" w:rsidTr="00FC26A6">
        <w:tblPrEx>
          <w:tblW w:w="6877" w:type="dxa"/>
          <w:tblCellMar>
            <w:left w:w="70" w:type="dxa"/>
            <w:right w:w="70" w:type="dxa"/>
          </w:tblCellMar>
          <w:tblLook w:val="04A0"/>
        </w:tblPrEx>
        <w:trPr>
          <w:trHeight w:val="269"/>
        </w:trPr>
        <w:tc>
          <w:tcPr>
            <w:tcW w:w="6877" w:type="dxa"/>
            <w:tcBorders>
              <w:top w:val="nil"/>
              <w:left w:val="nil"/>
              <w:bottom w:val="nil"/>
              <w:right w:val="nil"/>
            </w:tcBorders>
            <w:shd w:val="clear" w:color="auto" w:fill="auto"/>
            <w:noWrap/>
            <w:vAlign w:val="bottom"/>
            <w:hideMark/>
          </w:tcPr>
          <w:p w:rsidR="00FC26A6" w:rsidP="00FC26A6" w14:paraId="6CA14F5F" w14:textId="77777777">
            <w:pPr>
              <w:bidi w:val="0"/>
              <w:rPr>
                <w:rFonts w:ascii="Calibri" w:hAnsi="Calibri"/>
              </w:rPr>
            </w:pPr>
            <w:r w:rsidRPr="0063161F">
              <w:rPr>
                <w:rFonts w:ascii="Calibri" w:hAnsi="Calibri"/>
                <w:rtl w:val="0"/>
                <w:lang w:val="ru"/>
              </w:rPr>
              <w:t>ИАЭ: ингибиторы ацетилхолинэстеразы</w:t>
            </w:r>
          </w:p>
          <w:p w:rsidR="00FC26A6" w:rsidRPr="0063161F" w:rsidP="00FC26A6" w14:paraId="036EEA79" w14:textId="77777777">
            <w:pPr>
              <w:bidi w:val="0"/>
              <w:rPr>
                <w:rFonts w:ascii="Calibri" w:hAnsi="Calibri"/>
              </w:rPr>
            </w:pPr>
            <w:r>
              <w:rPr>
                <w:rFonts w:ascii="Calibri" w:hAnsi="Calibri"/>
                <w:rtl w:val="0"/>
                <w:lang w:val="ru"/>
              </w:rPr>
              <w:t>DM: сахарный диабет</w:t>
            </w:r>
          </w:p>
        </w:tc>
      </w:tr>
      <w:tr w14:paraId="41DC5DDF" w14:textId="77777777" w:rsidTr="00FC26A6">
        <w:tblPrEx>
          <w:tblW w:w="6877" w:type="dxa"/>
          <w:tblCellMar>
            <w:left w:w="70" w:type="dxa"/>
            <w:right w:w="70" w:type="dxa"/>
          </w:tblCellMar>
          <w:tblLook w:val="04A0"/>
        </w:tblPrEx>
        <w:trPr>
          <w:trHeight w:val="269"/>
        </w:trPr>
        <w:tc>
          <w:tcPr>
            <w:tcW w:w="6877" w:type="dxa"/>
            <w:tcBorders>
              <w:top w:val="nil"/>
              <w:left w:val="nil"/>
              <w:bottom w:val="nil"/>
              <w:right w:val="nil"/>
            </w:tcBorders>
            <w:shd w:val="clear" w:color="auto" w:fill="auto"/>
            <w:noWrap/>
            <w:vAlign w:val="bottom"/>
            <w:hideMark/>
          </w:tcPr>
          <w:p w:rsidR="00FC26A6" w:rsidRPr="0063161F" w:rsidP="00FC26A6" w14:paraId="3433CA15" w14:textId="77777777">
            <w:pPr>
              <w:bidi w:val="0"/>
              <w:rPr>
                <w:rFonts w:ascii="Calibri" w:hAnsi="Calibri"/>
              </w:rPr>
            </w:pPr>
            <w:r w:rsidRPr="0063161F">
              <w:rPr>
                <w:rFonts w:ascii="Calibri" w:hAnsi="Calibri"/>
                <w:rtl w:val="0"/>
                <w:lang w:val="ru"/>
              </w:rPr>
              <w:t>ФВ: Фракция выброса</w:t>
            </w:r>
          </w:p>
        </w:tc>
      </w:tr>
      <w:tr w14:paraId="2326D158" w14:textId="77777777" w:rsidTr="00FC26A6">
        <w:tblPrEx>
          <w:tblW w:w="6877" w:type="dxa"/>
          <w:tblCellMar>
            <w:left w:w="70" w:type="dxa"/>
            <w:right w:w="70" w:type="dxa"/>
          </w:tblCellMar>
          <w:tblLook w:val="04A0"/>
        </w:tblPrEx>
        <w:trPr>
          <w:trHeight w:val="269"/>
        </w:trPr>
        <w:tc>
          <w:tcPr>
            <w:tcW w:w="6877" w:type="dxa"/>
            <w:tcBorders>
              <w:top w:val="nil"/>
              <w:left w:val="nil"/>
              <w:bottom w:val="nil"/>
              <w:right w:val="nil"/>
            </w:tcBorders>
            <w:shd w:val="clear" w:color="auto" w:fill="auto"/>
            <w:noWrap/>
            <w:vAlign w:val="bottom"/>
            <w:hideMark/>
          </w:tcPr>
          <w:p w:rsidR="00FC26A6" w:rsidRPr="0063161F" w:rsidP="00FC26A6" w14:paraId="3E0A1079" w14:textId="77777777">
            <w:pPr>
              <w:bidi w:val="0"/>
              <w:rPr>
                <w:rFonts w:ascii="Calibri" w:hAnsi="Calibri"/>
              </w:rPr>
            </w:pPr>
            <w:r w:rsidRPr="0063161F">
              <w:rPr>
                <w:rFonts w:ascii="Calibri" w:hAnsi="Calibri"/>
                <w:rtl w:val="0"/>
                <w:lang w:val="ru"/>
              </w:rPr>
              <w:t>рСКФ: расчетная Скорость клубочковой фильтрации</w:t>
            </w:r>
          </w:p>
        </w:tc>
      </w:tr>
      <w:tr w14:paraId="7D4EC7F4" w14:textId="77777777" w:rsidTr="00FC26A6">
        <w:tblPrEx>
          <w:tblW w:w="6877" w:type="dxa"/>
          <w:tblCellMar>
            <w:left w:w="70" w:type="dxa"/>
            <w:right w:w="70" w:type="dxa"/>
          </w:tblCellMar>
          <w:tblLook w:val="04A0"/>
        </w:tblPrEx>
        <w:trPr>
          <w:trHeight w:val="269"/>
        </w:trPr>
        <w:tc>
          <w:tcPr>
            <w:tcW w:w="6877" w:type="dxa"/>
            <w:tcBorders>
              <w:top w:val="nil"/>
              <w:left w:val="nil"/>
              <w:bottom w:val="nil"/>
              <w:right w:val="nil"/>
            </w:tcBorders>
            <w:shd w:val="clear" w:color="auto" w:fill="auto"/>
            <w:noWrap/>
            <w:vAlign w:val="bottom"/>
            <w:hideMark/>
          </w:tcPr>
          <w:p w:rsidR="00FC26A6" w:rsidRPr="0063161F" w:rsidP="00FC26A6" w14:paraId="2339D937" w14:textId="77777777">
            <w:pPr>
              <w:bidi w:val="0"/>
              <w:rPr>
                <w:rFonts w:ascii="Calibri" w:hAnsi="Calibri"/>
              </w:rPr>
            </w:pPr>
            <w:r w:rsidRPr="0063161F">
              <w:rPr>
                <w:rFonts w:ascii="Calibri" w:hAnsi="Calibri"/>
                <w:rtl w:val="0"/>
                <w:lang w:val="ru"/>
              </w:rPr>
              <w:t>FDA: Управление по санитарному надзору за качеством пищевых продуктов и медикаментов США</w:t>
            </w:r>
          </w:p>
        </w:tc>
      </w:tr>
      <w:tr w14:paraId="58FE05B3" w14:textId="77777777" w:rsidTr="00FC26A6">
        <w:tblPrEx>
          <w:tblW w:w="6877" w:type="dxa"/>
          <w:tblCellMar>
            <w:left w:w="70" w:type="dxa"/>
            <w:right w:w="70" w:type="dxa"/>
          </w:tblCellMar>
          <w:tblLook w:val="04A0"/>
        </w:tblPrEx>
        <w:trPr>
          <w:trHeight w:val="269"/>
        </w:trPr>
        <w:tc>
          <w:tcPr>
            <w:tcW w:w="6877" w:type="dxa"/>
            <w:tcBorders>
              <w:top w:val="nil"/>
              <w:left w:val="nil"/>
              <w:bottom w:val="nil"/>
              <w:right w:val="nil"/>
            </w:tcBorders>
            <w:shd w:val="clear" w:color="auto" w:fill="auto"/>
            <w:noWrap/>
            <w:vAlign w:val="bottom"/>
            <w:hideMark/>
          </w:tcPr>
          <w:p w:rsidR="00FC26A6" w:rsidRPr="0063161F" w:rsidP="00FC26A6" w14:paraId="5259C597" w14:textId="77777777">
            <w:pPr>
              <w:bidi w:val="0"/>
              <w:rPr>
                <w:rFonts w:ascii="Calibri" w:hAnsi="Calibri"/>
              </w:rPr>
            </w:pPr>
            <w:r w:rsidRPr="0063161F">
              <w:rPr>
                <w:rFonts w:ascii="Calibri" w:hAnsi="Calibri"/>
                <w:rtl w:val="0"/>
                <w:lang w:val="ru"/>
              </w:rPr>
              <w:t>ЖКТ: Желудочно-кишечный тракт</w:t>
            </w:r>
          </w:p>
        </w:tc>
      </w:tr>
      <w:tr w14:paraId="002375DC" w14:textId="77777777" w:rsidTr="00FC26A6">
        <w:tblPrEx>
          <w:tblW w:w="6877" w:type="dxa"/>
          <w:tblCellMar>
            <w:left w:w="70" w:type="dxa"/>
            <w:right w:w="70" w:type="dxa"/>
          </w:tblCellMar>
          <w:tblLook w:val="04A0"/>
        </w:tblPrEx>
        <w:trPr>
          <w:trHeight w:val="269"/>
        </w:trPr>
        <w:tc>
          <w:tcPr>
            <w:tcW w:w="6877" w:type="dxa"/>
            <w:tcBorders>
              <w:top w:val="nil"/>
              <w:left w:val="nil"/>
              <w:bottom w:val="nil"/>
              <w:right w:val="nil"/>
            </w:tcBorders>
            <w:shd w:val="clear" w:color="auto" w:fill="auto"/>
            <w:noWrap/>
            <w:vAlign w:val="bottom"/>
            <w:hideMark/>
          </w:tcPr>
          <w:p w:rsidR="00FC26A6" w:rsidP="00FC26A6" w14:paraId="242D87AF" w14:textId="77777777">
            <w:pPr>
              <w:bidi w:val="0"/>
              <w:rPr>
                <w:rFonts w:ascii="Calibri" w:hAnsi="Calibri"/>
              </w:rPr>
            </w:pPr>
            <w:r>
              <w:rPr>
                <w:rFonts w:ascii="Calibri" w:hAnsi="Calibri"/>
                <w:rtl w:val="0"/>
                <w:lang w:val="ru"/>
              </w:rPr>
              <w:t>ТИА: Преходящая ишемическая атака</w:t>
            </w:r>
          </w:p>
          <w:p w:rsidR="00FC26A6" w:rsidRPr="0063161F" w:rsidP="00FC26A6" w14:paraId="01BB0E62" w14:textId="77777777">
            <w:pPr>
              <w:bidi w:val="0"/>
              <w:rPr>
                <w:rFonts w:ascii="Calibri" w:hAnsi="Calibri"/>
              </w:rPr>
            </w:pPr>
            <w:r>
              <w:rPr>
                <w:rFonts w:ascii="Calibri" w:hAnsi="Calibri"/>
                <w:rtl w:val="0"/>
                <w:lang w:val="ru"/>
              </w:rPr>
              <w:t>ГЭР: Гастроэзофагеальный рефлюкс.</w:t>
            </w:r>
          </w:p>
        </w:tc>
      </w:tr>
      <w:tr w14:paraId="3E930219" w14:textId="77777777" w:rsidTr="00FC26A6">
        <w:tblPrEx>
          <w:tblW w:w="6877" w:type="dxa"/>
          <w:tblCellMar>
            <w:left w:w="70" w:type="dxa"/>
            <w:right w:w="70" w:type="dxa"/>
          </w:tblCellMar>
          <w:tblLook w:val="04A0"/>
        </w:tblPrEx>
        <w:trPr>
          <w:trHeight w:val="269"/>
        </w:trPr>
        <w:tc>
          <w:tcPr>
            <w:tcW w:w="6877" w:type="dxa"/>
            <w:tcBorders>
              <w:top w:val="nil"/>
              <w:left w:val="nil"/>
              <w:bottom w:val="nil"/>
              <w:right w:val="nil"/>
            </w:tcBorders>
            <w:shd w:val="clear" w:color="auto" w:fill="auto"/>
            <w:noWrap/>
            <w:vAlign w:val="bottom"/>
            <w:hideMark/>
          </w:tcPr>
          <w:p w:rsidR="00FC26A6" w:rsidP="00FC26A6" w14:paraId="6B6D2B80" w14:textId="77777777">
            <w:pPr>
              <w:bidi w:val="0"/>
              <w:rPr>
                <w:rFonts w:ascii="Calibri" w:hAnsi="Calibri"/>
              </w:rPr>
            </w:pPr>
            <w:r w:rsidRPr="0063161F">
              <w:rPr>
                <w:rFonts w:ascii="Calibri" w:hAnsi="Calibri"/>
                <w:rtl w:val="0"/>
                <w:lang w:val="ru"/>
              </w:rPr>
              <w:t>Рецептор H1: H1-гистаминовый рецептор</w:t>
            </w:r>
          </w:p>
          <w:p w:rsidR="00FC26A6" w:rsidRPr="0063161F" w:rsidP="00FC26A6" w14:paraId="562AAF46" w14:textId="77777777">
            <w:pPr>
              <w:bidi w:val="0"/>
              <w:rPr>
                <w:rFonts w:ascii="Calibri" w:hAnsi="Calibri"/>
              </w:rPr>
            </w:pPr>
            <w:r>
              <w:rPr>
                <w:rFonts w:ascii="Calibri" w:hAnsi="Calibri"/>
                <w:rtl w:val="0"/>
                <w:lang w:val="ru"/>
              </w:rPr>
              <w:t>HT: Гипертония</w:t>
            </w:r>
          </w:p>
        </w:tc>
      </w:tr>
      <w:tr w14:paraId="0C15F749" w14:textId="77777777" w:rsidTr="00FC26A6">
        <w:tblPrEx>
          <w:tblW w:w="6877" w:type="dxa"/>
          <w:tblCellMar>
            <w:left w:w="70" w:type="dxa"/>
            <w:right w:w="70" w:type="dxa"/>
          </w:tblCellMar>
          <w:tblLook w:val="04A0"/>
        </w:tblPrEx>
        <w:trPr>
          <w:trHeight w:val="269"/>
        </w:trPr>
        <w:tc>
          <w:tcPr>
            <w:tcW w:w="6877" w:type="dxa"/>
            <w:tcBorders>
              <w:top w:val="nil"/>
              <w:left w:val="nil"/>
              <w:bottom w:val="nil"/>
              <w:right w:val="nil"/>
            </w:tcBorders>
            <w:shd w:val="clear" w:color="auto" w:fill="auto"/>
            <w:noWrap/>
            <w:vAlign w:val="bottom"/>
            <w:hideMark/>
          </w:tcPr>
          <w:p w:rsidR="00FC26A6" w:rsidRPr="0063161F" w:rsidP="00FC26A6" w14:paraId="28C4419D" w14:textId="77777777">
            <w:pPr>
              <w:bidi w:val="0"/>
              <w:rPr>
                <w:rFonts w:ascii="Calibri" w:hAnsi="Calibri"/>
              </w:rPr>
            </w:pPr>
            <w:r w:rsidRPr="0063161F">
              <w:rPr>
                <w:rFonts w:ascii="Calibri" w:hAnsi="Calibri"/>
                <w:rtl w:val="0"/>
                <w:lang w:val="ru"/>
              </w:rPr>
              <w:t>INR: Международное нормализованное соотношение</w:t>
            </w:r>
          </w:p>
        </w:tc>
      </w:tr>
      <w:tr w14:paraId="7172DB5E" w14:textId="77777777" w:rsidTr="00FC26A6">
        <w:tblPrEx>
          <w:tblW w:w="6877" w:type="dxa"/>
          <w:tblCellMar>
            <w:left w:w="70" w:type="dxa"/>
            <w:right w:w="70" w:type="dxa"/>
          </w:tblCellMar>
          <w:tblLook w:val="04A0"/>
        </w:tblPrEx>
        <w:trPr>
          <w:trHeight w:val="269"/>
        </w:trPr>
        <w:tc>
          <w:tcPr>
            <w:tcW w:w="6877" w:type="dxa"/>
            <w:tcBorders>
              <w:top w:val="nil"/>
              <w:left w:val="nil"/>
              <w:bottom w:val="nil"/>
              <w:right w:val="nil"/>
            </w:tcBorders>
            <w:shd w:val="clear" w:color="auto" w:fill="auto"/>
            <w:noWrap/>
            <w:vAlign w:val="bottom"/>
            <w:hideMark/>
          </w:tcPr>
          <w:p w:rsidR="00FC26A6" w:rsidRPr="0063161F" w:rsidP="00FC26A6" w14:paraId="41BC576E" w14:textId="77777777">
            <w:pPr>
              <w:bidi w:val="0"/>
              <w:rPr>
                <w:rFonts w:ascii="Calibri" w:hAnsi="Calibri"/>
              </w:rPr>
            </w:pPr>
            <w:r>
              <w:rPr>
                <w:rFonts w:ascii="Calibri" w:hAnsi="Calibri"/>
                <w:rtl w:val="0"/>
                <w:lang w:val="ru"/>
              </w:rPr>
              <w:t>ХОБЛ: хроническая обструктивная болезнь легких</w:t>
            </w:r>
          </w:p>
        </w:tc>
      </w:tr>
      <w:tr w14:paraId="3C23AA1A" w14:textId="77777777" w:rsidTr="00FC26A6">
        <w:tblPrEx>
          <w:tblW w:w="6877" w:type="dxa"/>
          <w:tblCellMar>
            <w:left w:w="70" w:type="dxa"/>
            <w:right w:w="70" w:type="dxa"/>
          </w:tblCellMar>
          <w:tblLook w:val="04A0"/>
        </w:tblPrEx>
        <w:trPr>
          <w:trHeight w:val="269"/>
        </w:trPr>
        <w:tc>
          <w:tcPr>
            <w:tcW w:w="6877" w:type="dxa"/>
            <w:tcBorders>
              <w:top w:val="nil"/>
              <w:left w:val="nil"/>
              <w:bottom w:val="nil"/>
              <w:right w:val="nil"/>
            </w:tcBorders>
            <w:shd w:val="clear" w:color="auto" w:fill="auto"/>
            <w:noWrap/>
            <w:vAlign w:val="bottom"/>
            <w:hideMark/>
          </w:tcPr>
          <w:p w:rsidR="00FC26A6" w:rsidRPr="0063161F" w:rsidP="00FC26A6" w14:paraId="5E569F21" w14:textId="77777777">
            <w:pPr>
              <w:bidi w:val="0"/>
              <w:rPr>
                <w:rFonts w:ascii="Calibri" w:hAnsi="Calibri"/>
              </w:rPr>
            </w:pPr>
            <w:r w:rsidRPr="0063161F">
              <w:rPr>
                <w:rFonts w:ascii="Calibri" w:hAnsi="Calibri"/>
                <w:rtl w:val="0"/>
                <w:lang w:val="ru"/>
              </w:rPr>
              <w:t>СНМП: Симптомы нижних мочевых путей</w:t>
            </w:r>
          </w:p>
        </w:tc>
      </w:tr>
      <w:tr w14:paraId="23B2AF8D" w14:textId="77777777" w:rsidTr="00FC26A6">
        <w:tblPrEx>
          <w:tblW w:w="6877" w:type="dxa"/>
          <w:tblCellMar>
            <w:left w:w="70" w:type="dxa"/>
            <w:right w:w="70" w:type="dxa"/>
          </w:tblCellMar>
          <w:tblLook w:val="04A0"/>
        </w:tblPrEx>
        <w:trPr>
          <w:trHeight w:val="269"/>
        </w:trPr>
        <w:tc>
          <w:tcPr>
            <w:tcW w:w="6877" w:type="dxa"/>
            <w:tcBorders>
              <w:top w:val="nil"/>
              <w:left w:val="nil"/>
              <w:bottom w:val="nil"/>
              <w:right w:val="nil"/>
            </w:tcBorders>
            <w:shd w:val="clear" w:color="auto" w:fill="auto"/>
            <w:noWrap/>
            <w:vAlign w:val="bottom"/>
            <w:hideMark/>
          </w:tcPr>
          <w:p w:rsidR="00FC26A6" w:rsidP="00FC26A6" w14:paraId="3F417D9D" w14:textId="77777777">
            <w:pPr>
              <w:bidi w:val="0"/>
              <w:rPr>
                <w:rFonts w:ascii="Calibri" w:hAnsi="Calibri"/>
              </w:rPr>
            </w:pPr>
            <w:r w:rsidRPr="0063161F">
              <w:rPr>
                <w:rFonts w:ascii="Calibri" w:hAnsi="Calibri"/>
                <w:rtl w:val="0"/>
                <w:lang w:val="ru"/>
              </w:rPr>
              <w:t>Mİ: Инфаркт миокарда</w:t>
            </w:r>
          </w:p>
          <w:p w:rsidR="00FC26A6" w:rsidRPr="0063161F" w:rsidP="00FC26A6" w14:paraId="4E7CC587" w14:textId="77777777">
            <w:pPr>
              <w:bidi w:val="0"/>
              <w:rPr>
                <w:rFonts w:ascii="Calibri" w:hAnsi="Calibri"/>
              </w:rPr>
            </w:pPr>
            <w:r>
              <w:rPr>
                <w:rFonts w:ascii="Calibri" w:hAnsi="Calibri"/>
                <w:rtl w:val="0"/>
                <w:lang w:val="ru"/>
              </w:rPr>
              <w:t>ЦНС: Центральная нервная система</w:t>
            </w:r>
          </w:p>
        </w:tc>
      </w:tr>
      <w:tr w14:paraId="00AA0138" w14:textId="77777777" w:rsidTr="00FC26A6">
        <w:tblPrEx>
          <w:tblW w:w="6877" w:type="dxa"/>
          <w:tblCellMar>
            <w:left w:w="70" w:type="dxa"/>
            <w:right w:w="70" w:type="dxa"/>
          </w:tblCellMar>
          <w:tblLook w:val="04A0"/>
        </w:tblPrEx>
        <w:trPr>
          <w:trHeight w:val="269"/>
        </w:trPr>
        <w:tc>
          <w:tcPr>
            <w:tcW w:w="6877" w:type="dxa"/>
            <w:tcBorders>
              <w:top w:val="nil"/>
              <w:left w:val="nil"/>
              <w:bottom w:val="nil"/>
              <w:right w:val="nil"/>
            </w:tcBorders>
            <w:shd w:val="clear" w:color="auto" w:fill="auto"/>
            <w:noWrap/>
            <w:vAlign w:val="bottom"/>
            <w:hideMark/>
          </w:tcPr>
          <w:p w:rsidR="00FC26A6" w:rsidRPr="0063161F" w:rsidP="00FC26A6" w14:paraId="19057018" w14:textId="77777777">
            <w:pPr>
              <w:bidi w:val="0"/>
              <w:rPr>
                <w:rFonts w:ascii="Calibri" w:hAnsi="Calibri"/>
              </w:rPr>
            </w:pPr>
            <w:r w:rsidRPr="0063161F">
              <w:rPr>
                <w:rFonts w:ascii="Calibri" w:hAnsi="Calibri"/>
                <w:rtl w:val="0"/>
                <w:lang w:val="ru"/>
              </w:rPr>
              <w:t>НПВП: нестероидные противовоспалительные препараты</w:t>
            </w:r>
          </w:p>
        </w:tc>
      </w:tr>
      <w:tr w14:paraId="5A3830CE" w14:textId="77777777" w:rsidTr="00FC26A6">
        <w:tblPrEx>
          <w:tblW w:w="6877" w:type="dxa"/>
          <w:tblCellMar>
            <w:left w:w="70" w:type="dxa"/>
            <w:right w:w="70" w:type="dxa"/>
          </w:tblCellMar>
          <w:tblLook w:val="04A0"/>
        </w:tblPrEx>
        <w:trPr>
          <w:trHeight w:val="269"/>
        </w:trPr>
        <w:tc>
          <w:tcPr>
            <w:tcW w:w="6877" w:type="dxa"/>
            <w:tcBorders>
              <w:top w:val="nil"/>
              <w:left w:val="nil"/>
              <w:bottom w:val="nil"/>
              <w:right w:val="nil"/>
            </w:tcBorders>
            <w:shd w:val="clear" w:color="auto" w:fill="auto"/>
            <w:noWrap/>
            <w:vAlign w:val="bottom"/>
            <w:hideMark/>
          </w:tcPr>
          <w:p w:rsidR="00FC26A6" w:rsidRPr="0063161F" w:rsidP="00FC26A6" w14:paraId="14FD732D" w14:textId="77777777">
            <w:pPr>
              <w:bidi w:val="0"/>
              <w:rPr>
                <w:rFonts w:ascii="Calibri" w:hAnsi="Calibri"/>
              </w:rPr>
            </w:pPr>
            <w:r w:rsidRPr="0063161F">
              <w:rPr>
                <w:rFonts w:ascii="Calibri" w:hAnsi="Calibri"/>
                <w:rtl w:val="0"/>
                <w:lang w:val="ru"/>
              </w:rPr>
              <w:t>NYHA: Нью-Йоркская кардиологическая ассоциация</w:t>
            </w:r>
          </w:p>
        </w:tc>
      </w:tr>
      <w:tr w14:paraId="1CA4EB6E" w14:textId="77777777" w:rsidTr="00FC26A6">
        <w:tblPrEx>
          <w:tblW w:w="6877" w:type="dxa"/>
          <w:tblCellMar>
            <w:left w:w="70" w:type="dxa"/>
            <w:right w:w="70" w:type="dxa"/>
          </w:tblCellMar>
          <w:tblLook w:val="04A0"/>
        </w:tblPrEx>
        <w:trPr>
          <w:trHeight w:val="269"/>
        </w:trPr>
        <w:tc>
          <w:tcPr>
            <w:tcW w:w="6877" w:type="dxa"/>
            <w:tcBorders>
              <w:top w:val="nil"/>
              <w:left w:val="nil"/>
              <w:bottom w:val="nil"/>
              <w:right w:val="nil"/>
            </w:tcBorders>
            <w:shd w:val="clear" w:color="auto" w:fill="auto"/>
            <w:noWrap/>
            <w:vAlign w:val="bottom"/>
            <w:hideMark/>
          </w:tcPr>
          <w:p w:rsidR="00FC26A6" w:rsidRPr="0063161F" w:rsidP="00FC26A6" w14:paraId="38B541AA" w14:textId="77777777">
            <w:pPr>
              <w:bidi w:val="0"/>
              <w:rPr>
                <w:rFonts w:ascii="Calibri" w:hAnsi="Calibri"/>
              </w:rPr>
            </w:pPr>
            <w:r w:rsidRPr="0063161F">
              <w:rPr>
                <w:rFonts w:ascii="Calibri" w:hAnsi="Calibri"/>
                <w:rtl w:val="0"/>
                <w:lang w:val="ru"/>
              </w:rPr>
              <w:t>OAC: Пероральный антикоагулянт</w:t>
            </w:r>
          </w:p>
        </w:tc>
      </w:tr>
      <w:tr w14:paraId="5F22DF8C" w14:textId="77777777" w:rsidTr="00FC26A6">
        <w:tblPrEx>
          <w:tblW w:w="6877" w:type="dxa"/>
          <w:tblCellMar>
            <w:left w:w="70" w:type="dxa"/>
            <w:right w:w="70" w:type="dxa"/>
          </w:tblCellMar>
          <w:tblLook w:val="04A0"/>
        </w:tblPrEx>
        <w:trPr>
          <w:trHeight w:val="269"/>
        </w:trPr>
        <w:tc>
          <w:tcPr>
            <w:tcW w:w="6877" w:type="dxa"/>
            <w:tcBorders>
              <w:top w:val="nil"/>
              <w:left w:val="nil"/>
              <w:bottom w:val="nil"/>
              <w:right w:val="nil"/>
            </w:tcBorders>
            <w:shd w:val="clear" w:color="auto" w:fill="auto"/>
            <w:noWrap/>
            <w:vAlign w:val="bottom"/>
            <w:hideMark/>
          </w:tcPr>
          <w:p w:rsidR="00FC26A6" w:rsidRPr="0063161F" w:rsidP="00FC26A6" w14:paraId="7DE8982D" w14:textId="77777777">
            <w:pPr>
              <w:bidi w:val="0"/>
              <w:rPr>
                <w:rFonts w:ascii="Calibri" w:hAnsi="Calibri"/>
              </w:rPr>
            </w:pPr>
            <w:r w:rsidRPr="0063161F">
              <w:rPr>
                <w:rFonts w:ascii="Calibri" w:hAnsi="Calibri"/>
                <w:rtl w:val="0"/>
                <w:lang w:val="ru"/>
              </w:rPr>
              <w:t>PMR: Остатки после мочеиспускания</w:t>
            </w:r>
          </w:p>
        </w:tc>
      </w:tr>
      <w:tr w14:paraId="4E103E26" w14:textId="77777777" w:rsidTr="00FC26A6">
        <w:tblPrEx>
          <w:tblW w:w="6877" w:type="dxa"/>
          <w:tblCellMar>
            <w:left w:w="70" w:type="dxa"/>
            <w:right w:w="70" w:type="dxa"/>
          </w:tblCellMar>
          <w:tblLook w:val="04A0"/>
        </w:tblPrEx>
        <w:trPr>
          <w:trHeight w:val="269"/>
        </w:trPr>
        <w:tc>
          <w:tcPr>
            <w:tcW w:w="6877" w:type="dxa"/>
            <w:tcBorders>
              <w:top w:val="nil"/>
              <w:left w:val="nil"/>
              <w:bottom w:val="nil"/>
              <w:right w:val="nil"/>
            </w:tcBorders>
            <w:shd w:val="clear" w:color="auto" w:fill="auto"/>
            <w:noWrap/>
            <w:vAlign w:val="bottom"/>
            <w:hideMark/>
          </w:tcPr>
          <w:p w:rsidR="00FC26A6" w:rsidRPr="0063161F" w:rsidP="00FC26A6" w14:paraId="57E6D899" w14:textId="77777777">
            <w:pPr>
              <w:bidi w:val="0"/>
              <w:rPr>
                <w:rFonts w:ascii="Calibri" w:hAnsi="Calibri"/>
              </w:rPr>
            </w:pPr>
            <w:r w:rsidRPr="0063161F">
              <w:rPr>
                <w:rFonts w:ascii="Calibri" w:hAnsi="Calibri"/>
                <w:rtl w:val="0"/>
                <w:lang w:val="ru"/>
              </w:rPr>
              <w:t>pO2: Парциальное давление кислорода</w:t>
            </w:r>
          </w:p>
        </w:tc>
      </w:tr>
      <w:tr w14:paraId="3A500C88" w14:textId="77777777" w:rsidTr="00FC26A6">
        <w:tblPrEx>
          <w:tblW w:w="6877" w:type="dxa"/>
          <w:tblCellMar>
            <w:left w:w="70" w:type="dxa"/>
            <w:right w:w="70" w:type="dxa"/>
          </w:tblCellMar>
          <w:tblLook w:val="04A0"/>
        </w:tblPrEx>
        <w:trPr>
          <w:trHeight w:val="269"/>
        </w:trPr>
        <w:tc>
          <w:tcPr>
            <w:tcW w:w="6877" w:type="dxa"/>
            <w:tcBorders>
              <w:top w:val="nil"/>
              <w:left w:val="nil"/>
              <w:bottom w:val="nil"/>
              <w:right w:val="nil"/>
            </w:tcBorders>
            <w:shd w:val="clear" w:color="auto" w:fill="auto"/>
            <w:noWrap/>
            <w:vAlign w:val="bottom"/>
            <w:hideMark/>
          </w:tcPr>
          <w:p w:rsidR="00FC26A6" w:rsidRPr="0063161F" w:rsidP="00FC26A6" w14:paraId="602D061A" w14:textId="60E0B142">
            <w:pPr>
              <w:bidi w:val="0"/>
              <w:rPr>
                <w:rFonts w:ascii="Calibri" w:hAnsi="Calibri"/>
              </w:rPr>
            </w:pPr>
            <w:bookmarkStart w:id="0" w:name="RANGE!A28"/>
            <w:r w:rsidRPr="0063161F">
              <w:rPr>
                <w:rFonts w:ascii="Calibri" w:hAnsi="Calibri"/>
                <w:rtl w:val="0"/>
                <w:lang w:val="ru"/>
              </w:rPr>
              <w:t>ИПП: ингибиторы протонной помпы</w:t>
            </w:r>
            <w:bookmarkEnd w:id="0"/>
          </w:p>
        </w:tc>
      </w:tr>
      <w:tr w14:paraId="37EE3C99" w14:textId="77777777" w:rsidTr="00FC26A6">
        <w:tblPrEx>
          <w:tblW w:w="6877" w:type="dxa"/>
          <w:tblCellMar>
            <w:left w:w="70" w:type="dxa"/>
            <w:right w:w="70" w:type="dxa"/>
          </w:tblCellMar>
          <w:tblLook w:val="04A0"/>
        </w:tblPrEx>
        <w:trPr>
          <w:trHeight w:val="269"/>
        </w:trPr>
        <w:tc>
          <w:tcPr>
            <w:tcW w:w="6877" w:type="dxa"/>
            <w:tcBorders>
              <w:top w:val="nil"/>
              <w:left w:val="nil"/>
              <w:bottom w:val="nil"/>
              <w:right w:val="nil"/>
            </w:tcBorders>
            <w:shd w:val="clear" w:color="auto" w:fill="auto"/>
            <w:noWrap/>
            <w:vAlign w:val="bottom"/>
            <w:hideMark/>
          </w:tcPr>
          <w:p w:rsidR="00FC26A6" w:rsidRPr="0063161F" w:rsidP="00FC26A6" w14:paraId="2BFD8544" w14:textId="77777777">
            <w:pPr>
              <w:bidi w:val="0"/>
              <w:rPr>
                <w:rFonts w:ascii="Calibri" w:hAnsi="Calibri"/>
              </w:rPr>
            </w:pPr>
            <w:r w:rsidRPr="0063161F">
              <w:rPr>
                <w:rFonts w:ascii="Calibri" w:hAnsi="Calibri"/>
                <w:rtl w:val="0"/>
                <w:lang w:val="ru"/>
              </w:rPr>
              <w:t>QTc: Корригированный интервал QT</w:t>
            </w:r>
          </w:p>
        </w:tc>
      </w:tr>
      <w:tr w14:paraId="55AC372A" w14:textId="77777777" w:rsidTr="00FC26A6">
        <w:tblPrEx>
          <w:tblW w:w="6877" w:type="dxa"/>
          <w:tblCellMar>
            <w:left w:w="70" w:type="dxa"/>
            <w:right w:w="70" w:type="dxa"/>
          </w:tblCellMar>
          <w:tblLook w:val="04A0"/>
        </w:tblPrEx>
        <w:trPr>
          <w:trHeight w:val="269"/>
        </w:trPr>
        <w:tc>
          <w:tcPr>
            <w:tcW w:w="6877" w:type="dxa"/>
            <w:tcBorders>
              <w:top w:val="nil"/>
              <w:left w:val="nil"/>
              <w:bottom w:val="nil"/>
              <w:right w:val="nil"/>
            </w:tcBorders>
            <w:shd w:val="clear" w:color="auto" w:fill="auto"/>
            <w:noWrap/>
            <w:vAlign w:val="bottom"/>
            <w:hideMark/>
          </w:tcPr>
          <w:p w:rsidR="00FC26A6" w:rsidRPr="0063161F" w:rsidP="00FC26A6" w14:paraId="49978A94" w14:textId="77777777">
            <w:pPr>
              <w:bidi w:val="0"/>
              <w:rPr>
                <w:rFonts w:ascii="Calibri" w:hAnsi="Calibri"/>
              </w:rPr>
            </w:pPr>
            <w:r w:rsidRPr="0063161F">
              <w:rPr>
                <w:rFonts w:ascii="Calibri" w:hAnsi="Calibri"/>
                <w:rtl w:val="0"/>
                <w:lang w:val="ru"/>
              </w:rPr>
              <w:t>РАС: ренин-ангиотензиновая система</w:t>
            </w:r>
          </w:p>
        </w:tc>
      </w:tr>
      <w:tr w14:paraId="3E2684C9" w14:textId="77777777" w:rsidTr="00FC26A6">
        <w:tblPrEx>
          <w:tblW w:w="6877" w:type="dxa"/>
          <w:tblCellMar>
            <w:left w:w="70" w:type="dxa"/>
            <w:right w:w="70" w:type="dxa"/>
          </w:tblCellMar>
          <w:tblLook w:val="04A0"/>
        </w:tblPrEx>
        <w:trPr>
          <w:trHeight w:val="269"/>
        </w:trPr>
        <w:tc>
          <w:tcPr>
            <w:tcW w:w="6877" w:type="dxa"/>
            <w:tcBorders>
              <w:top w:val="nil"/>
              <w:left w:val="nil"/>
              <w:bottom w:val="nil"/>
              <w:right w:val="nil"/>
            </w:tcBorders>
            <w:shd w:val="clear" w:color="auto" w:fill="auto"/>
            <w:noWrap/>
            <w:vAlign w:val="bottom"/>
            <w:hideMark/>
          </w:tcPr>
          <w:p w:rsidR="00FC26A6" w:rsidRPr="0063161F" w:rsidP="00FC26A6" w14:paraId="4ACD3992" w14:textId="77777777">
            <w:pPr>
              <w:bidi w:val="0"/>
              <w:rPr>
                <w:rFonts w:ascii="Calibri" w:hAnsi="Calibri"/>
              </w:rPr>
            </w:pPr>
            <w:r w:rsidRPr="0063161F">
              <w:rPr>
                <w:rFonts w:ascii="Calibri" w:hAnsi="Calibri"/>
                <w:rtl w:val="0"/>
                <w:lang w:val="ru"/>
              </w:rPr>
              <w:t>SGLT-2: Котранспортер натрия-глюкозы-2</w:t>
            </w:r>
          </w:p>
        </w:tc>
      </w:tr>
      <w:tr w14:paraId="0F37E908" w14:textId="77777777" w:rsidTr="00FC26A6">
        <w:tblPrEx>
          <w:tblW w:w="6877" w:type="dxa"/>
          <w:tblCellMar>
            <w:left w:w="70" w:type="dxa"/>
            <w:right w:w="70" w:type="dxa"/>
          </w:tblCellMar>
          <w:tblLook w:val="04A0"/>
        </w:tblPrEx>
        <w:trPr>
          <w:trHeight w:val="269"/>
        </w:trPr>
        <w:tc>
          <w:tcPr>
            <w:tcW w:w="6877" w:type="dxa"/>
            <w:tcBorders>
              <w:top w:val="nil"/>
              <w:left w:val="nil"/>
              <w:bottom w:val="nil"/>
              <w:right w:val="nil"/>
            </w:tcBorders>
            <w:shd w:val="clear" w:color="auto" w:fill="auto"/>
            <w:noWrap/>
            <w:vAlign w:val="bottom"/>
            <w:hideMark/>
          </w:tcPr>
          <w:p w:rsidR="00FC26A6" w:rsidRPr="0063161F" w:rsidP="00FC26A6" w14:paraId="66C0D853" w14:textId="77777777">
            <w:pPr>
              <w:bidi w:val="0"/>
              <w:rPr>
                <w:rFonts w:ascii="Calibri" w:hAnsi="Calibri"/>
              </w:rPr>
            </w:pPr>
            <w:r w:rsidRPr="0063161F">
              <w:rPr>
                <w:rFonts w:ascii="Calibri" w:hAnsi="Calibri"/>
                <w:rtl w:val="0"/>
                <w:lang w:val="ru"/>
              </w:rPr>
              <w:t>СИОЗСиН: Ингибиторы обратного захвата серотонина-норадреналина</w:t>
            </w:r>
          </w:p>
        </w:tc>
      </w:tr>
      <w:tr w14:paraId="12A3E458" w14:textId="77777777" w:rsidTr="00FC26A6">
        <w:tblPrEx>
          <w:tblW w:w="6877" w:type="dxa"/>
          <w:tblCellMar>
            <w:left w:w="70" w:type="dxa"/>
            <w:right w:w="70" w:type="dxa"/>
          </w:tblCellMar>
          <w:tblLook w:val="04A0"/>
        </w:tblPrEx>
        <w:trPr>
          <w:trHeight w:val="269"/>
        </w:trPr>
        <w:tc>
          <w:tcPr>
            <w:tcW w:w="6877" w:type="dxa"/>
            <w:tcBorders>
              <w:top w:val="nil"/>
              <w:left w:val="nil"/>
              <w:bottom w:val="nil"/>
              <w:right w:val="nil"/>
            </w:tcBorders>
            <w:shd w:val="clear" w:color="auto" w:fill="auto"/>
            <w:noWrap/>
            <w:vAlign w:val="bottom"/>
            <w:hideMark/>
          </w:tcPr>
          <w:p w:rsidR="00FC26A6" w:rsidRPr="0063161F" w:rsidP="00FC26A6" w14:paraId="6EF39B90" w14:textId="77777777">
            <w:pPr>
              <w:bidi w:val="0"/>
              <w:rPr>
                <w:rFonts w:ascii="Calibri" w:hAnsi="Calibri"/>
              </w:rPr>
            </w:pPr>
            <w:r w:rsidRPr="0063161F">
              <w:rPr>
                <w:rFonts w:ascii="Calibri" w:hAnsi="Calibri"/>
                <w:rtl w:val="0"/>
                <w:lang w:val="ru"/>
              </w:rPr>
              <w:t>СИОЗС: Селективные ингибиторы обратного захвата серотонина</w:t>
            </w:r>
          </w:p>
        </w:tc>
      </w:tr>
      <w:tr w14:paraId="0802F00F" w14:textId="77777777" w:rsidTr="00FC26A6">
        <w:tblPrEx>
          <w:tblW w:w="6877" w:type="dxa"/>
          <w:tblCellMar>
            <w:left w:w="70" w:type="dxa"/>
            <w:right w:w="70" w:type="dxa"/>
          </w:tblCellMar>
          <w:tblLook w:val="04A0"/>
        </w:tblPrEx>
        <w:trPr>
          <w:trHeight w:val="71"/>
        </w:trPr>
        <w:tc>
          <w:tcPr>
            <w:tcW w:w="6877" w:type="dxa"/>
            <w:tcBorders>
              <w:top w:val="nil"/>
              <w:left w:val="nil"/>
              <w:bottom w:val="nil"/>
              <w:right w:val="nil"/>
            </w:tcBorders>
            <w:shd w:val="clear" w:color="auto" w:fill="auto"/>
            <w:noWrap/>
            <w:vAlign w:val="bottom"/>
            <w:hideMark/>
          </w:tcPr>
          <w:p w:rsidR="00FC26A6" w:rsidRPr="0063161F" w:rsidP="00FC26A6" w14:paraId="347BAF5A" w14:textId="77777777">
            <w:pPr>
              <w:bidi w:val="0"/>
              <w:rPr>
                <w:rFonts w:ascii="Calibri" w:hAnsi="Calibri"/>
              </w:rPr>
            </w:pPr>
            <w:r w:rsidRPr="0063161F">
              <w:rPr>
                <w:rFonts w:ascii="Calibri" w:hAnsi="Calibri"/>
                <w:rtl w:val="0"/>
                <w:lang w:val="ru"/>
              </w:rPr>
              <w:t>ТТГ: Тиреотропный гормон.</w:t>
            </w:r>
          </w:p>
        </w:tc>
      </w:tr>
    </w:tbl>
    <w:p w:rsidR="00E66E29" w:rsidP="0043334F" w14:paraId="430B3EFE" w14:textId="217C7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shd w:val="clear" w:color="auto" w:fill="FFFFFF"/>
        </w:rPr>
      </w:pPr>
    </w:p>
    <w:p w:rsidR="001978D3" w:rsidRPr="00181929" w:rsidP="0043334F" w14:paraId="5FE23B6F" w14:textId="77777777">
      <w:pPr>
        <w:contextualSpacing/>
        <w:jc w:val="both"/>
        <w:rPr>
          <w:rFonts w:asciiTheme="minorHAnsi" w:hAnsiTheme="minorHAnsi"/>
          <w:b/>
          <w:i/>
          <w:sz w:val="22"/>
          <w:szCs w:val="22"/>
        </w:rPr>
        <w:sectPr w:rsidSect="003E168B">
          <w:pgSz w:w="11906" w:h="16838"/>
          <w:pgMar w:top="1417" w:right="1417" w:bottom="1417" w:left="1417" w:header="708" w:footer="708" w:gutter="0"/>
          <w:cols w:space="708"/>
          <w:docGrid w:linePitch="360"/>
        </w:sectPr>
      </w:pPr>
    </w:p>
    <w:p w:rsidR="004F6EEC" w:rsidRPr="00181929" w:rsidP="0043334F" w14:paraId="06848E3F" w14:textId="77777777">
      <w:pPr>
        <w:spacing w:after="160"/>
        <w:contextualSpacing/>
        <w:rPr>
          <w:rFonts w:asciiTheme="minorHAnsi" w:hAnsiTheme="minorHAnsi"/>
          <w:color w:val="000000" w:themeColor="text1"/>
          <w:sz w:val="22"/>
          <w:szCs w:val="22"/>
          <w:vertAlign w:val="superscript"/>
        </w:rPr>
      </w:pPr>
    </w:p>
    <w:sectPr w:rsidSect="003E16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LiberationSerif">
    <w:altName w:val="MS Mincho"/>
    <w:panose1 w:val="020B0604020202020204"/>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711976"/>
    <w:multiLevelType w:val="multilevel"/>
    <w:tmpl w:val="0022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DB64D1"/>
    <w:multiLevelType w:val="hybridMultilevel"/>
    <w:tmpl w:val="CD9A310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D57070F"/>
    <w:multiLevelType w:val="hybridMultilevel"/>
    <w:tmpl w:val="EC4473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05956F4"/>
    <w:multiLevelType w:val="hybridMultilevel"/>
    <w:tmpl w:val="E4D8DB2A"/>
    <w:lvl w:ilvl="0">
      <w:start w:val="8"/>
      <w:numFmt w:val="bullet"/>
      <w:lvlText w:val=""/>
      <w:lvlJc w:val="left"/>
      <w:pPr>
        <w:ind w:left="720" w:hanging="360"/>
      </w:pPr>
      <w:rPr>
        <w:rFonts w:ascii="Symbol" w:hAnsi="Symbol" w:eastAsiaTheme="minorEastAsia"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22006E8"/>
    <w:multiLevelType w:val="multilevel"/>
    <w:tmpl w:val="332A1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E24521"/>
    <w:multiLevelType w:val="multilevel"/>
    <w:tmpl w:val="67E09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CA1603"/>
    <w:multiLevelType w:val="multilevel"/>
    <w:tmpl w:val="2F2E4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741A2D"/>
    <w:multiLevelType w:val="hybridMultilevel"/>
    <w:tmpl w:val="ED102BF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6EB33A2"/>
    <w:multiLevelType w:val="multilevel"/>
    <w:tmpl w:val="20E08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AF30FB"/>
    <w:multiLevelType w:val="hybridMultilevel"/>
    <w:tmpl w:val="733068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8410C3D"/>
    <w:multiLevelType w:val="multilevel"/>
    <w:tmpl w:val="6C322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985B02"/>
    <w:multiLevelType w:val="multilevel"/>
    <w:tmpl w:val="43543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6C1E43"/>
    <w:multiLevelType w:val="multilevel"/>
    <w:tmpl w:val="4E683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900095"/>
    <w:multiLevelType w:val="multilevel"/>
    <w:tmpl w:val="E7928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EE6178"/>
    <w:multiLevelType w:val="multilevel"/>
    <w:tmpl w:val="E7F66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E734F2"/>
    <w:multiLevelType w:val="hybridMultilevel"/>
    <w:tmpl w:val="7D6882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036123C"/>
    <w:multiLevelType w:val="multilevel"/>
    <w:tmpl w:val="8346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491A2A"/>
    <w:multiLevelType w:val="multilevel"/>
    <w:tmpl w:val="F24E5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041E0B"/>
    <w:multiLevelType w:val="multilevel"/>
    <w:tmpl w:val="9914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2E40DB"/>
    <w:multiLevelType w:val="multilevel"/>
    <w:tmpl w:val="99CCD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28752C"/>
    <w:multiLevelType w:val="multilevel"/>
    <w:tmpl w:val="D310B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872E55"/>
    <w:multiLevelType w:val="multilevel"/>
    <w:tmpl w:val="6B761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D30F27"/>
    <w:multiLevelType w:val="hybridMultilevel"/>
    <w:tmpl w:val="F7E6D4B6"/>
    <w:lvl w:ilvl="0">
      <w:start w:val="8"/>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96E54DA"/>
    <w:multiLevelType w:val="multilevel"/>
    <w:tmpl w:val="EB7A6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131156"/>
    <w:multiLevelType w:val="multilevel"/>
    <w:tmpl w:val="A1A24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BAE1825"/>
    <w:multiLevelType w:val="multilevel"/>
    <w:tmpl w:val="04323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BC465DE"/>
    <w:multiLevelType w:val="hybridMultilevel"/>
    <w:tmpl w:val="382413DE"/>
    <w:lvl w:ilvl="0">
      <w:start w:val="2011"/>
      <w:numFmt w:val="bullet"/>
      <w:lvlText w:val=""/>
      <w:lvlJc w:val="left"/>
      <w:pPr>
        <w:ind w:left="720" w:hanging="360"/>
      </w:pPr>
      <w:rPr>
        <w:rFonts w:ascii="Symbol" w:hAnsi="Symbol" w:eastAsiaTheme="minorEastAsia"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D173396"/>
    <w:multiLevelType w:val="hybridMultilevel"/>
    <w:tmpl w:val="A2F65682"/>
    <w:lvl w:ilvl="0">
      <w:start w:val="1"/>
      <w:numFmt w:val="bullet"/>
      <w:lvlText w:val=""/>
      <w:lvlJc w:val="left"/>
      <w:pPr>
        <w:ind w:left="1428" w:hanging="360"/>
      </w:pPr>
      <w:rPr>
        <w:rFonts w:ascii="Symbol" w:hAnsi="Symbol"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28">
    <w:nsid w:val="4FFE0002"/>
    <w:multiLevelType w:val="hybridMultilevel"/>
    <w:tmpl w:val="2A2E86BE"/>
    <w:lvl w:ilvl="0">
      <w:start w:val="8"/>
      <w:numFmt w:val="bullet"/>
      <w:lvlText w:val=""/>
      <w:lvlJc w:val="left"/>
      <w:pPr>
        <w:ind w:left="720" w:hanging="360"/>
      </w:pPr>
      <w:rPr>
        <w:rFonts w:ascii="Symbol" w:hAnsi="Symbol" w:eastAsiaTheme="minorEastAsia"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22F1B2C"/>
    <w:multiLevelType w:val="multilevel"/>
    <w:tmpl w:val="5DF4E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384945"/>
    <w:multiLevelType w:val="hybridMultilevel"/>
    <w:tmpl w:val="E5AC8848"/>
    <w:lvl w:ilvl="0">
      <w:start w:val="30"/>
      <w:numFmt w:val="bullet"/>
      <w:lvlText w:val=""/>
      <w:lvlJc w:val="left"/>
      <w:pPr>
        <w:ind w:left="720" w:hanging="360"/>
      </w:pPr>
      <w:rPr>
        <w:rFonts w:ascii="Symbol" w:eastAsia="Times New Roman" w:hAnsi="Symbol" w:cs="Times New Roman" w:hint="default"/>
        <w:b/>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45049EF"/>
    <w:multiLevelType w:val="multilevel"/>
    <w:tmpl w:val="16CE2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D37E79"/>
    <w:multiLevelType w:val="hybridMultilevel"/>
    <w:tmpl w:val="C714D806"/>
    <w:lvl w:ilvl="0">
      <w:start w:val="1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C5622A8"/>
    <w:multiLevelType w:val="hybridMultilevel"/>
    <w:tmpl w:val="BFDE55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DCC20DA"/>
    <w:multiLevelType w:val="hybridMultilevel"/>
    <w:tmpl w:val="12EC57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5FC43D0B"/>
    <w:multiLevelType w:val="hybridMultilevel"/>
    <w:tmpl w:val="936AF22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0CF2E18"/>
    <w:multiLevelType w:val="multilevel"/>
    <w:tmpl w:val="1EBEC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2A22571"/>
    <w:multiLevelType w:val="multilevel"/>
    <w:tmpl w:val="54BC0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30870A7"/>
    <w:multiLevelType w:val="hybridMultilevel"/>
    <w:tmpl w:val="2A7E90CE"/>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39">
    <w:nsid w:val="668B32D6"/>
    <w:multiLevelType w:val="multilevel"/>
    <w:tmpl w:val="D8886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8183197"/>
    <w:multiLevelType w:val="hybridMultilevel"/>
    <w:tmpl w:val="7B26086E"/>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41">
    <w:nsid w:val="6D327197"/>
    <w:multiLevelType w:val="hybridMultilevel"/>
    <w:tmpl w:val="6DCA464A"/>
    <w:lvl w:ilvl="0">
      <w:start w:val="4"/>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6E5C0981"/>
    <w:multiLevelType w:val="multilevel"/>
    <w:tmpl w:val="9DD2F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1505D43"/>
    <w:multiLevelType w:val="hybridMultilevel"/>
    <w:tmpl w:val="319A50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3196686"/>
    <w:multiLevelType w:val="multilevel"/>
    <w:tmpl w:val="DFC41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7CB0A6A"/>
    <w:multiLevelType w:val="hybridMultilevel"/>
    <w:tmpl w:val="55089F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7AAE49F0"/>
    <w:multiLevelType w:val="multilevel"/>
    <w:tmpl w:val="68F60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D1B52C4"/>
    <w:multiLevelType w:val="multilevel"/>
    <w:tmpl w:val="F9B4F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F536184"/>
    <w:multiLevelType w:val="multilevel"/>
    <w:tmpl w:val="A7EC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703D7A"/>
    <w:multiLevelType w:val="multilevel"/>
    <w:tmpl w:val="6C3A8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8"/>
  </w:num>
  <w:num w:numId="3">
    <w:abstractNumId w:val="33"/>
  </w:num>
  <w:num w:numId="4">
    <w:abstractNumId w:val="1"/>
  </w:num>
  <w:num w:numId="5">
    <w:abstractNumId w:val="2"/>
  </w:num>
  <w:num w:numId="6">
    <w:abstractNumId w:val="22"/>
  </w:num>
  <w:num w:numId="7">
    <w:abstractNumId w:val="30"/>
  </w:num>
  <w:num w:numId="8">
    <w:abstractNumId w:val="11"/>
  </w:num>
  <w:num w:numId="9">
    <w:abstractNumId w:val="12"/>
  </w:num>
  <w:num w:numId="10">
    <w:abstractNumId w:val="26"/>
  </w:num>
  <w:num w:numId="11">
    <w:abstractNumId w:val="13"/>
  </w:num>
  <w:num w:numId="12">
    <w:abstractNumId w:val="28"/>
  </w:num>
  <w:num w:numId="13">
    <w:abstractNumId w:val="46"/>
  </w:num>
  <w:num w:numId="14">
    <w:abstractNumId w:val="31"/>
  </w:num>
  <w:num w:numId="15">
    <w:abstractNumId w:val="36"/>
  </w:num>
  <w:num w:numId="16">
    <w:abstractNumId w:val="37"/>
  </w:num>
  <w:num w:numId="17">
    <w:abstractNumId w:val="19"/>
  </w:num>
  <w:num w:numId="18">
    <w:abstractNumId w:val="21"/>
  </w:num>
  <w:num w:numId="19">
    <w:abstractNumId w:val="17"/>
  </w:num>
  <w:num w:numId="20">
    <w:abstractNumId w:val="29"/>
  </w:num>
  <w:num w:numId="21">
    <w:abstractNumId w:val="10"/>
  </w:num>
  <w:num w:numId="22">
    <w:abstractNumId w:val="5"/>
  </w:num>
  <w:num w:numId="23">
    <w:abstractNumId w:val="49"/>
  </w:num>
  <w:num w:numId="24">
    <w:abstractNumId w:val="14"/>
  </w:num>
  <w:num w:numId="25">
    <w:abstractNumId w:val="47"/>
  </w:num>
  <w:num w:numId="26">
    <w:abstractNumId w:val="23"/>
  </w:num>
  <w:num w:numId="27">
    <w:abstractNumId w:val="42"/>
  </w:num>
  <w:num w:numId="28">
    <w:abstractNumId w:val="8"/>
  </w:num>
  <w:num w:numId="29">
    <w:abstractNumId w:val="39"/>
  </w:num>
  <w:num w:numId="30">
    <w:abstractNumId w:val="24"/>
  </w:num>
  <w:num w:numId="31">
    <w:abstractNumId w:val="0"/>
  </w:num>
  <w:num w:numId="32">
    <w:abstractNumId w:val="3"/>
  </w:num>
  <w:num w:numId="33">
    <w:abstractNumId w:val="18"/>
  </w:num>
  <w:num w:numId="34">
    <w:abstractNumId w:val="4"/>
  </w:num>
  <w:num w:numId="35">
    <w:abstractNumId w:val="25"/>
  </w:num>
  <w:num w:numId="36">
    <w:abstractNumId w:val="44"/>
  </w:num>
  <w:num w:numId="37">
    <w:abstractNumId w:val="16"/>
  </w:num>
  <w:num w:numId="38">
    <w:abstractNumId w:val="20"/>
  </w:num>
  <w:num w:numId="39">
    <w:abstractNumId w:val="15"/>
  </w:num>
  <w:num w:numId="40">
    <w:abstractNumId w:val="45"/>
  </w:num>
  <w:num w:numId="41">
    <w:abstractNumId w:val="34"/>
  </w:num>
  <w:num w:numId="42">
    <w:abstractNumId w:val="43"/>
  </w:num>
  <w:num w:numId="43">
    <w:abstractNumId w:val="7"/>
  </w:num>
  <w:num w:numId="44">
    <w:abstractNumId w:val="41"/>
  </w:num>
  <w:num w:numId="45">
    <w:abstractNumId w:val="32"/>
  </w:num>
  <w:num w:numId="46">
    <w:abstractNumId w:val="35"/>
  </w:num>
  <w:num w:numId="47">
    <w:abstractNumId w:val="40"/>
  </w:num>
  <w:num w:numId="48">
    <w:abstractNumId w:val="27"/>
  </w:num>
  <w:num w:numId="49">
    <w:abstractNumId w:val="9"/>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6D3"/>
    <w:rsid w:val="0000160D"/>
    <w:rsid w:val="0000460C"/>
    <w:rsid w:val="00004769"/>
    <w:rsid w:val="00010206"/>
    <w:rsid w:val="00014125"/>
    <w:rsid w:val="00015F50"/>
    <w:rsid w:val="00021609"/>
    <w:rsid w:val="00021804"/>
    <w:rsid w:val="0002415A"/>
    <w:rsid w:val="000257D5"/>
    <w:rsid w:val="00026150"/>
    <w:rsid w:val="0002626B"/>
    <w:rsid w:val="0003479E"/>
    <w:rsid w:val="000355E5"/>
    <w:rsid w:val="000356BF"/>
    <w:rsid w:val="00037FCC"/>
    <w:rsid w:val="000400A8"/>
    <w:rsid w:val="000400D0"/>
    <w:rsid w:val="00040C22"/>
    <w:rsid w:val="0004436F"/>
    <w:rsid w:val="00045B23"/>
    <w:rsid w:val="0004758A"/>
    <w:rsid w:val="00047F5E"/>
    <w:rsid w:val="000510CC"/>
    <w:rsid w:val="00053DE6"/>
    <w:rsid w:val="00054322"/>
    <w:rsid w:val="0005598C"/>
    <w:rsid w:val="00061300"/>
    <w:rsid w:val="000655D0"/>
    <w:rsid w:val="00065B8F"/>
    <w:rsid w:val="00065D94"/>
    <w:rsid w:val="00066BC9"/>
    <w:rsid w:val="00071CA0"/>
    <w:rsid w:val="00073AC4"/>
    <w:rsid w:val="00075F1D"/>
    <w:rsid w:val="00076629"/>
    <w:rsid w:val="00080395"/>
    <w:rsid w:val="000819B7"/>
    <w:rsid w:val="00081D24"/>
    <w:rsid w:val="00083EA3"/>
    <w:rsid w:val="00084794"/>
    <w:rsid w:val="000855F9"/>
    <w:rsid w:val="00085775"/>
    <w:rsid w:val="0008628F"/>
    <w:rsid w:val="00087602"/>
    <w:rsid w:val="00090112"/>
    <w:rsid w:val="00090B84"/>
    <w:rsid w:val="00091AE7"/>
    <w:rsid w:val="00091E32"/>
    <w:rsid w:val="00092318"/>
    <w:rsid w:val="00092759"/>
    <w:rsid w:val="00092C7B"/>
    <w:rsid w:val="00093EC2"/>
    <w:rsid w:val="00095BEE"/>
    <w:rsid w:val="000A0433"/>
    <w:rsid w:val="000B0558"/>
    <w:rsid w:val="000B0A93"/>
    <w:rsid w:val="000C0642"/>
    <w:rsid w:val="000C5534"/>
    <w:rsid w:val="000C6676"/>
    <w:rsid w:val="000D4635"/>
    <w:rsid w:val="000E523E"/>
    <w:rsid w:val="000F0A36"/>
    <w:rsid w:val="000F13DE"/>
    <w:rsid w:val="000F3F34"/>
    <w:rsid w:val="00100FB2"/>
    <w:rsid w:val="00104E9A"/>
    <w:rsid w:val="00106EEE"/>
    <w:rsid w:val="001105EC"/>
    <w:rsid w:val="00112690"/>
    <w:rsid w:val="00113006"/>
    <w:rsid w:val="001134EA"/>
    <w:rsid w:val="00114A1E"/>
    <w:rsid w:val="00121BFE"/>
    <w:rsid w:val="00121EBA"/>
    <w:rsid w:val="001324EC"/>
    <w:rsid w:val="00132DE8"/>
    <w:rsid w:val="00151CAF"/>
    <w:rsid w:val="001532DD"/>
    <w:rsid w:val="00154A78"/>
    <w:rsid w:val="00154DDA"/>
    <w:rsid w:val="0015630B"/>
    <w:rsid w:val="001574B3"/>
    <w:rsid w:val="00160C9A"/>
    <w:rsid w:val="001633D3"/>
    <w:rsid w:val="00164AD4"/>
    <w:rsid w:val="00165484"/>
    <w:rsid w:val="00166F4D"/>
    <w:rsid w:val="00172D94"/>
    <w:rsid w:val="00177A33"/>
    <w:rsid w:val="00181929"/>
    <w:rsid w:val="00181A52"/>
    <w:rsid w:val="0018466D"/>
    <w:rsid w:val="0019412F"/>
    <w:rsid w:val="001951A4"/>
    <w:rsid w:val="001978D3"/>
    <w:rsid w:val="001A18FD"/>
    <w:rsid w:val="001A75B0"/>
    <w:rsid w:val="001A7D4B"/>
    <w:rsid w:val="001B0833"/>
    <w:rsid w:val="001B5A5A"/>
    <w:rsid w:val="001B712D"/>
    <w:rsid w:val="001B7711"/>
    <w:rsid w:val="001C05D8"/>
    <w:rsid w:val="001C2259"/>
    <w:rsid w:val="001C4638"/>
    <w:rsid w:val="001C4991"/>
    <w:rsid w:val="001C6B9B"/>
    <w:rsid w:val="001C7AA5"/>
    <w:rsid w:val="001D0784"/>
    <w:rsid w:val="001D0FDF"/>
    <w:rsid w:val="001D2054"/>
    <w:rsid w:val="001D20FD"/>
    <w:rsid w:val="001D3D97"/>
    <w:rsid w:val="001D5654"/>
    <w:rsid w:val="001D620C"/>
    <w:rsid w:val="001D6E33"/>
    <w:rsid w:val="001D77B1"/>
    <w:rsid w:val="001D79D5"/>
    <w:rsid w:val="001E0D99"/>
    <w:rsid w:val="001E21D9"/>
    <w:rsid w:val="001E2534"/>
    <w:rsid w:val="001E43C4"/>
    <w:rsid w:val="001E4863"/>
    <w:rsid w:val="001E53AC"/>
    <w:rsid w:val="001F0F26"/>
    <w:rsid w:val="001F1D33"/>
    <w:rsid w:val="001F1E93"/>
    <w:rsid w:val="00203DA0"/>
    <w:rsid w:val="0020437C"/>
    <w:rsid w:val="00205833"/>
    <w:rsid w:val="00205C46"/>
    <w:rsid w:val="002062D3"/>
    <w:rsid w:val="002126FC"/>
    <w:rsid w:val="002201A8"/>
    <w:rsid w:val="002247CF"/>
    <w:rsid w:val="00226912"/>
    <w:rsid w:val="00227CEA"/>
    <w:rsid w:val="002338D4"/>
    <w:rsid w:val="00234A6B"/>
    <w:rsid w:val="0023565A"/>
    <w:rsid w:val="00236CC7"/>
    <w:rsid w:val="002400AD"/>
    <w:rsid w:val="00243403"/>
    <w:rsid w:val="0024448C"/>
    <w:rsid w:val="00252669"/>
    <w:rsid w:val="00253673"/>
    <w:rsid w:val="002544BF"/>
    <w:rsid w:val="0025486C"/>
    <w:rsid w:val="00260D35"/>
    <w:rsid w:val="0026221F"/>
    <w:rsid w:val="00262F57"/>
    <w:rsid w:val="00263917"/>
    <w:rsid w:val="00265913"/>
    <w:rsid w:val="00266BFA"/>
    <w:rsid w:val="0027135B"/>
    <w:rsid w:val="00275153"/>
    <w:rsid w:val="00281E45"/>
    <w:rsid w:val="002833F1"/>
    <w:rsid w:val="00283F9B"/>
    <w:rsid w:val="00287A6A"/>
    <w:rsid w:val="00291BC9"/>
    <w:rsid w:val="00291DF5"/>
    <w:rsid w:val="0029488A"/>
    <w:rsid w:val="00297212"/>
    <w:rsid w:val="002A1E62"/>
    <w:rsid w:val="002A1F33"/>
    <w:rsid w:val="002A37BD"/>
    <w:rsid w:val="002A3F28"/>
    <w:rsid w:val="002A4194"/>
    <w:rsid w:val="002A77E2"/>
    <w:rsid w:val="002B1554"/>
    <w:rsid w:val="002B1EED"/>
    <w:rsid w:val="002B34B7"/>
    <w:rsid w:val="002B6451"/>
    <w:rsid w:val="002D0A83"/>
    <w:rsid w:val="002D4714"/>
    <w:rsid w:val="002D5830"/>
    <w:rsid w:val="002E0C44"/>
    <w:rsid w:val="002E6712"/>
    <w:rsid w:val="002F01BF"/>
    <w:rsid w:val="002F1556"/>
    <w:rsid w:val="002F2266"/>
    <w:rsid w:val="002F3D1A"/>
    <w:rsid w:val="002F6F09"/>
    <w:rsid w:val="003006BC"/>
    <w:rsid w:val="00300FF3"/>
    <w:rsid w:val="003065A3"/>
    <w:rsid w:val="00311560"/>
    <w:rsid w:val="003115C2"/>
    <w:rsid w:val="00312242"/>
    <w:rsid w:val="00314F21"/>
    <w:rsid w:val="00315D5C"/>
    <w:rsid w:val="00315FD6"/>
    <w:rsid w:val="00316725"/>
    <w:rsid w:val="00316C80"/>
    <w:rsid w:val="00321099"/>
    <w:rsid w:val="00323A20"/>
    <w:rsid w:val="00325178"/>
    <w:rsid w:val="00325B49"/>
    <w:rsid w:val="00326FBE"/>
    <w:rsid w:val="00331FB6"/>
    <w:rsid w:val="0033221B"/>
    <w:rsid w:val="00335FC3"/>
    <w:rsid w:val="00336868"/>
    <w:rsid w:val="003400E8"/>
    <w:rsid w:val="003401A2"/>
    <w:rsid w:val="00340685"/>
    <w:rsid w:val="00343FFC"/>
    <w:rsid w:val="003454AA"/>
    <w:rsid w:val="003518AB"/>
    <w:rsid w:val="00352099"/>
    <w:rsid w:val="0035218F"/>
    <w:rsid w:val="0035237C"/>
    <w:rsid w:val="00354D28"/>
    <w:rsid w:val="00357F28"/>
    <w:rsid w:val="00362CCD"/>
    <w:rsid w:val="0036490F"/>
    <w:rsid w:val="00364C7E"/>
    <w:rsid w:val="00371D89"/>
    <w:rsid w:val="00371FA1"/>
    <w:rsid w:val="00372860"/>
    <w:rsid w:val="00372E65"/>
    <w:rsid w:val="003745CD"/>
    <w:rsid w:val="003814F4"/>
    <w:rsid w:val="00382998"/>
    <w:rsid w:val="003830D2"/>
    <w:rsid w:val="003866F3"/>
    <w:rsid w:val="0039417B"/>
    <w:rsid w:val="00395C74"/>
    <w:rsid w:val="003A095E"/>
    <w:rsid w:val="003A7145"/>
    <w:rsid w:val="003B112F"/>
    <w:rsid w:val="003B2784"/>
    <w:rsid w:val="003B5483"/>
    <w:rsid w:val="003B6019"/>
    <w:rsid w:val="003B60AB"/>
    <w:rsid w:val="003B695E"/>
    <w:rsid w:val="003B7EA1"/>
    <w:rsid w:val="003C1049"/>
    <w:rsid w:val="003C1C0D"/>
    <w:rsid w:val="003C2C5A"/>
    <w:rsid w:val="003C4F47"/>
    <w:rsid w:val="003C6CAB"/>
    <w:rsid w:val="003D11EA"/>
    <w:rsid w:val="003D5980"/>
    <w:rsid w:val="003E168B"/>
    <w:rsid w:val="003E1832"/>
    <w:rsid w:val="003E239B"/>
    <w:rsid w:val="003E55AF"/>
    <w:rsid w:val="003E5FC3"/>
    <w:rsid w:val="003F04C2"/>
    <w:rsid w:val="003F0778"/>
    <w:rsid w:val="003F1247"/>
    <w:rsid w:val="003F196D"/>
    <w:rsid w:val="004004B8"/>
    <w:rsid w:val="004017CC"/>
    <w:rsid w:val="00402869"/>
    <w:rsid w:val="00411563"/>
    <w:rsid w:val="00413258"/>
    <w:rsid w:val="00415CD8"/>
    <w:rsid w:val="00416085"/>
    <w:rsid w:val="00416A60"/>
    <w:rsid w:val="00416CEA"/>
    <w:rsid w:val="00416F8C"/>
    <w:rsid w:val="0041743C"/>
    <w:rsid w:val="00420902"/>
    <w:rsid w:val="00420E7D"/>
    <w:rsid w:val="004252CE"/>
    <w:rsid w:val="0042725D"/>
    <w:rsid w:val="00427633"/>
    <w:rsid w:val="00432CB1"/>
    <w:rsid w:val="0043334F"/>
    <w:rsid w:val="00434C71"/>
    <w:rsid w:val="0043549A"/>
    <w:rsid w:val="00435B48"/>
    <w:rsid w:val="00437CBA"/>
    <w:rsid w:val="00440192"/>
    <w:rsid w:val="00440D2F"/>
    <w:rsid w:val="00441B80"/>
    <w:rsid w:val="00441E2C"/>
    <w:rsid w:val="00443C1A"/>
    <w:rsid w:val="004457F5"/>
    <w:rsid w:val="00447AB0"/>
    <w:rsid w:val="00451261"/>
    <w:rsid w:val="00451DB0"/>
    <w:rsid w:val="00456EE1"/>
    <w:rsid w:val="00457080"/>
    <w:rsid w:val="00465DB7"/>
    <w:rsid w:val="0046723F"/>
    <w:rsid w:val="00467FD2"/>
    <w:rsid w:val="004706F6"/>
    <w:rsid w:val="00470968"/>
    <w:rsid w:val="004713FB"/>
    <w:rsid w:val="0047294E"/>
    <w:rsid w:val="00473982"/>
    <w:rsid w:val="00476646"/>
    <w:rsid w:val="00477E26"/>
    <w:rsid w:val="00480788"/>
    <w:rsid w:val="004807A3"/>
    <w:rsid w:val="004816D3"/>
    <w:rsid w:val="00483854"/>
    <w:rsid w:val="00484571"/>
    <w:rsid w:val="00484D6B"/>
    <w:rsid w:val="00487182"/>
    <w:rsid w:val="00490A46"/>
    <w:rsid w:val="0049143D"/>
    <w:rsid w:val="00491855"/>
    <w:rsid w:val="00491B54"/>
    <w:rsid w:val="0049383D"/>
    <w:rsid w:val="004957B4"/>
    <w:rsid w:val="004A1D23"/>
    <w:rsid w:val="004A3626"/>
    <w:rsid w:val="004A3B5D"/>
    <w:rsid w:val="004B1085"/>
    <w:rsid w:val="004B3852"/>
    <w:rsid w:val="004B3E25"/>
    <w:rsid w:val="004B563F"/>
    <w:rsid w:val="004B6FD4"/>
    <w:rsid w:val="004B7EAD"/>
    <w:rsid w:val="004C05A6"/>
    <w:rsid w:val="004C2A0E"/>
    <w:rsid w:val="004C4341"/>
    <w:rsid w:val="004C50B1"/>
    <w:rsid w:val="004D232C"/>
    <w:rsid w:val="004D36A2"/>
    <w:rsid w:val="004D377A"/>
    <w:rsid w:val="004D40A5"/>
    <w:rsid w:val="004D50E2"/>
    <w:rsid w:val="004D5B7B"/>
    <w:rsid w:val="004D7540"/>
    <w:rsid w:val="004E4361"/>
    <w:rsid w:val="004E6DCE"/>
    <w:rsid w:val="004E741B"/>
    <w:rsid w:val="004F0BA3"/>
    <w:rsid w:val="004F3ECE"/>
    <w:rsid w:val="004F6EEC"/>
    <w:rsid w:val="00500348"/>
    <w:rsid w:val="0050241C"/>
    <w:rsid w:val="00502681"/>
    <w:rsid w:val="005058A0"/>
    <w:rsid w:val="00507E8C"/>
    <w:rsid w:val="00511475"/>
    <w:rsid w:val="0051165B"/>
    <w:rsid w:val="005125F1"/>
    <w:rsid w:val="00512F73"/>
    <w:rsid w:val="00514FC7"/>
    <w:rsid w:val="005207E3"/>
    <w:rsid w:val="00522079"/>
    <w:rsid w:val="00522D7C"/>
    <w:rsid w:val="00524390"/>
    <w:rsid w:val="00526743"/>
    <w:rsid w:val="005332E0"/>
    <w:rsid w:val="00534D4C"/>
    <w:rsid w:val="0053570A"/>
    <w:rsid w:val="0053763D"/>
    <w:rsid w:val="00541ADA"/>
    <w:rsid w:val="00543018"/>
    <w:rsid w:val="00550E60"/>
    <w:rsid w:val="00552087"/>
    <w:rsid w:val="005542D9"/>
    <w:rsid w:val="0055586D"/>
    <w:rsid w:val="00556579"/>
    <w:rsid w:val="00560E4D"/>
    <w:rsid w:val="005629AD"/>
    <w:rsid w:val="00562C85"/>
    <w:rsid w:val="005652AF"/>
    <w:rsid w:val="00565CCC"/>
    <w:rsid w:val="00567CAF"/>
    <w:rsid w:val="005712F8"/>
    <w:rsid w:val="00571731"/>
    <w:rsid w:val="00571F4A"/>
    <w:rsid w:val="00572E38"/>
    <w:rsid w:val="00580636"/>
    <w:rsid w:val="005814F7"/>
    <w:rsid w:val="005828E0"/>
    <w:rsid w:val="005851BD"/>
    <w:rsid w:val="0058582C"/>
    <w:rsid w:val="0058769E"/>
    <w:rsid w:val="00593A7C"/>
    <w:rsid w:val="00595B53"/>
    <w:rsid w:val="005A076E"/>
    <w:rsid w:val="005A15B3"/>
    <w:rsid w:val="005A2A45"/>
    <w:rsid w:val="005A3211"/>
    <w:rsid w:val="005A33D2"/>
    <w:rsid w:val="005A3FED"/>
    <w:rsid w:val="005A554D"/>
    <w:rsid w:val="005B0791"/>
    <w:rsid w:val="005B19B5"/>
    <w:rsid w:val="005B1CBB"/>
    <w:rsid w:val="005B2907"/>
    <w:rsid w:val="005B2CC7"/>
    <w:rsid w:val="005B3FA7"/>
    <w:rsid w:val="005B41E5"/>
    <w:rsid w:val="005B6223"/>
    <w:rsid w:val="005C1A55"/>
    <w:rsid w:val="005C2A13"/>
    <w:rsid w:val="005C2DD0"/>
    <w:rsid w:val="005C3BDD"/>
    <w:rsid w:val="005C424D"/>
    <w:rsid w:val="005C5E0A"/>
    <w:rsid w:val="005D06E5"/>
    <w:rsid w:val="005D0D90"/>
    <w:rsid w:val="005D12E4"/>
    <w:rsid w:val="005D1802"/>
    <w:rsid w:val="005D31DE"/>
    <w:rsid w:val="005D42A0"/>
    <w:rsid w:val="005D43D8"/>
    <w:rsid w:val="005D467C"/>
    <w:rsid w:val="005D469F"/>
    <w:rsid w:val="005D4B6E"/>
    <w:rsid w:val="005D53BA"/>
    <w:rsid w:val="005D6BA3"/>
    <w:rsid w:val="005D7ABC"/>
    <w:rsid w:val="005E1847"/>
    <w:rsid w:val="005E391F"/>
    <w:rsid w:val="005E45E4"/>
    <w:rsid w:val="005E5EA5"/>
    <w:rsid w:val="005E6936"/>
    <w:rsid w:val="005F1665"/>
    <w:rsid w:val="005F2AAF"/>
    <w:rsid w:val="005F6D0A"/>
    <w:rsid w:val="0060023A"/>
    <w:rsid w:val="00601511"/>
    <w:rsid w:val="006025E9"/>
    <w:rsid w:val="00603F01"/>
    <w:rsid w:val="0061359C"/>
    <w:rsid w:val="006135AC"/>
    <w:rsid w:val="00613818"/>
    <w:rsid w:val="00613C08"/>
    <w:rsid w:val="0061510C"/>
    <w:rsid w:val="00615418"/>
    <w:rsid w:val="00616000"/>
    <w:rsid w:val="006177A8"/>
    <w:rsid w:val="006222BA"/>
    <w:rsid w:val="00624D4B"/>
    <w:rsid w:val="00626192"/>
    <w:rsid w:val="00627EC1"/>
    <w:rsid w:val="0063161F"/>
    <w:rsid w:val="00632179"/>
    <w:rsid w:val="00632E6B"/>
    <w:rsid w:val="0063374F"/>
    <w:rsid w:val="006344A9"/>
    <w:rsid w:val="006353C1"/>
    <w:rsid w:val="00636C65"/>
    <w:rsid w:val="006402D3"/>
    <w:rsid w:val="00640D00"/>
    <w:rsid w:val="00640D14"/>
    <w:rsid w:val="00642443"/>
    <w:rsid w:val="006428E7"/>
    <w:rsid w:val="00643FAF"/>
    <w:rsid w:val="00644FDD"/>
    <w:rsid w:val="00645890"/>
    <w:rsid w:val="006465B2"/>
    <w:rsid w:val="00647A9F"/>
    <w:rsid w:val="00647B95"/>
    <w:rsid w:val="0065038A"/>
    <w:rsid w:val="0065161A"/>
    <w:rsid w:val="00651DFE"/>
    <w:rsid w:val="00652A7D"/>
    <w:rsid w:val="00652D0A"/>
    <w:rsid w:val="00653D4A"/>
    <w:rsid w:val="00654832"/>
    <w:rsid w:val="00655A96"/>
    <w:rsid w:val="00655FBB"/>
    <w:rsid w:val="006577F4"/>
    <w:rsid w:val="006637DF"/>
    <w:rsid w:val="006658FF"/>
    <w:rsid w:val="00665CF3"/>
    <w:rsid w:val="00670589"/>
    <w:rsid w:val="00673D3A"/>
    <w:rsid w:val="0067408A"/>
    <w:rsid w:val="00674646"/>
    <w:rsid w:val="00675A2E"/>
    <w:rsid w:val="00677D79"/>
    <w:rsid w:val="006810CD"/>
    <w:rsid w:val="0068272A"/>
    <w:rsid w:val="0068545B"/>
    <w:rsid w:val="0068645E"/>
    <w:rsid w:val="00690D24"/>
    <w:rsid w:val="006930F9"/>
    <w:rsid w:val="0069365D"/>
    <w:rsid w:val="006947A9"/>
    <w:rsid w:val="006A626D"/>
    <w:rsid w:val="006A79E8"/>
    <w:rsid w:val="006A7A75"/>
    <w:rsid w:val="006B049A"/>
    <w:rsid w:val="006B26D3"/>
    <w:rsid w:val="006B276C"/>
    <w:rsid w:val="006B693B"/>
    <w:rsid w:val="006B6CEF"/>
    <w:rsid w:val="006B7E82"/>
    <w:rsid w:val="006C0B69"/>
    <w:rsid w:val="006C1648"/>
    <w:rsid w:val="006C24B0"/>
    <w:rsid w:val="006C2A94"/>
    <w:rsid w:val="006C53C2"/>
    <w:rsid w:val="006C68CF"/>
    <w:rsid w:val="006C7F78"/>
    <w:rsid w:val="006D5CE8"/>
    <w:rsid w:val="006E1573"/>
    <w:rsid w:val="006E15A9"/>
    <w:rsid w:val="006E1D82"/>
    <w:rsid w:val="006F489E"/>
    <w:rsid w:val="006F7D91"/>
    <w:rsid w:val="00701618"/>
    <w:rsid w:val="00701F80"/>
    <w:rsid w:val="00703591"/>
    <w:rsid w:val="00703B07"/>
    <w:rsid w:val="00703B72"/>
    <w:rsid w:val="00704DC8"/>
    <w:rsid w:val="00706F21"/>
    <w:rsid w:val="007114BF"/>
    <w:rsid w:val="007124A2"/>
    <w:rsid w:val="00715BE6"/>
    <w:rsid w:val="007167E7"/>
    <w:rsid w:val="007171DC"/>
    <w:rsid w:val="00721400"/>
    <w:rsid w:val="00730686"/>
    <w:rsid w:val="007310AE"/>
    <w:rsid w:val="00732C74"/>
    <w:rsid w:val="0073385B"/>
    <w:rsid w:val="00733DA9"/>
    <w:rsid w:val="0073555F"/>
    <w:rsid w:val="00735BD1"/>
    <w:rsid w:val="00736F79"/>
    <w:rsid w:val="00744A29"/>
    <w:rsid w:val="00744B1A"/>
    <w:rsid w:val="007528C0"/>
    <w:rsid w:val="00753B92"/>
    <w:rsid w:val="00753DEC"/>
    <w:rsid w:val="007554D6"/>
    <w:rsid w:val="00755881"/>
    <w:rsid w:val="00755A46"/>
    <w:rsid w:val="00756580"/>
    <w:rsid w:val="00761702"/>
    <w:rsid w:val="007629F3"/>
    <w:rsid w:val="007630CD"/>
    <w:rsid w:val="007662E6"/>
    <w:rsid w:val="00773FC1"/>
    <w:rsid w:val="00774205"/>
    <w:rsid w:val="0077432A"/>
    <w:rsid w:val="00775E7C"/>
    <w:rsid w:val="00775FD3"/>
    <w:rsid w:val="0077695B"/>
    <w:rsid w:val="0077774A"/>
    <w:rsid w:val="007906AE"/>
    <w:rsid w:val="00791269"/>
    <w:rsid w:val="007933ED"/>
    <w:rsid w:val="00793C35"/>
    <w:rsid w:val="00796D4A"/>
    <w:rsid w:val="007975FC"/>
    <w:rsid w:val="007A7455"/>
    <w:rsid w:val="007A7469"/>
    <w:rsid w:val="007B0632"/>
    <w:rsid w:val="007B0AC0"/>
    <w:rsid w:val="007B331A"/>
    <w:rsid w:val="007B4A79"/>
    <w:rsid w:val="007B4B4E"/>
    <w:rsid w:val="007B56F8"/>
    <w:rsid w:val="007B5B2E"/>
    <w:rsid w:val="007B6ECF"/>
    <w:rsid w:val="007C09E9"/>
    <w:rsid w:val="007C2F1C"/>
    <w:rsid w:val="007C49CE"/>
    <w:rsid w:val="007C70E3"/>
    <w:rsid w:val="007C7E27"/>
    <w:rsid w:val="007D40DC"/>
    <w:rsid w:val="007D439E"/>
    <w:rsid w:val="007D5087"/>
    <w:rsid w:val="007E6D24"/>
    <w:rsid w:val="007F3FA2"/>
    <w:rsid w:val="007F5570"/>
    <w:rsid w:val="007F616D"/>
    <w:rsid w:val="007F6A65"/>
    <w:rsid w:val="00800B38"/>
    <w:rsid w:val="008020B5"/>
    <w:rsid w:val="00802E28"/>
    <w:rsid w:val="00805649"/>
    <w:rsid w:val="008073BC"/>
    <w:rsid w:val="00814D2E"/>
    <w:rsid w:val="00815BB0"/>
    <w:rsid w:val="008161CD"/>
    <w:rsid w:val="0081726F"/>
    <w:rsid w:val="008237BC"/>
    <w:rsid w:val="00825F13"/>
    <w:rsid w:val="008276D3"/>
    <w:rsid w:val="0083180B"/>
    <w:rsid w:val="00837426"/>
    <w:rsid w:val="008404DE"/>
    <w:rsid w:val="008407A9"/>
    <w:rsid w:val="00841D7F"/>
    <w:rsid w:val="00841FCD"/>
    <w:rsid w:val="0084265E"/>
    <w:rsid w:val="00842B44"/>
    <w:rsid w:val="00845C98"/>
    <w:rsid w:val="00846115"/>
    <w:rsid w:val="00850F9D"/>
    <w:rsid w:val="0085190E"/>
    <w:rsid w:val="008551B9"/>
    <w:rsid w:val="00857FDB"/>
    <w:rsid w:val="00862440"/>
    <w:rsid w:val="00862E94"/>
    <w:rsid w:val="00863911"/>
    <w:rsid w:val="0086661D"/>
    <w:rsid w:val="00870688"/>
    <w:rsid w:val="008722B2"/>
    <w:rsid w:val="00873A44"/>
    <w:rsid w:val="00876081"/>
    <w:rsid w:val="0087703E"/>
    <w:rsid w:val="00877ED8"/>
    <w:rsid w:val="00880636"/>
    <w:rsid w:val="00884CE4"/>
    <w:rsid w:val="008859A7"/>
    <w:rsid w:val="008859BE"/>
    <w:rsid w:val="0088755E"/>
    <w:rsid w:val="00894B78"/>
    <w:rsid w:val="00896FF8"/>
    <w:rsid w:val="0089729A"/>
    <w:rsid w:val="00897716"/>
    <w:rsid w:val="008A0522"/>
    <w:rsid w:val="008A0E08"/>
    <w:rsid w:val="008A43D3"/>
    <w:rsid w:val="008A4ACE"/>
    <w:rsid w:val="008A66A7"/>
    <w:rsid w:val="008A784E"/>
    <w:rsid w:val="008B346B"/>
    <w:rsid w:val="008B42B7"/>
    <w:rsid w:val="008B50F1"/>
    <w:rsid w:val="008B5D9E"/>
    <w:rsid w:val="008B7591"/>
    <w:rsid w:val="008C1869"/>
    <w:rsid w:val="008C38A7"/>
    <w:rsid w:val="008C6331"/>
    <w:rsid w:val="008C63C1"/>
    <w:rsid w:val="008D27BF"/>
    <w:rsid w:val="008D2E91"/>
    <w:rsid w:val="008D71DC"/>
    <w:rsid w:val="008E2110"/>
    <w:rsid w:val="008E27D5"/>
    <w:rsid w:val="008E28D8"/>
    <w:rsid w:val="008E2DAC"/>
    <w:rsid w:val="008E5301"/>
    <w:rsid w:val="008E682D"/>
    <w:rsid w:val="008F0350"/>
    <w:rsid w:val="008F0B06"/>
    <w:rsid w:val="008F1374"/>
    <w:rsid w:val="008F2AD2"/>
    <w:rsid w:val="008F32F0"/>
    <w:rsid w:val="008F41BE"/>
    <w:rsid w:val="008F48D3"/>
    <w:rsid w:val="008F513F"/>
    <w:rsid w:val="008F5164"/>
    <w:rsid w:val="008F7445"/>
    <w:rsid w:val="0090073D"/>
    <w:rsid w:val="00900E9E"/>
    <w:rsid w:val="00901F3F"/>
    <w:rsid w:val="0090616E"/>
    <w:rsid w:val="0090624B"/>
    <w:rsid w:val="00906816"/>
    <w:rsid w:val="009145A7"/>
    <w:rsid w:val="009148D8"/>
    <w:rsid w:val="00915D35"/>
    <w:rsid w:val="009165BB"/>
    <w:rsid w:val="009174E2"/>
    <w:rsid w:val="0092466D"/>
    <w:rsid w:val="0092504D"/>
    <w:rsid w:val="0092741D"/>
    <w:rsid w:val="00927A61"/>
    <w:rsid w:val="00930C31"/>
    <w:rsid w:val="009361B0"/>
    <w:rsid w:val="00936BBA"/>
    <w:rsid w:val="00940A4D"/>
    <w:rsid w:val="009460D3"/>
    <w:rsid w:val="00956F54"/>
    <w:rsid w:val="00960A8C"/>
    <w:rsid w:val="0096214E"/>
    <w:rsid w:val="0096255B"/>
    <w:rsid w:val="00962639"/>
    <w:rsid w:val="00962855"/>
    <w:rsid w:val="00962ED0"/>
    <w:rsid w:val="00964679"/>
    <w:rsid w:val="00965815"/>
    <w:rsid w:val="009679B2"/>
    <w:rsid w:val="00967AEF"/>
    <w:rsid w:val="00970755"/>
    <w:rsid w:val="00973CBC"/>
    <w:rsid w:val="00975694"/>
    <w:rsid w:val="00976295"/>
    <w:rsid w:val="00976791"/>
    <w:rsid w:val="00977134"/>
    <w:rsid w:val="00977E8D"/>
    <w:rsid w:val="00984861"/>
    <w:rsid w:val="00984E98"/>
    <w:rsid w:val="0098680F"/>
    <w:rsid w:val="00986E89"/>
    <w:rsid w:val="00987874"/>
    <w:rsid w:val="00987AC3"/>
    <w:rsid w:val="009907C6"/>
    <w:rsid w:val="00990E75"/>
    <w:rsid w:val="00991613"/>
    <w:rsid w:val="009929B6"/>
    <w:rsid w:val="00992E12"/>
    <w:rsid w:val="00993CE5"/>
    <w:rsid w:val="00994461"/>
    <w:rsid w:val="00995A4B"/>
    <w:rsid w:val="00997946"/>
    <w:rsid w:val="009A0355"/>
    <w:rsid w:val="009A1A45"/>
    <w:rsid w:val="009A5B3D"/>
    <w:rsid w:val="009B3752"/>
    <w:rsid w:val="009B489A"/>
    <w:rsid w:val="009B4E92"/>
    <w:rsid w:val="009B7566"/>
    <w:rsid w:val="009C4131"/>
    <w:rsid w:val="009C6541"/>
    <w:rsid w:val="009C6CDB"/>
    <w:rsid w:val="009C777C"/>
    <w:rsid w:val="009D067B"/>
    <w:rsid w:val="009D0E3E"/>
    <w:rsid w:val="009D247E"/>
    <w:rsid w:val="009D2A23"/>
    <w:rsid w:val="009D2C59"/>
    <w:rsid w:val="009D7B07"/>
    <w:rsid w:val="009E0013"/>
    <w:rsid w:val="009E4B52"/>
    <w:rsid w:val="009E7F13"/>
    <w:rsid w:val="009F14E9"/>
    <w:rsid w:val="009F25AA"/>
    <w:rsid w:val="009F2774"/>
    <w:rsid w:val="009F27D4"/>
    <w:rsid w:val="009F4E70"/>
    <w:rsid w:val="009F5934"/>
    <w:rsid w:val="009F6F0A"/>
    <w:rsid w:val="00A029E4"/>
    <w:rsid w:val="00A03983"/>
    <w:rsid w:val="00A04EB0"/>
    <w:rsid w:val="00A0667A"/>
    <w:rsid w:val="00A069E4"/>
    <w:rsid w:val="00A074A4"/>
    <w:rsid w:val="00A07A21"/>
    <w:rsid w:val="00A10964"/>
    <w:rsid w:val="00A10A6F"/>
    <w:rsid w:val="00A110EA"/>
    <w:rsid w:val="00A11150"/>
    <w:rsid w:val="00A111FF"/>
    <w:rsid w:val="00A1337F"/>
    <w:rsid w:val="00A142BC"/>
    <w:rsid w:val="00A14566"/>
    <w:rsid w:val="00A14718"/>
    <w:rsid w:val="00A157FE"/>
    <w:rsid w:val="00A15DBA"/>
    <w:rsid w:val="00A15E4A"/>
    <w:rsid w:val="00A24261"/>
    <w:rsid w:val="00A25D28"/>
    <w:rsid w:val="00A25F0E"/>
    <w:rsid w:val="00A267FB"/>
    <w:rsid w:val="00A26C9E"/>
    <w:rsid w:val="00A3021F"/>
    <w:rsid w:val="00A36AA2"/>
    <w:rsid w:val="00A37988"/>
    <w:rsid w:val="00A41CBF"/>
    <w:rsid w:val="00A434C4"/>
    <w:rsid w:val="00A43D2C"/>
    <w:rsid w:val="00A45994"/>
    <w:rsid w:val="00A515A0"/>
    <w:rsid w:val="00A57292"/>
    <w:rsid w:val="00A60CF8"/>
    <w:rsid w:val="00A6365F"/>
    <w:rsid w:val="00A67B6A"/>
    <w:rsid w:val="00A718C6"/>
    <w:rsid w:val="00A728A8"/>
    <w:rsid w:val="00A74E88"/>
    <w:rsid w:val="00A75E05"/>
    <w:rsid w:val="00A77521"/>
    <w:rsid w:val="00A805F3"/>
    <w:rsid w:val="00A8214A"/>
    <w:rsid w:val="00A90924"/>
    <w:rsid w:val="00A91C96"/>
    <w:rsid w:val="00A91EA7"/>
    <w:rsid w:val="00A938DF"/>
    <w:rsid w:val="00A945C2"/>
    <w:rsid w:val="00A964BC"/>
    <w:rsid w:val="00A96620"/>
    <w:rsid w:val="00A97094"/>
    <w:rsid w:val="00AA036C"/>
    <w:rsid w:val="00AB55E5"/>
    <w:rsid w:val="00AB7223"/>
    <w:rsid w:val="00AB77CD"/>
    <w:rsid w:val="00AC03A0"/>
    <w:rsid w:val="00AC2E2F"/>
    <w:rsid w:val="00AC6A21"/>
    <w:rsid w:val="00AC740A"/>
    <w:rsid w:val="00AC755D"/>
    <w:rsid w:val="00AD0552"/>
    <w:rsid w:val="00AD2C8B"/>
    <w:rsid w:val="00AD4496"/>
    <w:rsid w:val="00AD50D2"/>
    <w:rsid w:val="00AD6BB0"/>
    <w:rsid w:val="00AE15DA"/>
    <w:rsid w:val="00AE1A98"/>
    <w:rsid w:val="00AE2BCB"/>
    <w:rsid w:val="00AE48D0"/>
    <w:rsid w:val="00AE67BB"/>
    <w:rsid w:val="00AF09FA"/>
    <w:rsid w:val="00AF251E"/>
    <w:rsid w:val="00AF3B24"/>
    <w:rsid w:val="00AF3B90"/>
    <w:rsid w:val="00AF4E1B"/>
    <w:rsid w:val="00AF5419"/>
    <w:rsid w:val="00B00331"/>
    <w:rsid w:val="00B015E1"/>
    <w:rsid w:val="00B01CDF"/>
    <w:rsid w:val="00B03D16"/>
    <w:rsid w:val="00B042CC"/>
    <w:rsid w:val="00B06245"/>
    <w:rsid w:val="00B07D05"/>
    <w:rsid w:val="00B10D1F"/>
    <w:rsid w:val="00B12447"/>
    <w:rsid w:val="00B125CB"/>
    <w:rsid w:val="00B14389"/>
    <w:rsid w:val="00B144BA"/>
    <w:rsid w:val="00B15071"/>
    <w:rsid w:val="00B20708"/>
    <w:rsid w:val="00B211EF"/>
    <w:rsid w:val="00B21DA1"/>
    <w:rsid w:val="00B22D0E"/>
    <w:rsid w:val="00B23051"/>
    <w:rsid w:val="00B26120"/>
    <w:rsid w:val="00B30D4B"/>
    <w:rsid w:val="00B30E13"/>
    <w:rsid w:val="00B33217"/>
    <w:rsid w:val="00B33C9D"/>
    <w:rsid w:val="00B3469F"/>
    <w:rsid w:val="00B36A53"/>
    <w:rsid w:val="00B40EEF"/>
    <w:rsid w:val="00B416E8"/>
    <w:rsid w:val="00B42344"/>
    <w:rsid w:val="00B43776"/>
    <w:rsid w:val="00B44C76"/>
    <w:rsid w:val="00B458E9"/>
    <w:rsid w:val="00B45E3D"/>
    <w:rsid w:val="00B45F32"/>
    <w:rsid w:val="00B460F0"/>
    <w:rsid w:val="00B46CF1"/>
    <w:rsid w:val="00B51775"/>
    <w:rsid w:val="00B53907"/>
    <w:rsid w:val="00B54873"/>
    <w:rsid w:val="00B56AF5"/>
    <w:rsid w:val="00B57AB3"/>
    <w:rsid w:val="00B602B7"/>
    <w:rsid w:val="00B616F5"/>
    <w:rsid w:val="00B62358"/>
    <w:rsid w:val="00B63495"/>
    <w:rsid w:val="00B647C5"/>
    <w:rsid w:val="00B64E2C"/>
    <w:rsid w:val="00B65E96"/>
    <w:rsid w:val="00B67D39"/>
    <w:rsid w:val="00B763B1"/>
    <w:rsid w:val="00B81A62"/>
    <w:rsid w:val="00B82E17"/>
    <w:rsid w:val="00B835E2"/>
    <w:rsid w:val="00B83F83"/>
    <w:rsid w:val="00B84A0C"/>
    <w:rsid w:val="00B8575B"/>
    <w:rsid w:val="00B86050"/>
    <w:rsid w:val="00B86D00"/>
    <w:rsid w:val="00B9344C"/>
    <w:rsid w:val="00B96D63"/>
    <w:rsid w:val="00BA0FFC"/>
    <w:rsid w:val="00BA481E"/>
    <w:rsid w:val="00BA4ACD"/>
    <w:rsid w:val="00BA7BF0"/>
    <w:rsid w:val="00BB7F73"/>
    <w:rsid w:val="00BC37D2"/>
    <w:rsid w:val="00BC47E4"/>
    <w:rsid w:val="00BD26E6"/>
    <w:rsid w:val="00BD2CD7"/>
    <w:rsid w:val="00BD3262"/>
    <w:rsid w:val="00BD3B4B"/>
    <w:rsid w:val="00BD5653"/>
    <w:rsid w:val="00BE4844"/>
    <w:rsid w:val="00BE60AB"/>
    <w:rsid w:val="00BE78C6"/>
    <w:rsid w:val="00BF1DEA"/>
    <w:rsid w:val="00BF451D"/>
    <w:rsid w:val="00BF5560"/>
    <w:rsid w:val="00BF665D"/>
    <w:rsid w:val="00C017BA"/>
    <w:rsid w:val="00C0545C"/>
    <w:rsid w:val="00C139FE"/>
    <w:rsid w:val="00C1596E"/>
    <w:rsid w:val="00C16EE7"/>
    <w:rsid w:val="00C17E0C"/>
    <w:rsid w:val="00C17E0F"/>
    <w:rsid w:val="00C2062C"/>
    <w:rsid w:val="00C20F97"/>
    <w:rsid w:val="00C237F6"/>
    <w:rsid w:val="00C23A47"/>
    <w:rsid w:val="00C2436C"/>
    <w:rsid w:val="00C24DA9"/>
    <w:rsid w:val="00C27AF4"/>
    <w:rsid w:val="00C27B15"/>
    <w:rsid w:val="00C37EAD"/>
    <w:rsid w:val="00C40172"/>
    <w:rsid w:val="00C477FF"/>
    <w:rsid w:val="00C5147A"/>
    <w:rsid w:val="00C56A3D"/>
    <w:rsid w:val="00C5736E"/>
    <w:rsid w:val="00C60A86"/>
    <w:rsid w:val="00C60B74"/>
    <w:rsid w:val="00C612D4"/>
    <w:rsid w:val="00C631E1"/>
    <w:rsid w:val="00C6392A"/>
    <w:rsid w:val="00C64083"/>
    <w:rsid w:val="00C6518F"/>
    <w:rsid w:val="00C65751"/>
    <w:rsid w:val="00C66256"/>
    <w:rsid w:val="00C662FB"/>
    <w:rsid w:val="00C74272"/>
    <w:rsid w:val="00C74D81"/>
    <w:rsid w:val="00C75B3A"/>
    <w:rsid w:val="00C77496"/>
    <w:rsid w:val="00C80C53"/>
    <w:rsid w:val="00C80F75"/>
    <w:rsid w:val="00C81F01"/>
    <w:rsid w:val="00C8210B"/>
    <w:rsid w:val="00C83642"/>
    <w:rsid w:val="00C845C8"/>
    <w:rsid w:val="00C846A1"/>
    <w:rsid w:val="00C846A5"/>
    <w:rsid w:val="00C923EC"/>
    <w:rsid w:val="00C946DE"/>
    <w:rsid w:val="00C94FD6"/>
    <w:rsid w:val="00CA0B57"/>
    <w:rsid w:val="00CA1DFB"/>
    <w:rsid w:val="00CA3FAF"/>
    <w:rsid w:val="00CA5845"/>
    <w:rsid w:val="00CB15CF"/>
    <w:rsid w:val="00CB17D5"/>
    <w:rsid w:val="00CB2DFA"/>
    <w:rsid w:val="00CB6A6D"/>
    <w:rsid w:val="00CB7419"/>
    <w:rsid w:val="00CB779B"/>
    <w:rsid w:val="00CC0179"/>
    <w:rsid w:val="00CC0B3A"/>
    <w:rsid w:val="00CC3B96"/>
    <w:rsid w:val="00CC5EBB"/>
    <w:rsid w:val="00CC71EB"/>
    <w:rsid w:val="00CD36C1"/>
    <w:rsid w:val="00CE22F0"/>
    <w:rsid w:val="00CE29E6"/>
    <w:rsid w:val="00CE6A6F"/>
    <w:rsid w:val="00CE7E93"/>
    <w:rsid w:val="00CF0F63"/>
    <w:rsid w:val="00CF109A"/>
    <w:rsid w:val="00CF7992"/>
    <w:rsid w:val="00D03264"/>
    <w:rsid w:val="00D03893"/>
    <w:rsid w:val="00D0519F"/>
    <w:rsid w:val="00D05356"/>
    <w:rsid w:val="00D10490"/>
    <w:rsid w:val="00D127F8"/>
    <w:rsid w:val="00D133EE"/>
    <w:rsid w:val="00D16308"/>
    <w:rsid w:val="00D167A3"/>
    <w:rsid w:val="00D173A5"/>
    <w:rsid w:val="00D17D20"/>
    <w:rsid w:val="00D20A4F"/>
    <w:rsid w:val="00D21A73"/>
    <w:rsid w:val="00D328FA"/>
    <w:rsid w:val="00D35B4C"/>
    <w:rsid w:val="00D360FA"/>
    <w:rsid w:val="00D43247"/>
    <w:rsid w:val="00D43767"/>
    <w:rsid w:val="00D43C10"/>
    <w:rsid w:val="00D536CC"/>
    <w:rsid w:val="00D53C0B"/>
    <w:rsid w:val="00D60CD4"/>
    <w:rsid w:val="00D639C7"/>
    <w:rsid w:val="00D65C94"/>
    <w:rsid w:val="00D65F9C"/>
    <w:rsid w:val="00D718ED"/>
    <w:rsid w:val="00D71917"/>
    <w:rsid w:val="00D74B99"/>
    <w:rsid w:val="00D819C7"/>
    <w:rsid w:val="00D82C45"/>
    <w:rsid w:val="00D830DC"/>
    <w:rsid w:val="00D84B2F"/>
    <w:rsid w:val="00D9141C"/>
    <w:rsid w:val="00D929F9"/>
    <w:rsid w:val="00D94A14"/>
    <w:rsid w:val="00D95EEF"/>
    <w:rsid w:val="00D9619B"/>
    <w:rsid w:val="00D97BE1"/>
    <w:rsid w:val="00DA0A4A"/>
    <w:rsid w:val="00DA27BF"/>
    <w:rsid w:val="00DA310F"/>
    <w:rsid w:val="00DA3647"/>
    <w:rsid w:val="00DA6191"/>
    <w:rsid w:val="00DA7BE4"/>
    <w:rsid w:val="00DB001F"/>
    <w:rsid w:val="00DB20DE"/>
    <w:rsid w:val="00DB4994"/>
    <w:rsid w:val="00DB4C21"/>
    <w:rsid w:val="00DB700F"/>
    <w:rsid w:val="00DB7B61"/>
    <w:rsid w:val="00DC01F3"/>
    <w:rsid w:val="00DC2120"/>
    <w:rsid w:val="00DC6D73"/>
    <w:rsid w:val="00DD2B7F"/>
    <w:rsid w:val="00DD44DA"/>
    <w:rsid w:val="00DD5079"/>
    <w:rsid w:val="00DD54A1"/>
    <w:rsid w:val="00DD5A7E"/>
    <w:rsid w:val="00DD5C55"/>
    <w:rsid w:val="00DD61FA"/>
    <w:rsid w:val="00DD6AB8"/>
    <w:rsid w:val="00DE097E"/>
    <w:rsid w:val="00DE32E9"/>
    <w:rsid w:val="00DE6169"/>
    <w:rsid w:val="00DE6315"/>
    <w:rsid w:val="00DE6F80"/>
    <w:rsid w:val="00DF17A4"/>
    <w:rsid w:val="00DF1C70"/>
    <w:rsid w:val="00DF3FF3"/>
    <w:rsid w:val="00DF41DB"/>
    <w:rsid w:val="00DF520F"/>
    <w:rsid w:val="00DF52CF"/>
    <w:rsid w:val="00DF7BC7"/>
    <w:rsid w:val="00E00B93"/>
    <w:rsid w:val="00E0202B"/>
    <w:rsid w:val="00E03B23"/>
    <w:rsid w:val="00E058D3"/>
    <w:rsid w:val="00E05C7C"/>
    <w:rsid w:val="00E07AD0"/>
    <w:rsid w:val="00E1265B"/>
    <w:rsid w:val="00E12F35"/>
    <w:rsid w:val="00E1306E"/>
    <w:rsid w:val="00E13480"/>
    <w:rsid w:val="00E14DB4"/>
    <w:rsid w:val="00E213DD"/>
    <w:rsid w:val="00E22B04"/>
    <w:rsid w:val="00E23750"/>
    <w:rsid w:val="00E23F38"/>
    <w:rsid w:val="00E27F02"/>
    <w:rsid w:val="00E35D89"/>
    <w:rsid w:val="00E375D1"/>
    <w:rsid w:val="00E404D0"/>
    <w:rsid w:val="00E4147F"/>
    <w:rsid w:val="00E43D34"/>
    <w:rsid w:val="00E44BD4"/>
    <w:rsid w:val="00E44EA4"/>
    <w:rsid w:val="00E456DB"/>
    <w:rsid w:val="00E45F6D"/>
    <w:rsid w:val="00E502EF"/>
    <w:rsid w:val="00E55F41"/>
    <w:rsid w:val="00E60D55"/>
    <w:rsid w:val="00E62201"/>
    <w:rsid w:val="00E6236B"/>
    <w:rsid w:val="00E6288D"/>
    <w:rsid w:val="00E629E1"/>
    <w:rsid w:val="00E62CC0"/>
    <w:rsid w:val="00E6501F"/>
    <w:rsid w:val="00E65BB5"/>
    <w:rsid w:val="00E66E29"/>
    <w:rsid w:val="00E67324"/>
    <w:rsid w:val="00E67728"/>
    <w:rsid w:val="00E72FF9"/>
    <w:rsid w:val="00E73841"/>
    <w:rsid w:val="00E74F94"/>
    <w:rsid w:val="00E76AB7"/>
    <w:rsid w:val="00E85274"/>
    <w:rsid w:val="00E8558E"/>
    <w:rsid w:val="00E86B5B"/>
    <w:rsid w:val="00E87D4F"/>
    <w:rsid w:val="00E900C6"/>
    <w:rsid w:val="00E918C6"/>
    <w:rsid w:val="00E940F8"/>
    <w:rsid w:val="00E9520D"/>
    <w:rsid w:val="00E95297"/>
    <w:rsid w:val="00EA06A2"/>
    <w:rsid w:val="00EA2592"/>
    <w:rsid w:val="00EA5A07"/>
    <w:rsid w:val="00EA77B5"/>
    <w:rsid w:val="00EB01A5"/>
    <w:rsid w:val="00EB17C4"/>
    <w:rsid w:val="00EB251E"/>
    <w:rsid w:val="00EB3161"/>
    <w:rsid w:val="00EB3B20"/>
    <w:rsid w:val="00EB4586"/>
    <w:rsid w:val="00EB686B"/>
    <w:rsid w:val="00EB6EE5"/>
    <w:rsid w:val="00EB7C06"/>
    <w:rsid w:val="00EB7D94"/>
    <w:rsid w:val="00EB7D99"/>
    <w:rsid w:val="00EC1F1A"/>
    <w:rsid w:val="00EC3754"/>
    <w:rsid w:val="00EC4745"/>
    <w:rsid w:val="00EC566D"/>
    <w:rsid w:val="00EC68B4"/>
    <w:rsid w:val="00ED0296"/>
    <w:rsid w:val="00ED179E"/>
    <w:rsid w:val="00ED6235"/>
    <w:rsid w:val="00EE065C"/>
    <w:rsid w:val="00EE1790"/>
    <w:rsid w:val="00EE1D35"/>
    <w:rsid w:val="00EE3B0F"/>
    <w:rsid w:val="00EE6325"/>
    <w:rsid w:val="00EE6D91"/>
    <w:rsid w:val="00EF3660"/>
    <w:rsid w:val="00EF419D"/>
    <w:rsid w:val="00EF6B15"/>
    <w:rsid w:val="00EF739C"/>
    <w:rsid w:val="00EF7CC9"/>
    <w:rsid w:val="00F00159"/>
    <w:rsid w:val="00F0094B"/>
    <w:rsid w:val="00F01DEC"/>
    <w:rsid w:val="00F02027"/>
    <w:rsid w:val="00F0235F"/>
    <w:rsid w:val="00F02620"/>
    <w:rsid w:val="00F04982"/>
    <w:rsid w:val="00F05BC8"/>
    <w:rsid w:val="00F0705F"/>
    <w:rsid w:val="00F113B5"/>
    <w:rsid w:val="00F11773"/>
    <w:rsid w:val="00F117E7"/>
    <w:rsid w:val="00F11DEE"/>
    <w:rsid w:val="00F123D7"/>
    <w:rsid w:val="00F15170"/>
    <w:rsid w:val="00F22918"/>
    <w:rsid w:val="00F2318F"/>
    <w:rsid w:val="00F2611F"/>
    <w:rsid w:val="00F305CB"/>
    <w:rsid w:val="00F3119D"/>
    <w:rsid w:val="00F3259D"/>
    <w:rsid w:val="00F327A4"/>
    <w:rsid w:val="00F332AE"/>
    <w:rsid w:val="00F33DB8"/>
    <w:rsid w:val="00F351C1"/>
    <w:rsid w:val="00F36366"/>
    <w:rsid w:val="00F407CC"/>
    <w:rsid w:val="00F40CAF"/>
    <w:rsid w:val="00F412F2"/>
    <w:rsid w:val="00F43794"/>
    <w:rsid w:val="00F45DFF"/>
    <w:rsid w:val="00F461E8"/>
    <w:rsid w:val="00F46988"/>
    <w:rsid w:val="00F510F7"/>
    <w:rsid w:val="00F5594B"/>
    <w:rsid w:val="00F56423"/>
    <w:rsid w:val="00F564FF"/>
    <w:rsid w:val="00F57997"/>
    <w:rsid w:val="00F61358"/>
    <w:rsid w:val="00F613FF"/>
    <w:rsid w:val="00F61EE0"/>
    <w:rsid w:val="00F62A6D"/>
    <w:rsid w:val="00F63F30"/>
    <w:rsid w:val="00F65987"/>
    <w:rsid w:val="00F662CB"/>
    <w:rsid w:val="00F71CAF"/>
    <w:rsid w:val="00F7589A"/>
    <w:rsid w:val="00F76444"/>
    <w:rsid w:val="00F77C2F"/>
    <w:rsid w:val="00F80E7F"/>
    <w:rsid w:val="00F81B5F"/>
    <w:rsid w:val="00F865E6"/>
    <w:rsid w:val="00F8684D"/>
    <w:rsid w:val="00F94046"/>
    <w:rsid w:val="00F94B4C"/>
    <w:rsid w:val="00F95442"/>
    <w:rsid w:val="00FA073F"/>
    <w:rsid w:val="00FA22B8"/>
    <w:rsid w:val="00FA257C"/>
    <w:rsid w:val="00FA465E"/>
    <w:rsid w:val="00FA61D9"/>
    <w:rsid w:val="00FA7B48"/>
    <w:rsid w:val="00FB2356"/>
    <w:rsid w:val="00FB24F3"/>
    <w:rsid w:val="00FB2C83"/>
    <w:rsid w:val="00FB30E3"/>
    <w:rsid w:val="00FB3103"/>
    <w:rsid w:val="00FB3255"/>
    <w:rsid w:val="00FB337C"/>
    <w:rsid w:val="00FB33BB"/>
    <w:rsid w:val="00FB34F7"/>
    <w:rsid w:val="00FB3C8A"/>
    <w:rsid w:val="00FB5CFB"/>
    <w:rsid w:val="00FB7B8F"/>
    <w:rsid w:val="00FC13CC"/>
    <w:rsid w:val="00FC26A6"/>
    <w:rsid w:val="00FC3650"/>
    <w:rsid w:val="00FC36D6"/>
    <w:rsid w:val="00FC594C"/>
    <w:rsid w:val="00FC6B3D"/>
    <w:rsid w:val="00FC7A2E"/>
    <w:rsid w:val="00FD43CE"/>
    <w:rsid w:val="00FD5BD7"/>
    <w:rsid w:val="00FE2062"/>
    <w:rsid w:val="00FE2208"/>
    <w:rsid w:val="00FE2891"/>
    <w:rsid w:val="00FE62C6"/>
    <w:rsid w:val="00FF2A7E"/>
    <w:rsid w:val="00FF4066"/>
    <w:rsid w:val="00FF709D"/>
    <w:rsid w:val="00FF71E1"/>
  </w:rsids>
  <m:mathPr>
    <m:mathFont m:val="Cambria Math"/>
    <m:smallFrac/>
  </m:mathPr>
  <w:themeFontLang w:val="tr-TR"/>
  <w:clrSchemeMapping w:bg1="light1" w:t1="dark1" w:bg2="light2" w:t2="dark2" w:accent1="accent1" w:accent2="accent2" w:accent3="accent3" w:accent4="accent4" w:accent5="accent5" w:accent6="accent6" w:hyperlink="hyperlink" w:followedHyperlink="followedHyperlink"/>
  <w15:docId w15:val="{68A58175-940E-284C-BE28-1855B12E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31"/>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Balk1Char"/>
    <w:uiPriority w:val="9"/>
    <w:qFormat/>
    <w:rsid w:val="004816D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Balk2Char"/>
    <w:uiPriority w:val="9"/>
    <w:unhideWhenUsed/>
    <w:qFormat/>
    <w:rsid w:val="004816D3"/>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Balk3Char"/>
    <w:uiPriority w:val="9"/>
    <w:unhideWhenUsed/>
    <w:qFormat/>
    <w:rsid w:val="004816D3"/>
    <w:pPr>
      <w:keepNext/>
      <w:keepLines/>
      <w:spacing w:before="200" w:line="276" w:lineRule="auto"/>
      <w:outlineLvl w:val="2"/>
    </w:pPr>
    <w:rPr>
      <w:rFonts w:asciiTheme="majorHAnsi" w:eastAsiaTheme="majorEastAsia" w:hAnsiTheme="majorHAnsi" w:cstheme="majorBidi"/>
      <w:b/>
      <w:bCs/>
      <w:color w:val="5B9BD5" w:themeColor="accent1"/>
      <w:sz w:val="22"/>
      <w:szCs w:val="22"/>
    </w:rPr>
  </w:style>
  <w:style w:type="paragraph" w:styleId="Heading4">
    <w:name w:val="heading 4"/>
    <w:basedOn w:val="Normal"/>
    <w:next w:val="Normal"/>
    <w:link w:val="Balk4Char"/>
    <w:uiPriority w:val="9"/>
    <w:unhideWhenUsed/>
    <w:qFormat/>
    <w:rsid w:val="004816D3"/>
    <w:pPr>
      <w:keepNext/>
      <w:keepLines/>
      <w:spacing w:before="40" w:line="276" w:lineRule="auto"/>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k1Char">
    <w:name w:val="Başlık 1 Char"/>
    <w:basedOn w:val="DefaultParagraphFont"/>
    <w:link w:val="Heading1"/>
    <w:uiPriority w:val="9"/>
    <w:rsid w:val="004816D3"/>
    <w:rPr>
      <w:rFonts w:asciiTheme="majorHAnsi" w:eastAsiaTheme="majorEastAsia" w:hAnsiTheme="majorHAnsi" w:cstheme="majorBidi"/>
      <w:b/>
      <w:bCs/>
      <w:color w:val="2E74B5" w:themeColor="accent1" w:themeShade="BF"/>
      <w:sz w:val="28"/>
      <w:szCs w:val="28"/>
      <w:lang w:eastAsia="tr-TR"/>
    </w:rPr>
  </w:style>
  <w:style w:type="character" w:customStyle="1" w:styleId="Balk2Char">
    <w:name w:val="Başlık 2 Char"/>
    <w:basedOn w:val="DefaultParagraphFont"/>
    <w:link w:val="Heading2"/>
    <w:uiPriority w:val="9"/>
    <w:rsid w:val="004816D3"/>
    <w:rPr>
      <w:rFonts w:asciiTheme="majorHAnsi" w:eastAsiaTheme="majorEastAsia" w:hAnsiTheme="majorHAnsi" w:cstheme="majorBidi"/>
      <w:b/>
      <w:bCs/>
      <w:color w:val="5B9BD5" w:themeColor="accent1"/>
      <w:sz w:val="26"/>
      <w:szCs w:val="26"/>
      <w:lang w:eastAsia="tr-TR"/>
    </w:rPr>
  </w:style>
  <w:style w:type="character" w:customStyle="1" w:styleId="Balk3Char">
    <w:name w:val="Başlık 3 Char"/>
    <w:basedOn w:val="DefaultParagraphFont"/>
    <w:link w:val="Heading3"/>
    <w:uiPriority w:val="9"/>
    <w:rsid w:val="004816D3"/>
    <w:rPr>
      <w:rFonts w:asciiTheme="majorHAnsi" w:eastAsiaTheme="majorEastAsia" w:hAnsiTheme="majorHAnsi" w:cstheme="majorBidi"/>
      <w:b/>
      <w:bCs/>
      <w:color w:val="5B9BD5" w:themeColor="accent1"/>
      <w:lang w:eastAsia="tr-TR"/>
    </w:rPr>
  </w:style>
  <w:style w:type="character" w:customStyle="1" w:styleId="Balk4Char">
    <w:name w:val="Başlık 4 Char"/>
    <w:basedOn w:val="DefaultParagraphFont"/>
    <w:link w:val="Heading4"/>
    <w:uiPriority w:val="9"/>
    <w:rsid w:val="004816D3"/>
    <w:rPr>
      <w:rFonts w:asciiTheme="majorHAnsi" w:eastAsiaTheme="majorEastAsia" w:hAnsiTheme="majorHAnsi" w:cstheme="majorBidi"/>
      <w:i/>
      <w:iCs/>
      <w:color w:val="2E74B5" w:themeColor="accent1" w:themeShade="BF"/>
      <w:lang w:eastAsia="tr-TR"/>
    </w:rPr>
  </w:style>
  <w:style w:type="paragraph" w:styleId="ListParagraph">
    <w:name w:val="List Paragraph"/>
    <w:basedOn w:val="Normal"/>
    <w:uiPriority w:val="34"/>
    <w:qFormat/>
    <w:rsid w:val="004816D3"/>
    <w:pPr>
      <w:spacing w:after="200" w:line="276" w:lineRule="auto"/>
      <w:ind w:left="720"/>
      <w:contextualSpacing/>
    </w:pPr>
    <w:rPr>
      <w:rFonts w:asciiTheme="minorHAnsi" w:eastAsiaTheme="minorEastAsia" w:hAnsiTheme="minorHAnsi" w:cstheme="minorBidi"/>
      <w:sz w:val="22"/>
      <w:szCs w:val="22"/>
    </w:rPr>
  </w:style>
  <w:style w:type="paragraph" w:styleId="HTMLPreformatted">
    <w:name w:val="HTML Preformatted"/>
    <w:basedOn w:val="Normal"/>
    <w:link w:val="HTMLncedenBiimlendirilmiChar"/>
    <w:uiPriority w:val="99"/>
    <w:unhideWhenUsed/>
    <w:rsid w:val="0048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DefaultParagraphFont"/>
    <w:link w:val="HTMLPreformatted"/>
    <w:uiPriority w:val="99"/>
    <w:rsid w:val="004816D3"/>
    <w:rPr>
      <w:rFonts w:ascii="Courier New" w:eastAsia="Times New Roman" w:hAnsi="Courier New" w:cs="Courier New"/>
      <w:sz w:val="20"/>
      <w:szCs w:val="20"/>
      <w:lang w:eastAsia="tr-TR"/>
    </w:rPr>
  </w:style>
  <w:style w:type="paragraph" w:styleId="Title">
    <w:name w:val="Title"/>
    <w:basedOn w:val="Normal"/>
    <w:next w:val="Normal"/>
    <w:link w:val="KonuBalChar"/>
    <w:uiPriority w:val="10"/>
    <w:qFormat/>
    <w:rsid w:val="004816D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DefaultParagraphFont"/>
    <w:link w:val="Title"/>
    <w:uiPriority w:val="10"/>
    <w:rsid w:val="004816D3"/>
    <w:rPr>
      <w:rFonts w:asciiTheme="majorHAnsi" w:eastAsiaTheme="majorEastAsia" w:hAnsiTheme="majorHAnsi" w:cstheme="majorBidi"/>
      <w:color w:val="323E4F" w:themeColor="text2" w:themeShade="BF"/>
      <w:spacing w:val="5"/>
      <w:kern w:val="28"/>
      <w:sz w:val="52"/>
      <w:szCs w:val="52"/>
      <w:lang w:eastAsia="tr-TR"/>
    </w:rPr>
  </w:style>
  <w:style w:type="paragraph" w:styleId="NormalWeb">
    <w:name w:val="Normal (Web)"/>
    <w:basedOn w:val="Normal"/>
    <w:uiPriority w:val="99"/>
    <w:unhideWhenUsed/>
    <w:rsid w:val="004816D3"/>
    <w:pPr>
      <w:spacing w:before="100" w:beforeAutospacing="1" w:after="100" w:afterAutospacing="1"/>
    </w:pPr>
  </w:style>
  <w:style w:type="character" w:customStyle="1" w:styleId="h1">
    <w:name w:val="h1"/>
    <w:basedOn w:val="DefaultParagraphFont"/>
    <w:rsid w:val="004816D3"/>
  </w:style>
  <w:style w:type="character" w:customStyle="1" w:styleId="headingendmark">
    <w:name w:val="headingendmark"/>
    <w:basedOn w:val="DefaultParagraphFont"/>
    <w:rsid w:val="004816D3"/>
  </w:style>
  <w:style w:type="character" w:styleId="Hyperlink">
    <w:name w:val="Hyperlink"/>
    <w:basedOn w:val="DefaultParagraphFont"/>
    <w:uiPriority w:val="99"/>
    <w:unhideWhenUsed/>
    <w:rsid w:val="004816D3"/>
    <w:rPr>
      <w:color w:val="0000FF"/>
      <w:u w:val="single"/>
    </w:rPr>
  </w:style>
  <w:style w:type="paragraph" w:customStyle="1" w:styleId="bulletndent1">
    <w:name w:val="bulletındent1"/>
    <w:basedOn w:val="Normal"/>
    <w:rsid w:val="004816D3"/>
    <w:pPr>
      <w:spacing w:before="100" w:beforeAutospacing="1" w:after="100" w:afterAutospacing="1"/>
    </w:pPr>
  </w:style>
  <w:style w:type="character" w:customStyle="1" w:styleId="glyph">
    <w:name w:val="glyph"/>
    <w:basedOn w:val="DefaultParagraphFont"/>
    <w:rsid w:val="004816D3"/>
  </w:style>
  <w:style w:type="character" w:styleId="Emphasis">
    <w:name w:val="Emphasis"/>
    <w:basedOn w:val="DefaultParagraphFont"/>
    <w:uiPriority w:val="20"/>
    <w:qFormat/>
    <w:rsid w:val="004816D3"/>
    <w:rPr>
      <w:i/>
      <w:iCs/>
    </w:rPr>
  </w:style>
  <w:style w:type="character" w:customStyle="1" w:styleId="apple-converted-space">
    <w:name w:val="apple-converted-space"/>
    <w:basedOn w:val="DefaultParagraphFont"/>
    <w:rsid w:val="004816D3"/>
  </w:style>
  <w:style w:type="character" w:styleId="FollowedHyperlink">
    <w:name w:val="FollowedHyperlink"/>
    <w:basedOn w:val="DefaultParagraphFont"/>
    <w:uiPriority w:val="99"/>
    <w:semiHidden/>
    <w:unhideWhenUsed/>
    <w:rsid w:val="004816D3"/>
    <w:rPr>
      <w:color w:val="954F72" w:themeColor="followedHyperlink"/>
      <w:u w:val="single"/>
    </w:rPr>
  </w:style>
  <w:style w:type="character" w:customStyle="1" w:styleId="nowrap">
    <w:name w:val="nowrap"/>
    <w:basedOn w:val="DefaultParagraphFont"/>
    <w:rsid w:val="004816D3"/>
  </w:style>
  <w:style w:type="paragraph" w:customStyle="1" w:styleId="headinganchor">
    <w:name w:val="headinganchor"/>
    <w:basedOn w:val="Normal"/>
    <w:rsid w:val="004816D3"/>
    <w:pPr>
      <w:spacing w:before="100" w:beforeAutospacing="1" w:after="100" w:afterAutospacing="1"/>
    </w:pPr>
  </w:style>
  <w:style w:type="character" w:styleId="Strong">
    <w:name w:val="Strong"/>
    <w:basedOn w:val="DefaultParagraphFont"/>
    <w:uiPriority w:val="22"/>
    <w:qFormat/>
    <w:rsid w:val="004816D3"/>
    <w:rPr>
      <w:b/>
      <w:bCs/>
    </w:rPr>
  </w:style>
  <w:style w:type="character" w:customStyle="1" w:styleId="highlighted">
    <w:name w:val="highlighted"/>
    <w:basedOn w:val="DefaultParagraphFont"/>
    <w:rsid w:val="004816D3"/>
  </w:style>
  <w:style w:type="character" w:customStyle="1" w:styleId="h2">
    <w:name w:val="h2"/>
    <w:basedOn w:val="DefaultParagraphFont"/>
    <w:rsid w:val="004816D3"/>
  </w:style>
  <w:style w:type="paragraph" w:customStyle="1" w:styleId="svarticle">
    <w:name w:val="svarticle"/>
    <w:basedOn w:val="Normal"/>
    <w:rsid w:val="004816D3"/>
    <w:pPr>
      <w:spacing w:before="100" w:beforeAutospacing="1" w:after="100" w:afterAutospacing="1"/>
    </w:pPr>
  </w:style>
  <w:style w:type="character" w:customStyle="1" w:styleId="highlight">
    <w:name w:val="highlight"/>
    <w:basedOn w:val="DefaultParagraphFont"/>
    <w:rsid w:val="004816D3"/>
  </w:style>
  <w:style w:type="paragraph" w:customStyle="1" w:styleId="paragraph">
    <w:name w:val="paragraph"/>
    <w:basedOn w:val="Normal"/>
    <w:rsid w:val="004816D3"/>
    <w:pPr>
      <w:spacing w:before="100" w:beforeAutospacing="1" w:after="100" w:afterAutospacing="1"/>
    </w:pPr>
  </w:style>
  <w:style w:type="character" w:customStyle="1" w:styleId="normaltextrun">
    <w:name w:val="normaltextrun"/>
    <w:basedOn w:val="DefaultParagraphFont"/>
    <w:rsid w:val="004816D3"/>
  </w:style>
  <w:style w:type="character" w:customStyle="1" w:styleId="spellingerror">
    <w:name w:val="spellingerror"/>
    <w:basedOn w:val="DefaultParagraphFont"/>
    <w:rsid w:val="004816D3"/>
  </w:style>
  <w:style w:type="character" w:customStyle="1" w:styleId="eop">
    <w:name w:val="eop"/>
    <w:basedOn w:val="DefaultParagraphFont"/>
    <w:rsid w:val="004816D3"/>
  </w:style>
  <w:style w:type="character" w:styleId="CommentReference">
    <w:name w:val="annotation reference"/>
    <w:basedOn w:val="DefaultParagraphFont"/>
    <w:uiPriority w:val="99"/>
    <w:semiHidden/>
    <w:unhideWhenUsed/>
    <w:rsid w:val="004816D3"/>
    <w:rPr>
      <w:sz w:val="16"/>
      <w:szCs w:val="16"/>
    </w:rPr>
  </w:style>
  <w:style w:type="paragraph" w:styleId="CommentText">
    <w:name w:val="annotation text"/>
    <w:basedOn w:val="Normal"/>
    <w:link w:val="AklamaMetniChar"/>
    <w:uiPriority w:val="99"/>
    <w:unhideWhenUsed/>
    <w:rsid w:val="004816D3"/>
    <w:pPr>
      <w:spacing w:after="200"/>
    </w:pPr>
    <w:rPr>
      <w:rFonts w:asciiTheme="minorHAnsi" w:eastAsiaTheme="minorEastAsia" w:hAnsiTheme="minorHAnsi" w:cstheme="minorBidi"/>
      <w:sz w:val="20"/>
      <w:szCs w:val="20"/>
    </w:rPr>
  </w:style>
  <w:style w:type="character" w:customStyle="1" w:styleId="AklamaMetniChar">
    <w:name w:val="Açıklama Metni Char"/>
    <w:basedOn w:val="DefaultParagraphFont"/>
    <w:link w:val="CommentText"/>
    <w:uiPriority w:val="99"/>
    <w:rsid w:val="004816D3"/>
    <w:rPr>
      <w:rFonts w:eastAsiaTheme="minorEastAsia"/>
      <w:sz w:val="20"/>
      <w:szCs w:val="20"/>
      <w:lang w:eastAsia="tr-TR"/>
    </w:rPr>
  </w:style>
  <w:style w:type="paragraph" w:styleId="CommentSubject">
    <w:name w:val="annotation subject"/>
    <w:basedOn w:val="CommentText"/>
    <w:next w:val="CommentText"/>
    <w:link w:val="AklamaKonusuChar"/>
    <w:uiPriority w:val="99"/>
    <w:semiHidden/>
    <w:unhideWhenUsed/>
    <w:rsid w:val="004816D3"/>
    <w:rPr>
      <w:b/>
      <w:bCs/>
    </w:rPr>
  </w:style>
  <w:style w:type="character" w:customStyle="1" w:styleId="AklamaKonusuChar">
    <w:name w:val="Açıklama Konusu Char"/>
    <w:basedOn w:val="AklamaMetniChar"/>
    <w:link w:val="CommentSubject"/>
    <w:uiPriority w:val="99"/>
    <w:semiHidden/>
    <w:rsid w:val="004816D3"/>
    <w:rPr>
      <w:rFonts w:eastAsiaTheme="minorEastAsia"/>
      <w:b/>
      <w:bCs/>
      <w:sz w:val="20"/>
      <w:szCs w:val="20"/>
      <w:lang w:eastAsia="tr-TR"/>
    </w:rPr>
  </w:style>
  <w:style w:type="paragraph" w:styleId="BalloonText">
    <w:name w:val="Balloon Text"/>
    <w:basedOn w:val="Normal"/>
    <w:link w:val="BalonMetniChar"/>
    <w:uiPriority w:val="99"/>
    <w:semiHidden/>
    <w:unhideWhenUsed/>
    <w:rsid w:val="004816D3"/>
    <w:rPr>
      <w:rFonts w:ascii="Tahoma" w:hAnsi="Tahoma" w:eastAsiaTheme="minorEastAsia" w:cs="Tahoma"/>
      <w:sz w:val="16"/>
      <w:szCs w:val="16"/>
    </w:rPr>
  </w:style>
  <w:style w:type="character" w:customStyle="1" w:styleId="BalonMetniChar">
    <w:name w:val="Balon Metni Char"/>
    <w:basedOn w:val="DefaultParagraphFont"/>
    <w:link w:val="BalloonText"/>
    <w:uiPriority w:val="99"/>
    <w:semiHidden/>
    <w:rsid w:val="004816D3"/>
    <w:rPr>
      <w:rFonts w:ascii="Tahoma" w:hAnsi="Tahoma" w:eastAsiaTheme="minorEastAsia" w:cs="Tahoma"/>
      <w:sz w:val="16"/>
      <w:szCs w:val="16"/>
      <w:lang w:eastAsia="tr-TR"/>
    </w:rPr>
  </w:style>
  <w:style w:type="character" w:customStyle="1" w:styleId="medcalcfontcctab">
    <w:name w:val="medcalcfontcctab"/>
    <w:basedOn w:val="DefaultParagraphFont"/>
    <w:rsid w:val="004816D3"/>
  </w:style>
  <w:style w:type="paragraph" w:customStyle="1" w:styleId="bulletindent1">
    <w:name w:val="bulletindent1"/>
    <w:basedOn w:val="Normal"/>
    <w:rsid w:val="004816D3"/>
    <w:pPr>
      <w:spacing w:before="100" w:beforeAutospacing="1" w:after="100" w:afterAutospacing="1"/>
    </w:pPr>
  </w:style>
  <w:style w:type="character" w:customStyle="1" w:styleId="cit">
    <w:name w:val="cit"/>
    <w:basedOn w:val="DefaultParagraphFont"/>
    <w:rsid w:val="004816D3"/>
  </w:style>
  <w:style w:type="character" w:customStyle="1" w:styleId="fm-vol-iss-date">
    <w:name w:val="fm-vol-iss-date"/>
    <w:basedOn w:val="DefaultParagraphFont"/>
    <w:rsid w:val="004816D3"/>
  </w:style>
  <w:style w:type="character" w:customStyle="1" w:styleId="doi">
    <w:name w:val="doi"/>
    <w:basedOn w:val="DefaultParagraphFont"/>
    <w:rsid w:val="004816D3"/>
  </w:style>
  <w:style w:type="character" w:customStyle="1" w:styleId="fm-citation-ids-label">
    <w:name w:val="fm-citation-ids-label"/>
    <w:basedOn w:val="DefaultParagraphFont"/>
    <w:rsid w:val="004816D3"/>
  </w:style>
  <w:style w:type="character" w:customStyle="1" w:styleId="title-text">
    <w:name w:val="title-text"/>
    <w:basedOn w:val="DefaultParagraphFont"/>
    <w:rsid w:val="004816D3"/>
  </w:style>
  <w:style w:type="character" w:customStyle="1" w:styleId="published-date">
    <w:name w:val="published-date"/>
    <w:basedOn w:val="DefaultParagraphFont"/>
    <w:rsid w:val="004816D3"/>
  </w:style>
  <w:style w:type="character" w:customStyle="1" w:styleId="subhead-sans">
    <w:name w:val="subhead-sans"/>
    <w:basedOn w:val="DefaultParagraphFont"/>
    <w:rsid w:val="004816D3"/>
  </w:style>
  <w:style w:type="character" w:customStyle="1" w:styleId="zmlenmeyenBahsetme1">
    <w:name w:val="Çözümlenmeyen Bahsetme1"/>
    <w:basedOn w:val="DefaultParagraphFont"/>
    <w:uiPriority w:val="99"/>
    <w:semiHidden/>
    <w:unhideWhenUsed/>
    <w:rsid w:val="00160C9A"/>
    <w:rPr>
      <w:color w:val="808080"/>
      <w:shd w:val="clear" w:color="auto" w:fill="E6E6E6"/>
    </w:rPr>
  </w:style>
  <w:style w:type="character" w:customStyle="1" w:styleId="zmlenmeyenBahsetme2">
    <w:name w:val="Çözümlenmeyen Bahsetme2"/>
    <w:basedOn w:val="DefaultParagraphFont"/>
    <w:uiPriority w:val="99"/>
    <w:semiHidden/>
    <w:unhideWhenUsed/>
    <w:rsid w:val="007B0AC0"/>
    <w:rPr>
      <w:color w:val="808080"/>
      <w:shd w:val="clear" w:color="auto" w:fill="E6E6E6"/>
    </w:rPr>
  </w:style>
  <w:style w:type="paragraph" w:styleId="Revision">
    <w:name w:val="Revision"/>
    <w:hidden/>
    <w:uiPriority w:val="99"/>
    <w:semiHidden/>
    <w:rsid w:val="0008628F"/>
    <w:pPr>
      <w:spacing w:after="0" w:line="240" w:lineRule="auto"/>
    </w:pPr>
    <w:rPr>
      <w:rFonts w:eastAsiaTheme="minorEastAsia"/>
      <w:lang w:eastAsia="tr-TR"/>
    </w:rPr>
  </w:style>
  <w:style w:type="paragraph" w:customStyle="1" w:styleId="title1">
    <w:name w:val="title1"/>
    <w:basedOn w:val="Normal"/>
    <w:rsid w:val="002B1554"/>
    <w:rPr>
      <w:sz w:val="27"/>
      <w:szCs w:val="27"/>
    </w:rPr>
  </w:style>
  <w:style w:type="paragraph" w:customStyle="1" w:styleId="desc2">
    <w:name w:val="desc2"/>
    <w:basedOn w:val="Normal"/>
    <w:rsid w:val="002B1554"/>
    <w:rPr>
      <w:sz w:val="26"/>
      <w:szCs w:val="26"/>
    </w:rPr>
  </w:style>
  <w:style w:type="paragraph" w:customStyle="1" w:styleId="details1">
    <w:name w:val="details1"/>
    <w:basedOn w:val="Normal"/>
    <w:rsid w:val="002B1554"/>
    <w:rPr>
      <w:sz w:val="22"/>
      <w:szCs w:val="22"/>
    </w:rPr>
  </w:style>
  <w:style w:type="character" w:customStyle="1" w:styleId="jrnl">
    <w:name w:val="jrnl"/>
    <w:basedOn w:val="DefaultParagraphFont"/>
    <w:rsid w:val="002B1554"/>
  </w:style>
  <w:style w:type="character" w:customStyle="1" w:styleId="reference2">
    <w:name w:val="reference2"/>
    <w:basedOn w:val="DefaultParagraphFont"/>
    <w:rsid w:val="00A43D2C"/>
  </w:style>
  <w:style w:type="paragraph" w:customStyle="1" w:styleId="p">
    <w:name w:val="p"/>
    <w:basedOn w:val="Normal"/>
    <w:rsid w:val="00632179"/>
    <w:pPr>
      <w:spacing w:before="100" w:beforeAutospacing="1" w:after="100" w:afterAutospacing="1"/>
    </w:pPr>
  </w:style>
  <w:style w:type="character" w:customStyle="1" w:styleId="element-citation">
    <w:name w:val="element-citation"/>
    <w:basedOn w:val="DefaultParagraphFont"/>
    <w:rsid w:val="00632179"/>
  </w:style>
  <w:style w:type="character" w:customStyle="1" w:styleId="ref-journal">
    <w:name w:val="ref-journal"/>
    <w:basedOn w:val="DefaultParagraphFont"/>
    <w:rsid w:val="00632179"/>
  </w:style>
  <w:style w:type="character" w:customStyle="1" w:styleId="ref-vol">
    <w:name w:val="ref-vol"/>
    <w:basedOn w:val="DefaultParagraphFont"/>
    <w:rsid w:val="00632179"/>
  </w:style>
  <w:style w:type="character" w:customStyle="1" w:styleId="A0">
    <w:name w:val="A0"/>
    <w:uiPriority w:val="99"/>
    <w:rsid w:val="007528C0"/>
    <w:rPr>
      <w:rFonts w:cs="Times"/>
      <w:color w:val="000000"/>
      <w:sz w:val="18"/>
      <w:szCs w:val="18"/>
    </w:rPr>
  </w:style>
  <w:style w:type="paragraph" w:customStyle="1" w:styleId="xydpa63fa9c4yiv7303835055ydpbaf6fb72yiv8453841409ydp3fb8dab1msonormal">
    <w:name w:val="x_ydpa63fa9c4yiv7303835055ydpbaf6fb72yiv8453841409ydp3fb8dab1msonormal"/>
    <w:basedOn w:val="Normal"/>
    <w:rsid w:val="005A33D2"/>
    <w:pPr>
      <w:spacing w:before="100" w:beforeAutospacing="1" w:after="100" w:afterAutospacing="1"/>
    </w:pPr>
  </w:style>
  <w:style w:type="paragraph" w:customStyle="1" w:styleId="Saptanm">
    <w:name w:val="Saptanmış"/>
    <w:rsid w:val="003E5FC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tr-TR"/>
    </w:rPr>
  </w:style>
  <w:style w:type="paragraph" w:customStyle="1" w:styleId="xydp98b0ef9amsonormal">
    <w:name w:val="x_ydp98b0ef9amsonormal"/>
    <w:basedOn w:val="Normal"/>
    <w:rsid w:val="005712F8"/>
    <w:pPr>
      <w:spacing w:before="100" w:beforeAutospacing="1" w:after="100" w:afterAutospacing="1"/>
    </w:pPr>
  </w:style>
  <w:style w:type="character" w:customStyle="1" w:styleId="xydp98b0ef9amsohyperlink">
    <w:name w:val="x_ydp98b0ef9amsohyperlink"/>
    <w:basedOn w:val="DefaultParagraphFont"/>
    <w:rsid w:val="005712F8"/>
  </w:style>
  <w:style w:type="character" w:customStyle="1" w:styleId="user-generated">
    <w:name w:val="user-generated"/>
    <w:basedOn w:val="DefaultParagraphFont"/>
    <w:rsid w:val="001D5654"/>
  </w:style>
  <w:style w:type="character" w:customStyle="1" w:styleId="zmlenmeyenBahsetme3">
    <w:name w:val="Çözümlenmeyen Bahsetme3"/>
    <w:basedOn w:val="DefaultParagraphFont"/>
    <w:uiPriority w:val="99"/>
    <w:semiHidden/>
    <w:unhideWhenUsed/>
    <w:rsid w:val="001978D3"/>
    <w:rPr>
      <w:color w:val="808080"/>
      <w:shd w:val="clear" w:color="auto" w:fill="E6E6E6"/>
    </w:rPr>
  </w:style>
  <w:style w:type="paragraph" w:customStyle="1" w:styleId="xydpfcd73491msonormal">
    <w:name w:val="x_ydpfcd73491msonormal"/>
    <w:basedOn w:val="Normal"/>
    <w:rsid w:val="001978D3"/>
    <w:pPr>
      <w:spacing w:before="100" w:beforeAutospacing="1" w:after="100" w:afterAutospacing="1"/>
    </w:pPr>
  </w:style>
  <w:style w:type="character" w:customStyle="1" w:styleId="HTMLPreformattedChar">
    <w:name w:val="HTML Preformatted Char"/>
    <w:basedOn w:val="DefaultParagraphFont"/>
    <w:uiPriority w:val="99"/>
    <w:rsid w:val="001978D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uptodate.com/contents/olanzapine-drug-information?source=see_link"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55CD2-3167-7649-A5EF-59C99164D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6336</Words>
  <Characters>36118</Characters>
  <Application>Microsoft Office Word</Application>
  <DocSecurity>0</DocSecurity>
  <Lines>300</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gulistanbahat</dc:creator>
  <cp:lastModifiedBy>Tugba Obekli</cp:lastModifiedBy>
  <cp:revision>3</cp:revision>
  <dcterms:created xsi:type="dcterms:W3CDTF">2021-10-25T06:12:00Z</dcterms:created>
  <dcterms:modified xsi:type="dcterms:W3CDTF">2021-10-25T06:25:00Z</dcterms:modified>
</cp:coreProperties>
</file>