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EC09" w14:textId="198EB3D3" w:rsidR="007D5087" w:rsidRPr="00AE15DA" w:rsidRDefault="00652972" w:rsidP="0043334F">
      <w:pPr>
        <w:pStyle w:val="berschrift3"/>
        <w:pBdr>
          <w:bottom w:val="single" w:sz="6" w:space="1" w:color="auto"/>
        </w:pBdr>
        <w:spacing w:line="24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65297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TIME </w:t>
      </w:r>
      <w:proofErr w:type="spellStart"/>
      <w:r w:rsidRPr="00652972">
        <w:rPr>
          <w:rFonts w:asciiTheme="minorHAnsi" w:hAnsiTheme="minorHAnsi" w:cstheme="minorHAnsi"/>
          <w:color w:val="FF0000"/>
          <w:sz w:val="24"/>
          <w:szCs w:val="24"/>
          <w:u w:val="single"/>
        </w:rPr>
        <w:t>to</w:t>
      </w:r>
      <w:proofErr w:type="spellEnd"/>
      <w:r w:rsidRPr="00652972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STOP-</w:t>
      </w:r>
      <w:r w:rsidRPr="00652972">
        <w:rPr>
          <w:rFonts w:asciiTheme="minorHAnsi" w:hAnsiTheme="minorHAnsi" w:cstheme="minorHAnsi"/>
          <w:color w:val="FF0000"/>
          <w:sz w:val="24"/>
          <w:szCs w:val="24"/>
          <w:u w:val="single"/>
        </w:rPr>
        <w:t>MEDİKAMENTE, DİE BEİ ÄLTEREN MENSCHEN NİCHT EMPFOHLEN WERDEN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 </w:t>
      </w:r>
    </w:p>
    <w:p w14:paraId="4B59FC38" w14:textId="351D921B" w:rsidR="00580636" w:rsidRPr="00AE15DA" w:rsidRDefault="00652972" w:rsidP="0043334F">
      <w:pPr>
        <w:contextualSpacing/>
        <w:rPr>
          <w:rFonts w:asciiTheme="minorHAnsi" w:hAnsiTheme="minorHAnsi" w:cstheme="minorHAnsi"/>
          <w:b/>
          <w:color w:val="FF0000"/>
        </w:rPr>
      </w:pPr>
      <w:proofErr w:type="spellStart"/>
      <w:r w:rsidRPr="00652972">
        <w:rPr>
          <w:rFonts w:asciiTheme="minorHAnsi" w:hAnsiTheme="minorHAnsi" w:cstheme="minorHAnsi"/>
          <w:b/>
          <w:color w:val="FF0000"/>
        </w:rPr>
        <w:t>Die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Verwendung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dieser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Arzneimittelgruppe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bei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Erkrankungen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die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den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Kriterien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entsprechen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hat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ein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„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hohes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“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Nebenwirkungspotenzial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aufgrund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von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Arzneimittelkrankheiten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Arzneimittel-Geriatrischem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Syndrom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>/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oder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Arzneimittelwechselwirkung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bei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älteren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Menschen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sie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werden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als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„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potenziell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unangemessen</w:t>
      </w:r>
      <w:r>
        <w:rPr>
          <w:rFonts w:asciiTheme="minorHAnsi" w:hAnsiTheme="minorHAnsi" w:cstheme="minorHAnsi"/>
          <w:b/>
          <w:color w:val="FF0000"/>
        </w:rPr>
        <w:t>er</w:t>
      </w:r>
      <w:proofErr w:type="spellEnd"/>
      <w:r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</w:rPr>
        <w:t>Medikamentenkonsum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“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beschrieben</w:t>
      </w:r>
      <w:proofErr w:type="spellEnd"/>
      <w:r w:rsidR="007D5087" w:rsidRPr="00AE15DA">
        <w:rPr>
          <w:rFonts w:asciiTheme="minorHAnsi" w:hAnsiTheme="minorHAnsi" w:cstheme="minorHAnsi"/>
          <w:b/>
          <w:color w:val="FF0000"/>
        </w:rPr>
        <w:t xml:space="preserve">.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Kliniker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sollten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ihre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Entscheidung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unter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Berücksichtigung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des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potenziellen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Nutzens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Schadens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des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Arzneimittels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für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den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Patienten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mit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allen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Merkmalen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des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Patienten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(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Gewinn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-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Verlustbilanz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)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den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Behandlungszielen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die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gemäß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den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Präferenzen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des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Patienten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/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des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Pflegepersonals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festgelegt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werden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abwägen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>.</w:t>
      </w:r>
      <w:r w:rsidR="007D5087" w:rsidRPr="00AE15DA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Kliniker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können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es in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einigen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Fällen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immer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noch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für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angebracht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halten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diese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Gruppe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von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Medikamenten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zu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verwenden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.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Dies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sind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Medikamente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die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wenn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bevorzugt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, mit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Vorsicht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angewendet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und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in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Bezug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auf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Nebenwirkungen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klinisch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genau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beobachtet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werden</w:t>
      </w:r>
      <w:proofErr w:type="spellEnd"/>
      <w:r w:rsidRPr="00652972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652972">
        <w:rPr>
          <w:rFonts w:asciiTheme="minorHAnsi" w:hAnsiTheme="minorHAnsi" w:cstheme="minorHAnsi"/>
          <w:b/>
          <w:color w:val="FF0000"/>
        </w:rPr>
        <w:t>sollten</w:t>
      </w:r>
      <w:proofErr w:type="spellEnd"/>
      <w:r w:rsidR="007D5087" w:rsidRPr="00AE15DA">
        <w:rPr>
          <w:rFonts w:asciiTheme="minorHAnsi" w:hAnsiTheme="minorHAnsi" w:cstheme="minorHAnsi"/>
          <w:b/>
          <w:color w:val="FF0000"/>
        </w:rPr>
        <w:t>.</w:t>
      </w:r>
    </w:p>
    <w:p w14:paraId="562DE036" w14:textId="77777777" w:rsidR="007D5087" w:rsidRPr="00AE15DA" w:rsidRDefault="007D5087" w:rsidP="0043334F">
      <w:pPr>
        <w:contextualSpacing/>
        <w:rPr>
          <w:rFonts w:cstheme="minorHAnsi"/>
          <w:b/>
          <w:bCs/>
          <w:lang w:eastAsia="en-GB"/>
        </w:rPr>
      </w:pPr>
    </w:p>
    <w:p w14:paraId="160AFB41" w14:textId="4066EE1E" w:rsidR="00FE62C6" w:rsidRPr="00FE62C6" w:rsidRDefault="000C7EEB" w:rsidP="00FE62C6">
      <w:pPr>
        <w:pStyle w:val="berschrift3"/>
        <w:pBdr>
          <w:bottom w:val="single" w:sz="6" w:space="1" w:color="000000"/>
        </w:pBdr>
        <w:spacing w:line="360" w:lineRule="auto"/>
        <w:jc w:val="both"/>
        <w:rPr>
          <w:i/>
          <w:color w:val="000000"/>
        </w:rPr>
      </w:pPr>
      <w:r w:rsidRPr="000C7EEB">
        <w:rPr>
          <w:i/>
          <w:color w:val="000000"/>
        </w:rPr>
        <w:t xml:space="preserve">Um </w:t>
      </w:r>
      <w:proofErr w:type="spellStart"/>
      <w:r w:rsidRPr="000C7EEB">
        <w:rPr>
          <w:i/>
          <w:color w:val="000000"/>
        </w:rPr>
        <w:t>die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klinische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Anwendung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zu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erleichtern</w:t>
      </w:r>
      <w:proofErr w:type="spellEnd"/>
      <w:r w:rsidRPr="000C7EEB">
        <w:rPr>
          <w:i/>
          <w:color w:val="000000"/>
        </w:rPr>
        <w:t xml:space="preserve">, </w:t>
      </w:r>
      <w:proofErr w:type="spellStart"/>
      <w:r w:rsidRPr="000C7EEB">
        <w:rPr>
          <w:i/>
          <w:color w:val="000000"/>
        </w:rPr>
        <w:t>sind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Erläuterungen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zu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einigen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Kriterien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kursiv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und</w:t>
      </w:r>
      <w:proofErr w:type="spellEnd"/>
      <w:r w:rsidRPr="000C7EEB">
        <w:rPr>
          <w:i/>
          <w:color w:val="000000"/>
        </w:rPr>
        <w:t xml:space="preserve"> mit </w:t>
      </w:r>
      <w:proofErr w:type="spellStart"/>
      <w:r w:rsidRPr="000C7EEB">
        <w:rPr>
          <w:i/>
          <w:color w:val="000000"/>
        </w:rPr>
        <w:t>Präfix</w:t>
      </w:r>
      <w:proofErr w:type="spellEnd"/>
      <w:r w:rsidRPr="000C7EEB">
        <w:rPr>
          <w:i/>
          <w:color w:val="000000"/>
        </w:rPr>
        <w:t xml:space="preserve"> * direkt </w:t>
      </w:r>
      <w:proofErr w:type="spellStart"/>
      <w:r w:rsidRPr="000C7EEB">
        <w:rPr>
          <w:i/>
          <w:color w:val="000000"/>
        </w:rPr>
        <w:t>nach</w:t>
      </w:r>
      <w:proofErr w:type="spellEnd"/>
      <w:r w:rsidRPr="000C7EEB">
        <w:rPr>
          <w:i/>
          <w:color w:val="000000"/>
        </w:rPr>
        <w:t xml:space="preserve"> den </w:t>
      </w:r>
      <w:proofErr w:type="spellStart"/>
      <w:r w:rsidRPr="000C7EEB">
        <w:rPr>
          <w:i/>
          <w:color w:val="000000"/>
        </w:rPr>
        <w:t>Kriterien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angegeben</w:t>
      </w:r>
      <w:proofErr w:type="spellEnd"/>
      <w:r w:rsidR="00FE62C6" w:rsidRPr="00FE62C6">
        <w:rPr>
          <w:i/>
          <w:color w:val="000000"/>
        </w:rPr>
        <w:t>.</w:t>
      </w:r>
    </w:p>
    <w:p w14:paraId="3E55B837" w14:textId="7C22D211" w:rsidR="00FE62C6" w:rsidRDefault="000C7EEB" w:rsidP="00FE62C6">
      <w:pPr>
        <w:pStyle w:val="berschrift3"/>
        <w:pBdr>
          <w:bottom w:val="single" w:sz="6" w:space="1" w:color="000000"/>
        </w:pBdr>
        <w:spacing w:line="360" w:lineRule="auto"/>
        <w:jc w:val="both"/>
        <w:rPr>
          <w:i/>
          <w:color w:val="000000"/>
        </w:rPr>
      </w:pPr>
      <w:proofErr w:type="spellStart"/>
      <w:r w:rsidRPr="000C7EEB">
        <w:rPr>
          <w:i/>
          <w:color w:val="000000"/>
        </w:rPr>
        <w:t>Referenzen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beinhalten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Referenzen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zu</w:t>
      </w:r>
      <w:proofErr w:type="spellEnd"/>
      <w:r w:rsidRPr="000C7EEB">
        <w:rPr>
          <w:i/>
          <w:color w:val="000000"/>
        </w:rPr>
        <w:t xml:space="preserve"> den </w:t>
      </w:r>
      <w:proofErr w:type="spellStart"/>
      <w:r w:rsidRPr="000C7EEB">
        <w:rPr>
          <w:i/>
          <w:color w:val="000000"/>
        </w:rPr>
        <w:t>Kriterien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und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Erläuterungen</w:t>
      </w:r>
      <w:proofErr w:type="spellEnd"/>
      <w:r w:rsidRPr="000C7EEB">
        <w:rPr>
          <w:i/>
          <w:color w:val="000000"/>
        </w:rPr>
        <w:t xml:space="preserve">, </w:t>
      </w:r>
      <w:proofErr w:type="spellStart"/>
      <w:r w:rsidRPr="000C7EEB">
        <w:rPr>
          <w:i/>
          <w:color w:val="000000"/>
        </w:rPr>
        <w:t>falls</w:t>
      </w:r>
      <w:proofErr w:type="spellEnd"/>
      <w:r w:rsidRPr="000C7EEB">
        <w:rPr>
          <w:i/>
          <w:color w:val="000000"/>
        </w:rPr>
        <w:t xml:space="preserve"> </w:t>
      </w:r>
      <w:proofErr w:type="spellStart"/>
      <w:r w:rsidRPr="000C7EEB">
        <w:rPr>
          <w:i/>
          <w:color w:val="000000"/>
        </w:rPr>
        <w:t>verfügbar</w:t>
      </w:r>
      <w:proofErr w:type="spellEnd"/>
      <w:r w:rsidRPr="000C7EEB">
        <w:rPr>
          <w:i/>
          <w:color w:val="000000"/>
        </w:rPr>
        <w:t>.</w:t>
      </w:r>
      <w:r w:rsidR="00FE62C6" w:rsidRPr="00FE62C6">
        <w:rPr>
          <w:i/>
          <w:color w:val="000000"/>
        </w:rPr>
        <w:t>.</w:t>
      </w:r>
      <w:r w:rsidR="00FE62C6">
        <w:rPr>
          <w:i/>
          <w:color w:val="000000"/>
        </w:rPr>
        <w:t xml:space="preserve"> </w:t>
      </w:r>
    </w:p>
    <w:p w14:paraId="38FF58BA" w14:textId="77777777" w:rsidR="00580636" w:rsidRPr="00AE15DA" w:rsidRDefault="00580636" w:rsidP="0043334F">
      <w:pPr>
        <w:contextualSpacing/>
        <w:rPr>
          <w:rFonts w:cstheme="minorHAnsi"/>
          <w:bCs/>
          <w:lang w:eastAsia="en-GB"/>
        </w:rPr>
      </w:pPr>
    </w:p>
    <w:p w14:paraId="36FB9AA2" w14:textId="77777777" w:rsidR="007D5087" w:rsidRPr="00AE15DA" w:rsidRDefault="007D5087" w:rsidP="0043334F">
      <w:pPr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</w:pPr>
    </w:p>
    <w:p w14:paraId="6D680221" w14:textId="40A57EE5" w:rsidR="00580636" w:rsidRPr="00AE15DA" w:rsidRDefault="000C7EEB" w:rsidP="0043334F">
      <w:pPr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</w:pPr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TIME-</w:t>
      </w:r>
      <w:proofErr w:type="spellStart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to</w:t>
      </w:r>
      <w:proofErr w:type="spellEnd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-STOP-</w:t>
      </w:r>
      <w:proofErr w:type="spellStart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Kriterien</w:t>
      </w:r>
      <w:proofErr w:type="spellEnd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 xml:space="preserve"> (mit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Referenzen</w:t>
      </w:r>
      <w:proofErr w:type="spellEnd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und</w:t>
      </w:r>
      <w:proofErr w:type="spellEnd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 xml:space="preserve"> </w:t>
      </w:r>
      <w:proofErr w:type="spellStart"/>
      <w:r w:rsidRPr="000C7EEB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Erklärung</w:t>
      </w:r>
      <w:proofErr w:type="spellEnd"/>
      <w:r w:rsidR="00580636" w:rsidRPr="00AE15DA"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  <w:t>)</w:t>
      </w:r>
    </w:p>
    <w:p w14:paraId="22D4841E" w14:textId="77777777" w:rsidR="0043334F" w:rsidRPr="00AE15DA" w:rsidRDefault="0043334F" w:rsidP="0043334F">
      <w:pPr>
        <w:contextualSpacing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4DDD458B" w14:textId="69729989" w:rsidR="00E74F94" w:rsidRPr="00AE15DA" w:rsidRDefault="00D173A5" w:rsidP="0043334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</w:pPr>
      <w:r w:rsidRPr="00AE15DA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A</w:t>
      </w:r>
      <w:r w:rsidR="009B4E92" w:rsidRPr="00AE15DA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:</w:t>
      </w:r>
      <w:r w:rsidRPr="00AE15DA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Kriterien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für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das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Herz-Kreislauf-System</w:t>
      </w:r>
      <w:proofErr w:type="spellEnd"/>
      <w:r w:rsidR="009B4E92" w:rsidRPr="00AE15DA"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  <w:t>.</w:t>
      </w:r>
    </w:p>
    <w:p w14:paraId="1E9C4FD4" w14:textId="77777777" w:rsidR="00580636" w:rsidRPr="00AE15DA" w:rsidRDefault="00580636" w:rsidP="0043334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</w:pPr>
    </w:p>
    <w:p w14:paraId="6DAF3C93" w14:textId="59F47069" w:rsidR="00040C22" w:rsidRPr="00AE15DA" w:rsidRDefault="006C24B0" w:rsidP="0043334F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Theme="majorEastAsia" w:hAnsiTheme="minorHAnsi"/>
          <w:b/>
          <w:bCs/>
          <w:sz w:val="22"/>
          <w:szCs w:val="22"/>
        </w:rPr>
      </w:pPr>
      <w:r w:rsidRPr="00AE15DA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A1.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Die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Anwendung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von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Digoxin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im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ersten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Schritt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der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Behandlung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von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VHF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ist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nicht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angemessen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.</w:t>
      </w:r>
    </w:p>
    <w:p w14:paraId="76B3B4F5" w14:textId="688841EF" w:rsidR="00CA5845" w:rsidRPr="00AE15DA" w:rsidRDefault="006C24B0" w:rsidP="0043334F">
      <w:pPr>
        <w:spacing w:after="100" w:afterAutospacing="1"/>
        <w:contextualSpacing/>
        <w:jc w:val="both"/>
        <w:rPr>
          <w:rStyle w:val="eop"/>
          <w:rFonts w:asciiTheme="minorHAnsi" w:eastAsiaTheme="majorEastAsia" w:hAnsiTheme="minorHAnsi"/>
          <w:i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</w:rPr>
        <w:t>*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Digoxin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als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Kombinationstherapie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Vorhofflimmern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, in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, in denen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Betablocker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Kalziumkanalblocker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vertragen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zB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Hypotonie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diese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Behandlungen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ausreichen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>.</w:t>
      </w:r>
      <w:r w:rsidR="000C7EEB">
        <w:rPr>
          <w:rFonts w:asciiTheme="minorHAnsi" w:hAnsiTheme="minorHAnsi"/>
          <w:i/>
          <w:sz w:val="22"/>
          <w:szCs w:val="22"/>
        </w:rPr>
        <w:t xml:space="preserve"> </w:t>
      </w:r>
      <w:r w:rsidRPr="00AE15DA">
        <w:rPr>
          <w:rStyle w:val="eop"/>
          <w:rFonts w:asciiTheme="minorHAnsi" w:eastAsiaTheme="majorEastAsia" w:hAnsiTheme="minorHAnsi"/>
          <w:i/>
          <w:sz w:val="22"/>
          <w:szCs w:val="22"/>
        </w:rPr>
        <w:t> </w:t>
      </w:r>
    </w:p>
    <w:p w14:paraId="67320806" w14:textId="77777777" w:rsidR="00CA5845" w:rsidRPr="00AE15DA" w:rsidRDefault="00CA5845" w:rsidP="0043334F">
      <w:pPr>
        <w:spacing w:after="100" w:afterAutospacing="1"/>
        <w:contextualSpacing/>
        <w:jc w:val="both"/>
        <w:rPr>
          <w:rStyle w:val="eop"/>
          <w:rFonts w:asciiTheme="minorHAnsi" w:eastAsiaTheme="majorEastAsia" w:hAnsiTheme="minorHAnsi"/>
          <w:i/>
          <w:sz w:val="22"/>
          <w:szCs w:val="22"/>
        </w:rPr>
      </w:pPr>
    </w:p>
    <w:p w14:paraId="461E0064" w14:textId="5705F5B0" w:rsidR="00CA5845" w:rsidRPr="00AE15DA" w:rsidRDefault="006C24B0" w:rsidP="0043334F">
      <w:pPr>
        <w:spacing w:after="100" w:afterAutospacing="1"/>
        <w:contextualSpacing/>
        <w:jc w:val="both"/>
        <w:rPr>
          <w:rFonts w:asciiTheme="minorHAnsi" w:eastAsiaTheme="majorEastAsia" w:hAnsiTheme="minorHAnsi"/>
          <w:i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A2.</w:t>
      </w:r>
      <w:r w:rsidR="00181929" w:rsidRPr="00AE15D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Digoxin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in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Dosen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mehr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als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0,125 mg/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Tag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angemessen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Toxizitätsrisiko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).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528668F2" w14:textId="77777777" w:rsidR="0043334F" w:rsidRPr="00AE15DA" w:rsidRDefault="0043334F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4D642A4" w14:textId="77777777" w:rsidR="000C7EEB" w:rsidRPr="000C7EEB" w:rsidRDefault="006C24B0" w:rsidP="000C7EEB">
      <w:pPr>
        <w:spacing w:before="100" w:beforeAutospacing="1" w:after="100" w:afterAutospacing="1"/>
        <w:contextualSpacing/>
        <w:jc w:val="both"/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</w:pPr>
      <w:r w:rsidRPr="00AE15DA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A3.</w:t>
      </w:r>
      <w:r w:rsidR="00181929" w:rsidRPr="00AE15DA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Digoxin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ist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nicht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geeignet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zur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Indikation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einer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Herzinsuffizienz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mit 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erhaltenem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(</w:t>
      </w:r>
      <w:proofErr w:type="spellStart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normalem</w:t>
      </w:r>
      <w:proofErr w:type="spellEnd"/>
      <w:r w:rsidR="000C7EEB"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) EF.</w:t>
      </w:r>
    </w:p>
    <w:p w14:paraId="65D280F2" w14:textId="2AC74E9E" w:rsidR="006C24B0" w:rsidRPr="00AE15DA" w:rsidRDefault="000C7EEB" w:rsidP="000C7EEB">
      <w:pPr>
        <w:spacing w:before="100" w:beforeAutospacing="1" w:after="100" w:afterAutospacing="1"/>
        <w:contextualSpacing/>
        <w:jc w:val="both"/>
        <w:rPr>
          <w:rStyle w:val="normaltextrun"/>
          <w:rFonts w:asciiTheme="minorHAnsi" w:hAnsiTheme="minorHAnsi"/>
          <w:b/>
          <w:color w:val="000000"/>
          <w:sz w:val="22"/>
          <w:szCs w:val="22"/>
        </w:rPr>
      </w:pPr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*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Digoxin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kann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bei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gleichzeitigem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Vorhofflimmern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angezeigt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sein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(</w:t>
      </w:r>
      <w:proofErr w:type="spellStart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>siehe</w:t>
      </w:r>
      <w:proofErr w:type="spellEnd"/>
      <w:r w:rsidRPr="000C7EEB">
        <w:rPr>
          <w:rStyle w:val="normaltextrun"/>
          <w:rFonts w:asciiTheme="minorHAnsi" w:eastAsiaTheme="majorEastAsia" w:hAnsiTheme="minorHAnsi"/>
          <w:b/>
          <w:bCs/>
          <w:sz w:val="22"/>
          <w:szCs w:val="22"/>
        </w:rPr>
        <w:t xml:space="preserve"> A1</w:t>
      </w:r>
      <w:r w:rsidR="006C24B0" w:rsidRPr="00AE15DA">
        <w:rPr>
          <w:rStyle w:val="normaltextrun"/>
          <w:rFonts w:asciiTheme="minorHAnsi" w:eastAsiaTheme="majorEastAsia" w:hAnsiTheme="minorHAnsi"/>
          <w:bCs/>
          <w:i/>
          <w:sz w:val="22"/>
          <w:szCs w:val="22"/>
        </w:rPr>
        <w:t>)</w:t>
      </w:r>
      <w:r w:rsidR="00F62A6D" w:rsidRPr="00AE15DA">
        <w:rPr>
          <w:rStyle w:val="normaltextrun"/>
          <w:rFonts w:asciiTheme="minorHAnsi" w:eastAsiaTheme="majorEastAsia" w:hAnsiTheme="minorHAnsi"/>
          <w:bCs/>
          <w:i/>
          <w:sz w:val="22"/>
          <w:szCs w:val="22"/>
        </w:rPr>
        <w:t>.</w:t>
      </w:r>
    </w:p>
    <w:p w14:paraId="7057272B" w14:textId="7C7102BE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A4.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Diltiazem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Verapamil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niedriger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EF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>.</w:t>
      </w:r>
    </w:p>
    <w:p w14:paraId="5A8692C8" w14:textId="77777777" w:rsidR="00CA5845" w:rsidRPr="00AE15DA" w:rsidRDefault="00CA5845" w:rsidP="0043334F">
      <w:pPr>
        <w:pStyle w:val="HTMLVorformatier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8C770F" w14:textId="348C834A" w:rsidR="00CA5845" w:rsidRPr="00AE15DA" w:rsidRDefault="006C24B0" w:rsidP="0043334F">
      <w:pPr>
        <w:spacing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A5.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r w:rsidR="000C7EEB" w:rsidRPr="000C7EEB">
        <w:rPr>
          <w:rFonts w:asciiTheme="minorHAnsi" w:hAnsiTheme="minorHAnsi"/>
          <w:b/>
          <w:sz w:val="22"/>
          <w:szCs w:val="22"/>
        </w:rPr>
        <w:t xml:space="preserve">Es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Bradykardie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(&lt;50/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), Typ-2-Herzblock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komplettem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Herzblock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frequenzbegrenzende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Therapie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Betablocker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Verapamil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Diltiazem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Digoxin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einzuleiten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>.</w:t>
      </w:r>
    </w:p>
    <w:p w14:paraId="36C0642D" w14:textId="5C04EB73" w:rsidR="006C24B0" w:rsidRPr="00AE15DA" w:rsidRDefault="006C24B0" w:rsidP="0043334F">
      <w:pPr>
        <w:spacing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</w:rPr>
        <w:t>*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Betablocker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einem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PR-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Intervall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&gt;240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ms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relativ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kontraindiziert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Vorliegen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Bradykardie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(&lt;50/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derzeit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Betablocker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Diltiazem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Verapamil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Digoxin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einnehmen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Dosisreduktion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vorgenommen</w:t>
      </w:r>
      <w:proofErr w:type="spellEnd"/>
      <w:r w:rsidR="000C7EEB" w:rsidRPr="000C7EE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62A6D" w:rsidRPr="00AE15DA">
        <w:rPr>
          <w:rFonts w:asciiTheme="minorHAnsi" w:hAnsiTheme="minorHAnsi"/>
          <w:i/>
          <w:sz w:val="22"/>
          <w:szCs w:val="22"/>
        </w:rPr>
        <w:t>.</w:t>
      </w:r>
    </w:p>
    <w:p w14:paraId="0DCFD124" w14:textId="77777777" w:rsidR="009B4E92" w:rsidRPr="00AE15DA" w:rsidRDefault="009B4E92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B88437" w14:textId="090DAECB" w:rsidR="00325178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A6.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Schleifendiuretika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Knöchelödem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klinische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biochemische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radiologische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Anzeichen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Leberversagen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nephrotischem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Syndrom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Nierenversagen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Beinhochlagerung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Kompressionsstrümpfe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in der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Regel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besser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>).</w:t>
      </w:r>
    </w:p>
    <w:p w14:paraId="59B5212C" w14:textId="77777777" w:rsidR="009B4E92" w:rsidRPr="00AE15DA" w:rsidRDefault="009B4E92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E376B8" w14:textId="2C6F3CFA" w:rsidR="00A964BC" w:rsidRPr="00AE15DA" w:rsidRDefault="006C24B0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A7.</w:t>
      </w:r>
      <w:r w:rsidR="00181929" w:rsidRPr="00AE15D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Obwohl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es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keine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spezifische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Indikation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gibt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sind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Betablocker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essentiellen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HT in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erster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Linie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aufgrund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des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erhöhten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Risikos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Herzblockaden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Schwäche-Müdigkeit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sexueller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Dysfunktion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geringerer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Wirksamkeit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Schlaganfallprävention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;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außerdem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Funktion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des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β-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adrenergen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Rezeptors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nimmt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zunehmendem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>Alter</w:t>
      </w:r>
      <w:proofErr w:type="spellEnd"/>
      <w:r w:rsidR="000C7EEB" w:rsidRPr="000C7EEB">
        <w:rPr>
          <w:rFonts w:asciiTheme="minorHAnsi" w:hAnsiTheme="minorHAnsi"/>
          <w:b/>
          <w:color w:val="000000"/>
          <w:sz w:val="22"/>
          <w:szCs w:val="22"/>
        </w:rPr>
        <w:t xml:space="preserve"> ab).</w:t>
      </w:r>
    </w:p>
    <w:p w14:paraId="638CA2EE" w14:textId="77777777" w:rsidR="002A1E62" w:rsidRPr="00AE15DA" w:rsidRDefault="002A1E62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5537F1F" w14:textId="6C454030" w:rsidR="004E6DCE" w:rsidRPr="00AE15DA" w:rsidRDefault="006C24B0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A8.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Harninkontinenz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Diuretika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im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ersten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Schritt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essentiellen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HT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sie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kann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Lebensqualität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durch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Erhöhung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Inkontinenz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Dringlichkeitsgefühls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beeinträchtigen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Stürzen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b/>
          <w:sz w:val="22"/>
          <w:szCs w:val="22"/>
        </w:rPr>
        <w:t>führen</w:t>
      </w:r>
      <w:proofErr w:type="spellEnd"/>
      <w:r w:rsidR="000C7EEB" w:rsidRPr="000C7EEB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>)</w:t>
      </w:r>
    </w:p>
    <w:p w14:paraId="0F408901" w14:textId="34FE05DE" w:rsidR="006C24B0" w:rsidRPr="00AE15DA" w:rsidRDefault="006C24B0" w:rsidP="0043334F">
      <w:pPr>
        <w:spacing w:after="100" w:afterAutospacing="1"/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Im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Allgemeinen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können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Diuretika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älteren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Menschen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Lebensqualität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beeinträchtigen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indem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sie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das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Volumen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erschöpfen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/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Häufigkeit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das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Volumen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des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Wasserlassens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erhöhen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ein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Quetschgefühl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verursachen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und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können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ein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Risikofaktor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für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Stürze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sein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.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Fälle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in denen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Diuretika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verwendet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werden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sollten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in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dieser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Hinsicht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genau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beobachtet</w:t>
      </w:r>
      <w:proofErr w:type="spellEnd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0C7EEB" w:rsidRPr="000C7EEB">
        <w:rPr>
          <w:rFonts w:asciiTheme="minorHAnsi" w:hAnsiTheme="minorHAnsi"/>
          <w:i/>
          <w:color w:val="000000" w:themeColor="text1"/>
          <w:sz w:val="22"/>
          <w:szCs w:val="22"/>
        </w:rPr>
        <w:t>werden</w:t>
      </w:r>
      <w:proofErr w:type="spellEnd"/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 xml:space="preserve">.  </w:t>
      </w:r>
    </w:p>
    <w:p w14:paraId="2DF5B03F" w14:textId="274E5CEF" w:rsidR="00CA5845" w:rsidRDefault="00CA5845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5772BE4" w14:textId="5104FA4B" w:rsidR="006C24B0" w:rsidRPr="00AE15DA" w:rsidRDefault="006C24B0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A9.</w:t>
      </w:r>
      <w:r w:rsidR="002A1E62" w:rsidRPr="00AE15D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Alpha-1-Blockern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zentral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wirkenden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Antihypertensiva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(z. B.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Methyldopa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Rilmenidin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Reserpin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zur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HT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es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sei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denn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andere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Klassen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Antihypertensiva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vertragen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sind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unwirksam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(mit Alpha-1-Blocker-Antihypertensiva,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Herzinsuffizienz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).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kardiovaskuläre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Ereignisse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zunehmen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orthostatische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Sturz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Synkope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Verschlechterung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Harninkontinenz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Frauen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, ZNS-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Nebenwirkungen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zentral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wirkenden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Antihypertensiva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Sedierung-Depression-Parkinsonismus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orthostatische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Bradykardie-Nebenwirkungen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sz w:val="22"/>
          <w:szCs w:val="22"/>
        </w:rPr>
        <w:t xml:space="preserve">) </w:t>
      </w:r>
    </w:p>
    <w:p w14:paraId="07DB9CDA" w14:textId="77777777" w:rsidR="009B4E92" w:rsidRPr="00AE15DA" w:rsidRDefault="009B4E92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63E76E" w14:textId="5147D742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A10.</w:t>
      </w:r>
      <w:r w:rsidR="002A1E62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gefäßerweiternden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Antihypertensiva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(Alpha-1-Blocker)/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Nitraten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orthostatischer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(&gt;=20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Abfall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systolischen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Blutdrucks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&gt;=10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Abnahme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diastolischen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Blutdrucks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erhöhten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orthostatischen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)</w:t>
      </w:r>
      <w:r w:rsidR="00386BD2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23B24B71" w14:textId="369A0C26" w:rsidR="008073BC" w:rsidRPr="00AE15DA" w:rsidRDefault="006C24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gefäßerweiternden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Antihypertensiva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orthostatischer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nur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dann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sinnvoll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schwere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HT in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Rückenlage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anderen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Antihypertensiva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kontrolliert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gleichzeitig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Schutzmaßnahmen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gegen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orthostatische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Alle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Antihypertensiva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auf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Dosisreduktion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Vorliegen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orthostatischen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untersucht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E07AD0" w:rsidRPr="00AE15DA">
        <w:rPr>
          <w:rFonts w:asciiTheme="minorHAnsi" w:hAnsiTheme="minorHAnsi"/>
          <w:i/>
          <w:sz w:val="22"/>
          <w:szCs w:val="22"/>
        </w:rPr>
        <w:t>.</w:t>
      </w:r>
    </w:p>
    <w:p w14:paraId="2E594CB6" w14:textId="77777777" w:rsidR="00E86B5B" w:rsidRPr="00AE15DA" w:rsidRDefault="00E86B5B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2E0A361" w14:textId="47929E86" w:rsidR="009B4E92" w:rsidRPr="00AE15DA" w:rsidRDefault="006C24B0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/>
          <w:color w:val="000000"/>
          <w:sz w:val="22"/>
          <w:szCs w:val="22"/>
          <w:vertAlign w:val="superscript"/>
        </w:rPr>
      </w:pPr>
      <w:r w:rsidRPr="00AE15DA">
        <w:rPr>
          <w:rFonts w:asciiTheme="minorHAnsi" w:hAnsiTheme="minorHAnsi"/>
          <w:b/>
          <w:sz w:val="22"/>
          <w:szCs w:val="22"/>
        </w:rPr>
        <w:t>A11.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strenge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Blutdruckkontrolle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(&lt;140/90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orthostatischer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kognitiver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Beeinträchtigung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(z. B.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Demenz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)/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Funktionseinschränkung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geringer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Lebenserwartung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(&lt;2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Jahre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)/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hohem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Sturzrisiko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.</w:t>
      </w:r>
    </w:p>
    <w:p w14:paraId="5DC1FA9A" w14:textId="77777777" w:rsidR="00C75B3A" w:rsidRPr="00AE15DA" w:rsidRDefault="00C75B3A" w:rsidP="0043334F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7255E19" w14:textId="7CD9B463" w:rsidR="006C24B0" w:rsidRPr="00AE15DA" w:rsidRDefault="006C24B0" w:rsidP="0043334F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A12.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Fludrocortison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zur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orthostatischen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ohne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Ausschluss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Sekundärfaktoren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nichtmedikamentöser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Ansätze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386BD2" w:rsidRPr="00386BD2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F979A81" w14:textId="36155D21" w:rsidR="009B4E92" w:rsidRPr="00AE15DA" w:rsidRDefault="006C24B0" w:rsidP="0043334F">
      <w:pPr>
        <w:spacing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Nichtmedikamentöse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Ansätze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zur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Behandlung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der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orthostatischen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Hypotonie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sind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: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Langsames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Aufstehen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Widerstandsübungen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der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unteren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Extremitäten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Tragen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Kompressionsstrümpfen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ausreichende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Flüssigkeitszufuhr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[2–3 l/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Tag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],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Vermeidung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Alkohol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kleine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häufige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Mahlzeiten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ausreichend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Salz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Aufnahme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[6-10] g/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Tag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],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Vermeidung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kohlenhydratreichen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Nahrungsmitteln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Vermeidung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intensiver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körperlicher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Betätigung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heißem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Wetter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Halten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des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Kopfes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im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Liegen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auf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30-45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Grad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erhöht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63FE8218" w14:textId="77777777" w:rsidR="0077695B" w:rsidRPr="00AE15DA" w:rsidRDefault="0077695B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5D1CC07" w14:textId="76D90B30" w:rsidR="006C24B0" w:rsidRPr="00AE15DA" w:rsidRDefault="006C24B0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A13.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Betablocker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Verapamil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Diltiazem-Kombination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mit HT (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Herzblocks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>)</w:t>
      </w:r>
    </w:p>
    <w:p w14:paraId="4C8D054E" w14:textId="57F55E07" w:rsidR="00EC68B4" w:rsidRPr="00AE15DA" w:rsidRDefault="00EC68B4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der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Behandlung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HT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älteren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Menschen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sollte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langwirksame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Dihydropyridingruppe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der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Calciumkanalblocker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bevorzugt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Verapamil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/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Diltiazem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kann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das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Risiko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eines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Herzblocks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erhöhen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).</w:t>
      </w:r>
    </w:p>
    <w:p w14:paraId="5911563A" w14:textId="2AACCB66" w:rsidR="006C24B0" w:rsidRPr="00AE15DA" w:rsidRDefault="006C24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 xml:space="preserve"> 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Kombination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Betablockern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Verapamil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>/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Diltiazem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einigen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supraventrikulärer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Tachykardie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angebracht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In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diesem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Fall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es mit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Vorsicht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Pr="00AE15DA">
        <w:rPr>
          <w:rFonts w:asciiTheme="minorHAnsi" w:hAnsiTheme="minorHAnsi"/>
          <w:i/>
          <w:color w:val="000000"/>
          <w:sz w:val="22"/>
          <w:szCs w:val="22"/>
        </w:rPr>
        <w:t xml:space="preserve">. </w:t>
      </w:r>
    </w:p>
    <w:p w14:paraId="47EB0FEF" w14:textId="77777777" w:rsidR="00E85274" w:rsidRPr="00AE15DA" w:rsidRDefault="00E85274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4F4F62B" w14:textId="1C1BAEC8" w:rsidR="0018466D" w:rsidRPr="00AE15DA" w:rsidRDefault="0018466D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A14.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einem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Serumkaliumspiegel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über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5,5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mEq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/l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Einleitung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RAS-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Blockers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(ACE-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Hemmer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, ARB,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direkter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Renin-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Inhibitor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kaliumsparendes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Diuretikum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Spironolacton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Eplerenon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Amilorid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Triamteren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.</w:t>
      </w:r>
    </w:p>
    <w:p w14:paraId="7494D537" w14:textId="6A091255" w:rsidR="006A79E8" w:rsidRPr="00AE15DA" w:rsidRDefault="0018466D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</w:rPr>
        <w:t>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diese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Arzneimittelgruppe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einem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Kaliumspiegel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über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6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mEq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/l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sie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abgesetzt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0CC49A17" w14:textId="16EF422E" w:rsidR="0018466D" w:rsidRPr="00AE15DA" w:rsidRDefault="00CC0179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kombinierte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ACE-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Hemmern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ARBs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blutdrucksenkenden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Zwecken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geeignet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>.</w:t>
      </w:r>
      <w:r w:rsidR="0018466D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6D58289D" w14:textId="77777777" w:rsidR="006A79E8" w:rsidRPr="00AE15DA" w:rsidRDefault="006A79E8" w:rsidP="0043334F">
      <w:pPr>
        <w:contextualSpacing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14:paraId="620FEC46" w14:textId="31DE57B6" w:rsidR="00234A6B" w:rsidRPr="00AE15DA" w:rsidRDefault="0018466D" w:rsidP="0043334F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A15.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Kombination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RAS-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Blockern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(ACEI, ARB,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direkter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Reninhemmer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kaliumsparenden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Diuretika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Spironolacton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Eplerenon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Amilorid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Triamteren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Überwachung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Serumkaliumspiegels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Gefahr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gefährlichen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Hyperkaliämie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>).</w:t>
      </w:r>
      <w:r w:rsidR="00CB779B"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17E81DE9" w14:textId="2686ACA5" w:rsidR="0018466D" w:rsidRPr="00AE15DA" w:rsidRDefault="0018466D" w:rsidP="0043334F">
      <w:pPr>
        <w:spacing w:after="100" w:afterAutospacing="1"/>
        <w:contextualSpacing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Dieses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Risiko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besonders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Diabetes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mellitus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Nierenversagen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Kaliumsalzpräparate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einnehmen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höher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 </w:t>
      </w:r>
    </w:p>
    <w:p w14:paraId="2E8320E0" w14:textId="77777777" w:rsidR="00E86B5B" w:rsidRPr="00AE15DA" w:rsidRDefault="00E86B5B" w:rsidP="0043334F">
      <w:pPr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911002" w14:textId="4DB5106D" w:rsidR="003814F4" w:rsidRPr="00AE15DA" w:rsidRDefault="003814F4" w:rsidP="0043334F">
      <w:pPr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A16.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kaliumsparenden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Arzneimitteln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Aldosteron-Antagonisten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Triamteren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Amilorid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ACEI, ARB)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einer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GFR &lt;30 ml/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min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/1,73 m2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deren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Serumkaliumspiegel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engmaschig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überwacht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kann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Hyperkaliämierisiko</w:t>
      </w:r>
      <w:proofErr w:type="spellEnd"/>
      <w:r w:rsidR="00386BD2" w:rsidRPr="00386BD2">
        <w:rPr>
          <w:rFonts w:asciiTheme="minorHAnsi" w:hAnsiTheme="minorHAnsi"/>
          <w:b/>
          <w:color w:val="000000" w:themeColor="text1"/>
          <w:sz w:val="22"/>
          <w:szCs w:val="22"/>
        </w:rPr>
        <w:t>).</w:t>
      </w: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13200661" w14:textId="77777777" w:rsidR="001D79D5" w:rsidRPr="00AE15DA" w:rsidRDefault="001D79D5" w:rsidP="0043334F">
      <w:pPr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86442FF" w14:textId="77777777" w:rsidR="009B4E92" w:rsidRPr="00AE15DA" w:rsidRDefault="009B4E92" w:rsidP="0043334F">
      <w:pPr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96B1557" w14:textId="66742FF4" w:rsidR="00C75B3A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A17.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Thiaziddiuretika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signifikanter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Hypokaliämie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(Serum K &lt; 3,0 mg/l),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Hyponatriämie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(Serum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Na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&lt; 130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mEq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/l),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Hyperkalzämie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korrigierter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Serum-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Ca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&gt; 10,6 mg/dl)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b/>
          <w:sz w:val="22"/>
          <w:szCs w:val="22"/>
        </w:rPr>
        <w:t>Gicht</w:t>
      </w:r>
      <w:proofErr w:type="spellEnd"/>
      <w:r w:rsidR="00386BD2" w:rsidRPr="00386BD2">
        <w:rPr>
          <w:rFonts w:asciiTheme="minorHAnsi" w:hAnsiTheme="minorHAnsi"/>
          <w:b/>
          <w:sz w:val="22"/>
          <w:szCs w:val="22"/>
        </w:rPr>
        <w:t xml:space="preserve"> .</w:t>
      </w:r>
    </w:p>
    <w:p w14:paraId="2C1E893E" w14:textId="77777777" w:rsidR="0077695B" w:rsidRPr="00AE15DA" w:rsidRDefault="0077695B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2D4A144" w14:textId="16FC1FA6" w:rsidR="006C24B0" w:rsidRPr="00AE15DA" w:rsidRDefault="006C24B0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A18.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NSAR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bei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Patienten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kardiovaskulären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Erkrankungen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schwere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Hypertonie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Herzinsuffizienz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oder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früherer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Myokardinfarkt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Schlaganfall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)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nicht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geeignet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erhöhtes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kardiovaskuläres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Ereignis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Risiko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für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Myokardinfarkt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Schlaganfall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Herzinsuffizienz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 w:cstheme="minorHAnsi"/>
          <w:b/>
          <w:sz w:val="22"/>
          <w:szCs w:val="22"/>
        </w:rPr>
        <w:t>Tod</w:t>
      </w:r>
      <w:proofErr w:type="spellEnd"/>
      <w:r w:rsidR="00386BD2" w:rsidRPr="00386BD2">
        <w:rPr>
          <w:rFonts w:asciiTheme="minorHAnsi" w:hAnsiTheme="minorHAnsi" w:cstheme="minorHAnsi"/>
          <w:b/>
          <w:sz w:val="22"/>
          <w:szCs w:val="22"/>
        </w:rPr>
        <w:t>)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223B73D7" w14:textId="3A014586" w:rsidR="006C24B0" w:rsidRPr="00AE15DA" w:rsidRDefault="006C24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In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in denen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NSAIDs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klinisch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indiziert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kurzzeitige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engmaschiger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klinischer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Überwachung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in der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geringstmöglichen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bevorzugt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386BD2" w:rsidRPr="00386BD2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5DD7B32E" w14:textId="543DDA93" w:rsidR="006025E9" w:rsidRPr="00AE15DA" w:rsidRDefault="006C24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386BD2" w:rsidRPr="00386BD2"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Obwohl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alle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NSAR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ein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kardiovaskuläres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Risiko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darstellen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können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Naproxen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und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Ibuprofen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relativ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sicher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sein</w:t>
      </w:r>
      <w:proofErr w:type="spellEnd"/>
      <w:r w:rsidR="00386BD2" w:rsidRPr="00386BD2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3701CEC4" w14:textId="7A896038" w:rsidR="006025E9" w:rsidRPr="00AE15DA" w:rsidRDefault="004F3ECE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6765FA" w:rsidRPr="006765FA"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einem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, der Aspirin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NSAIDs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verabreicht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sollen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angemessener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diese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mindestens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2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Stunden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nach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Aspirin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verabreichen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>.</w:t>
      </w:r>
    </w:p>
    <w:p w14:paraId="145E6DCD" w14:textId="77777777" w:rsidR="00D03264" w:rsidRPr="00AE15DA" w:rsidRDefault="00D03264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3C698B" w14:textId="31297B90" w:rsidR="006C24B0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A19.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Betablockern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DM-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häufigen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Hypoglykämie-Episoden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Unterdrückung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hypoglykämischer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Symptome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>)</w:t>
      </w:r>
    </w:p>
    <w:p w14:paraId="1A3F951E" w14:textId="77777777" w:rsidR="00D03264" w:rsidRPr="00AE15DA" w:rsidRDefault="00D03264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86270" w14:textId="0662E5D2" w:rsidR="007662E6" w:rsidRPr="00AE15DA" w:rsidRDefault="006C24B0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A20.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nicht-selektiven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Betablockern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(oral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topisch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Glaukom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Asthma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in der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erhöhtes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Bronchospasmen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>.</w:t>
      </w:r>
      <w:r w:rsidR="00EF6B15" w:rsidRPr="00AE15DA">
        <w:rPr>
          <w:rFonts w:asciiTheme="minorHAnsi" w:hAnsiTheme="minorHAnsi"/>
          <w:b/>
          <w:sz w:val="22"/>
          <w:szCs w:val="22"/>
        </w:rPr>
        <w:t>)</w:t>
      </w:r>
    </w:p>
    <w:p w14:paraId="54E869D3" w14:textId="77777777" w:rsidR="009B4E92" w:rsidRPr="00AE15DA" w:rsidRDefault="009B4E92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30A129" w14:textId="10B14032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="Times New Roman"/>
          <w:b/>
          <w:sz w:val="22"/>
          <w:szCs w:val="22"/>
          <w:vertAlign w:val="superscript"/>
        </w:rPr>
      </w:pPr>
      <w:r w:rsidRPr="00AE15DA">
        <w:rPr>
          <w:rFonts w:asciiTheme="minorHAnsi" w:hAnsiTheme="minorHAnsi" w:cs="Times New Roman"/>
          <w:b/>
          <w:sz w:val="22"/>
          <w:szCs w:val="22"/>
        </w:rPr>
        <w:t xml:space="preserve">A21.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chronische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Anwendung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von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Aspirin in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Dosen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über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75-150 mg/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Tag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ist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für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den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primären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oder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sekundären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kardiovaskulären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Schutz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nicht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geeignet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(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kein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nachgewiesener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Zusatznutzen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und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erhöht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das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b/>
          <w:sz w:val="22"/>
          <w:szCs w:val="22"/>
        </w:rPr>
        <w:t>Blutungsrisiko</w:t>
      </w:r>
      <w:proofErr w:type="spellEnd"/>
      <w:r w:rsidR="006765FA" w:rsidRPr="006765FA">
        <w:rPr>
          <w:rFonts w:asciiTheme="minorHAnsi" w:hAnsiTheme="minorHAnsi" w:cs="Times New Roman"/>
          <w:b/>
          <w:sz w:val="22"/>
          <w:szCs w:val="22"/>
        </w:rPr>
        <w:t>).</w:t>
      </w:r>
    </w:p>
    <w:p w14:paraId="573AAD95" w14:textId="513E07D9" w:rsidR="009B4E92" w:rsidRPr="00AE15DA" w:rsidRDefault="00E66E2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460D3">
        <w:rPr>
          <w:rFonts w:ascii="Calibri" w:hAnsi="Calibri" w:cs="Calibri"/>
          <w:b/>
          <w:sz w:val="22"/>
          <w:szCs w:val="22"/>
        </w:rPr>
        <w:t>#</w:t>
      </w:r>
      <w:r w:rsidR="006C24B0" w:rsidRPr="009460D3">
        <w:rPr>
          <w:rFonts w:asciiTheme="minorHAnsi" w:hAnsiTheme="minorHAnsi"/>
          <w:b/>
          <w:sz w:val="22"/>
          <w:szCs w:val="22"/>
        </w:rPr>
        <w:t>A22</w:t>
      </w:r>
      <w:r w:rsidR="006C24B0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Aspirin,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Clopidogrel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Dipyridamol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OAKs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(Vitamin-K-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Antagonisten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direkter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Thrombinhemmer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Faktor-Xa-Hemmer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Vorliegen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signifikanten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Blutungsrisikos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(z. (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hohes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sz w:val="22"/>
          <w:szCs w:val="22"/>
        </w:rPr>
        <w:t>Blutungsrisiko</w:t>
      </w:r>
      <w:proofErr w:type="spellEnd"/>
      <w:r w:rsidR="006765FA" w:rsidRPr="006765FA">
        <w:rPr>
          <w:rFonts w:asciiTheme="minorHAnsi" w:hAnsiTheme="minorHAnsi"/>
          <w:b/>
          <w:sz w:val="22"/>
          <w:szCs w:val="22"/>
        </w:rPr>
        <w:t>).</w:t>
      </w:r>
      <w:r w:rsidR="006C24B0"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0122125C" w14:textId="77777777" w:rsidR="00C75B3A" w:rsidRPr="00AE15DA" w:rsidRDefault="00C75B3A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418301F" w14:textId="66449D71" w:rsidR="00E67728" w:rsidRPr="00AE15DA" w:rsidRDefault="007662E6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A23.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Die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gleichzeitige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Anwendung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von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Aspirin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und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Clopidogrel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ist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zur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sekundären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Schlaganfallprophylaxe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nicht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geeignet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, es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sei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denn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, es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besteht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eine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spezifische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Indikation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für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die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kombinierte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Anwendung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von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Aspirin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und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Clopidogrel</w:t>
      </w:r>
      <w:proofErr w:type="spellEnd"/>
      <w:r w:rsidR="006765FA" w:rsidRPr="006765FA">
        <w:rPr>
          <w:rFonts w:asciiTheme="minorHAnsi" w:hAnsiTheme="minorHAnsi"/>
          <w:b/>
          <w:color w:val="222222"/>
          <w:sz w:val="22"/>
          <w:szCs w:val="22"/>
        </w:rPr>
        <w:t>.</w:t>
      </w:r>
    </w:p>
    <w:p w14:paraId="6EFAEF19" w14:textId="4F1B7957" w:rsidR="003400E8" w:rsidRPr="00AE15DA" w:rsidRDefault="003400E8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6765FA" w:rsidRPr="006765FA"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Situationen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, in denen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kombinierte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Aspirin +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Clopidogrel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angemessen</w:t>
      </w:r>
      <w:proofErr w:type="spellEnd"/>
      <w:r w:rsidR="006765FA" w:rsidRPr="006765F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/>
          <w:i/>
          <w:sz w:val="22"/>
          <w:szCs w:val="22"/>
        </w:rPr>
        <w:t>ist.</w:t>
      </w:r>
      <w:proofErr w:type="spellEnd"/>
    </w:p>
    <w:p w14:paraId="2BB38A1E" w14:textId="4C544B34" w:rsidR="00372860" w:rsidRPr="00AE15DA" w:rsidRDefault="0037286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 xml:space="preserve">1.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Hatten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Sie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in den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12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Monaten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ein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akutes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Koronarsyndrom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oder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eine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Koronarintervention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(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Ballon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und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>/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oder</w:t>
      </w:r>
      <w:proofErr w:type="spellEnd"/>
      <w:r w:rsidR="006765FA" w:rsidRPr="006765FA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6765FA" w:rsidRPr="006765FA">
        <w:rPr>
          <w:rFonts w:asciiTheme="minorHAnsi" w:hAnsiTheme="minorHAnsi" w:cs="Times New Roman"/>
          <w:i/>
          <w:sz w:val="22"/>
          <w:szCs w:val="22"/>
        </w:rPr>
        <w:t>Stent</w:t>
      </w:r>
      <w:proofErr w:type="spellEnd"/>
      <w:r w:rsidRPr="00AE15DA">
        <w:rPr>
          <w:rFonts w:asciiTheme="minorHAnsi" w:hAnsiTheme="minorHAnsi" w:cs="Times New Roman"/>
          <w:i/>
          <w:sz w:val="22"/>
          <w:szCs w:val="22"/>
        </w:rPr>
        <w:t>)</w:t>
      </w:r>
    </w:p>
    <w:p w14:paraId="21C67A71" w14:textId="62CC2165" w:rsidR="00372860" w:rsidRPr="00AE15DA" w:rsidRDefault="0037286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lastRenderedPageBreak/>
        <w:t xml:space="preserve">2.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Nach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einem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Eingriff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in den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1 Monat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aufgrund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einer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peripheren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arteriellen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Verschlusskrankheit</w:t>
      </w:r>
      <w:proofErr w:type="spellEnd"/>
      <w:r w:rsidR="00B856BE">
        <w:rPr>
          <w:rFonts w:asciiTheme="minorHAnsi" w:hAnsiTheme="minorHAnsi" w:cs="Times New Roman"/>
          <w:i/>
          <w:sz w:val="22"/>
          <w:szCs w:val="22"/>
        </w:rPr>
        <w:t>.</w:t>
      </w:r>
    </w:p>
    <w:p w14:paraId="5653F6D9" w14:textId="15D2B151" w:rsidR="00372860" w:rsidRPr="00AE15DA" w:rsidRDefault="004F3ECE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ab/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Stentimplantation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(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aufgrund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einer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Karotisstenose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>/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Erkrankung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der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unteren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Extremität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) im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Monat</w:t>
      </w:r>
    </w:p>
    <w:p w14:paraId="6E31CCB4" w14:textId="7A5352E1" w:rsidR="00372860" w:rsidRPr="00AE15DA" w:rsidRDefault="0037286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ab/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Ballonapplikation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an der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unteren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Extremität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im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Monat</w:t>
      </w:r>
    </w:p>
    <w:p w14:paraId="0787087C" w14:textId="2B0338D7" w:rsidR="00372860" w:rsidRPr="00AE15DA" w:rsidRDefault="0037286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3.</w:t>
      </w:r>
      <w:r w:rsidR="009D2C59" w:rsidRPr="00AE15D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/>
          <w:i/>
          <w:sz w:val="22"/>
          <w:szCs w:val="22"/>
        </w:rPr>
        <w:t>einen</w:t>
      </w:r>
      <w:proofErr w:type="spellEnd"/>
      <w:r w:rsidR="00B856BE"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/>
          <w:i/>
          <w:sz w:val="22"/>
          <w:szCs w:val="22"/>
        </w:rPr>
        <w:t>Schlaganfall</w:t>
      </w:r>
      <w:proofErr w:type="spellEnd"/>
      <w:r w:rsidR="00B856BE" w:rsidRPr="00B856BE">
        <w:rPr>
          <w:rFonts w:asciiTheme="minorHAnsi" w:hAnsiTheme="minorHAnsi"/>
          <w:i/>
          <w:sz w:val="22"/>
          <w:szCs w:val="22"/>
        </w:rPr>
        <w:t xml:space="preserve">-TIA in den </w:t>
      </w:r>
      <w:proofErr w:type="spellStart"/>
      <w:r w:rsidR="00B856BE" w:rsidRPr="00B856BE">
        <w:rPr>
          <w:rFonts w:asciiTheme="minorHAnsi" w:hAnsiTheme="minorHAnsi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/>
          <w:i/>
          <w:sz w:val="22"/>
          <w:szCs w:val="22"/>
        </w:rPr>
        <w:t xml:space="preserve"> 3 Wochen-3 </w:t>
      </w:r>
      <w:proofErr w:type="spellStart"/>
      <w:r w:rsidR="00B856BE" w:rsidRPr="00B856BE">
        <w:rPr>
          <w:rFonts w:asciiTheme="minorHAnsi" w:hAnsiTheme="minorHAnsi"/>
          <w:i/>
          <w:sz w:val="22"/>
          <w:szCs w:val="22"/>
        </w:rPr>
        <w:t>Monaten</w:t>
      </w:r>
      <w:proofErr w:type="spellEnd"/>
      <w:r w:rsidR="00B856BE"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/>
          <w:i/>
          <w:sz w:val="22"/>
          <w:szCs w:val="22"/>
        </w:rPr>
        <w:t>gehabt</w:t>
      </w:r>
      <w:proofErr w:type="spellEnd"/>
      <w:r w:rsidR="00B856BE"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B856BE"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/>
          <w:i/>
          <w:sz w:val="22"/>
          <w:szCs w:val="22"/>
        </w:rPr>
        <w:t>haben</w:t>
      </w:r>
      <w:proofErr w:type="spellEnd"/>
    </w:p>
    <w:p w14:paraId="23269765" w14:textId="77777777" w:rsidR="00B856BE" w:rsidRDefault="00B856BE" w:rsidP="0043334F">
      <w:pPr>
        <w:ind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B856BE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3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Monate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bei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Schlaganfall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TIA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aufgrund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intrakraniellen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Arteriosklerose</w:t>
      </w:r>
      <w:proofErr w:type="spellEnd"/>
    </w:p>
    <w:p w14:paraId="2FCC9416" w14:textId="01358B97" w:rsidR="00C477FF" w:rsidRPr="00AE15DA" w:rsidRDefault="00B856BE" w:rsidP="0043334F">
      <w:pPr>
        <w:ind w:firstLine="709"/>
        <w:contextualSpacing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B856BE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3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Wochen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bei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leichten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Schlaganfällen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Pr="00B856BE">
        <w:rPr>
          <w:rFonts w:asciiTheme="minorHAnsi" w:hAnsiTheme="minorHAnsi"/>
          <w:i/>
          <w:sz w:val="22"/>
          <w:szCs w:val="22"/>
        </w:rPr>
        <w:t xml:space="preserve"> TIA-</w:t>
      </w:r>
      <w:proofErr w:type="spellStart"/>
      <w:r w:rsidRPr="00B856BE">
        <w:rPr>
          <w:rFonts w:asciiTheme="minorHAnsi" w:hAnsiTheme="minorHAnsi"/>
          <w:i/>
          <w:sz w:val="22"/>
          <w:szCs w:val="22"/>
        </w:rPr>
        <w:t>Fällen</w:t>
      </w:r>
      <w:proofErr w:type="spellEnd"/>
    </w:p>
    <w:p w14:paraId="7DDA7E52" w14:textId="1470D8E0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 w:rsidRPr="00AE15DA">
        <w:rPr>
          <w:rFonts w:asciiTheme="minorHAnsi" w:hAnsiTheme="minorHAnsi" w:cs="Times New Roman"/>
          <w:b/>
          <w:sz w:val="22"/>
          <w:szCs w:val="22"/>
        </w:rPr>
        <w:t>A2</w:t>
      </w:r>
      <w:r w:rsidR="00965815" w:rsidRPr="00AE15DA">
        <w:rPr>
          <w:rFonts w:asciiTheme="minorHAnsi" w:hAnsiTheme="minorHAnsi" w:cs="Times New Roman"/>
          <w:b/>
          <w:sz w:val="22"/>
          <w:szCs w:val="22"/>
        </w:rPr>
        <w:t>4</w:t>
      </w:r>
      <w:r w:rsidR="00B84A0C" w:rsidRPr="00AE15DA">
        <w:rPr>
          <w:rFonts w:asciiTheme="minorHAnsi" w:hAnsiTheme="minorHAnsi" w:cs="Times New Roman"/>
          <w:b/>
          <w:sz w:val="22"/>
          <w:szCs w:val="22"/>
        </w:rPr>
        <w:t>.</w:t>
      </w:r>
      <w:r w:rsidRPr="00AE15D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Es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ist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nicht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angebracht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>, aspirin/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Clopidogrel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zur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Behandlung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hinzuzufügen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, es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sei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denn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, es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gibt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zusätzliche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Indikationen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für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Verwendung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von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aspirin/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Clopidogrel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Patienten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die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aus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chronischer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AF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oder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anderen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Gründen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Eichen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einnehmen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(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kein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zusätzlicher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b/>
          <w:sz w:val="22"/>
          <w:szCs w:val="22"/>
        </w:rPr>
        <w:t>Nutzen</w:t>
      </w:r>
      <w:proofErr w:type="spellEnd"/>
      <w:r w:rsidR="00B856BE" w:rsidRPr="00B856BE">
        <w:rPr>
          <w:rFonts w:asciiTheme="minorHAnsi" w:hAnsiTheme="minorHAnsi" w:cs="Times New Roman"/>
          <w:b/>
          <w:sz w:val="22"/>
          <w:szCs w:val="22"/>
        </w:rPr>
        <w:t xml:space="preserve"> mit aspirin)</w:t>
      </w:r>
    </w:p>
    <w:p w14:paraId="422D01D5" w14:textId="5FF1CF4C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>*</w:t>
      </w:r>
      <w:r w:rsidR="00B856BE" w:rsidRPr="00B856BE"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Bedingungen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,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unter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denen es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angebracht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ist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,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bei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Patienten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mit OAK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zusätzlich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Aspirin/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Clopidogrel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zur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Behandlung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hinzuzufügen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,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sind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wie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folgt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>:</w:t>
      </w:r>
    </w:p>
    <w:p w14:paraId="53AC0D89" w14:textId="306A5C67" w:rsidR="00733DA9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 xml:space="preserve">1. </w:t>
      </w:r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in den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12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Monaten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akutes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Koronarsyndrom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oder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eine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Koronarintervention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hatten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(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Ballon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und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>/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oder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Stent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>)</w:t>
      </w:r>
    </w:p>
    <w:p w14:paraId="0A9033B7" w14:textId="0E2A0759" w:rsidR="00733DA9" w:rsidRPr="00AE15DA" w:rsidRDefault="00733DA9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 xml:space="preserve">2.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Nach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einem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Eingriff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in den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1 Monat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aufgrund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einer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peripheren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arteriellen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Verschlusskrankheit</w:t>
      </w:r>
      <w:proofErr w:type="spellEnd"/>
    </w:p>
    <w:p w14:paraId="591C9905" w14:textId="753B130B" w:rsidR="00733DA9" w:rsidRPr="00AE15DA" w:rsidRDefault="00733DA9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ab/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Stentimplantation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(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aufgrund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einer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Karotisstenose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>/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Erkrankung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der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unteren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Extremität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) im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Monat</w:t>
      </w:r>
    </w:p>
    <w:p w14:paraId="39272EBB" w14:textId="03CA2788" w:rsidR="004A3626" w:rsidRPr="00AE15DA" w:rsidRDefault="00733DA9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ab/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Ballonapplikation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an der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unteren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Extremität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im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letzten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Monat</w:t>
      </w:r>
    </w:p>
    <w:p w14:paraId="2F389493" w14:textId="153BE3F2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>*</w:t>
      </w:r>
      <w:r w:rsidR="00B856BE" w:rsidRPr="00B856BE"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Die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Zugabe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von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Aspirin/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Clopidogrel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zur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Behandlung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ist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bei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Patienten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,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die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OAC in den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folgenden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Situationen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anwenden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,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nicht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B856BE" w:rsidRPr="00B856BE">
        <w:rPr>
          <w:rFonts w:asciiTheme="minorHAnsi" w:hAnsiTheme="minorHAnsi" w:cs="Times New Roman"/>
          <w:i/>
          <w:sz w:val="22"/>
          <w:szCs w:val="22"/>
        </w:rPr>
        <w:t>angebracht</w:t>
      </w:r>
      <w:proofErr w:type="spellEnd"/>
      <w:r w:rsidR="00B856BE" w:rsidRPr="00B856BE">
        <w:rPr>
          <w:rFonts w:asciiTheme="minorHAnsi" w:hAnsiTheme="minorHAnsi" w:cs="Times New Roman"/>
          <w:i/>
          <w:sz w:val="22"/>
          <w:szCs w:val="22"/>
        </w:rPr>
        <w:t>:</w:t>
      </w:r>
    </w:p>
    <w:p w14:paraId="28A8A0AC" w14:textId="32B780ED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 xml:space="preserve">1.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Periphere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Arterienerkrankung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(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Karotisstenose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,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Erkrankung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der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unteren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Extremität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,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intrazerebrale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Atherosklerose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) mit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Ausnahme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der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oben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genannten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Erkrankungen</w:t>
      </w:r>
      <w:proofErr w:type="spellEnd"/>
      <w:r w:rsidRPr="00AE15DA">
        <w:rPr>
          <w:rFonts w:asciiTheme="minorHAnsi" w:hAnsiTheme="minorHAnsi" w:cs="Times New Roman"/>
          <w:i/>
          <w:sz w:val="22"/>
          <w:szCs w:val="22"/>
        </w:rPr>
        <w:t>)</w:t>
      </w:r>
    </w:p>
    <w:p w14:paraId="6828B515" w14:textId="607B5BA5" w:rsidR="00C75B3A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 xml:space="preserve">2. </w:t>
      </w:r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stabile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koronare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Herzkrankheit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(z. B.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mehr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als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12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Monate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akutes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Koronarsyndrom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oder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2F21" w:rsidRPr="00402F21">
        <w:rPr>
          <w:rFonts w:asciiTheme="minorHAnsi" w:hAnsiTheme="minorHAnsi" w:cs="Times New Roman"/>
          <w:i/>
          <w:sz w:val="22"/>
          <w:szCs w:val="22"/>
        </w:rPr>
        <w:t>Koronarintervention</w:t>
      </w:r>
      <w:proofErr w:type="spellEnd"/>
      <w:r w:rsidR="00402F21" w:rsidRPr="00402F21">
        <w:rPr>
          <w:rFonts w:asciiTheme="minorHAnsi" w:hAnsiTheme="minorHAnsi" w:cs="Times New Roman"/>
          <w:i/>
          <w:sz w:val="22"/>
          <w:szCs w:val="22"/>
        </w:rPr>
        <w:t>)</w:t>
      </w:r>
    </w:p>
    <w:p w14:paraId="187D90D4" w14:textId="5BD67C18" w:rsidR="0096214E" w:rsidRPr="00AE15DA" w:rsidRDefault="0011269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A2</w:t>
      </w:r>
      <w:r w:rsidR="00965815" w:rsidRPr="00AE15DA">
        <w:rPr>
          <w:rFonts w:asciiTheme="minorHAnsi" w:hAnsiTheme="minorHAnsi"/>
          <w:b/>
          <w:sz w:val="22"/>
          <w:szCs w:val="22"/>
        </w:rPr>
        <w:t>5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OAKs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(Vitamin-K-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Antagonisten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, direkte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Thrombinhemmer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Faktor-Xa-Hemmer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erstmaliger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tiefer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Venenthrombose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anhaltende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Risikofaktoren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kein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zusätzlicher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nachgewiesener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Nutzen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länger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als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6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Monate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>.</w:t>
      </w:r>
      <w:r w:rsidR="00F113B5" w:rsidRPr="00AE15DA">
        <w:rPr>
          <w:rFonts w:asciiTheme="minorHAnsi" w:hAnsiTheme="minorHAnsi"/>
          <w:b/>
          <w:sz w:val="22"/>
          <w:szCs w:val="22"/>
        </w:rPr>
        <w:t>)</w:t>
      </w:r>
    </w:p>
    <w:p w14:paraId="5AB08810" w14:textId="77777777" w:rsidR="00C75B3A" w:rsidRPr="00AE15DA" w:rsidRDefault="00C75B3A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60BB95" w14:textId="3CFBD9AC" w:rsidR="00112690" w:rsidRPr="00AE15DA" w:rsidRDefault="00E66E29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112690" w:rsidRPr="00AE15DA">
        <w:rPr>
          <w:rFonts w:asciiTheme="minorHAnsi" w:hAnsiTheme="minorHAnsi"/>
          <w:b/>
          <w:sz w:val="22"/>
          <w:szCs w:val="22"/>
        </w:rPr>
        <w:t>A2</w:t>
      </w:r>
      <w:r w:rsidR="00965815" w:rsidRPr="00AE15DA">
        <w:rPr>
          <w:rFonts w:asciiTheme="minorHAnsi" w:hAnsiTheme="minorHAnsi"/>
          <w:b/>
          <w:sz w:val="22"/>
          <w:szCs w:val="22"/>
        </w:rPr>
        <w:t>6</w:t>
      </w:r>
      <w:r w:rsidR="00112690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OAKs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(Vitamin-K-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Antagonisten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, direkte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Thrombinhemmer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Faktor-Xa-Hemmer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erstmaliger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Lungenembolie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anhaltende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Risikofaktoren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kein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zusätzlicher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nachgewiesener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Nutzen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länger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als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12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Monate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>.</w:t>
      </w:r>
      <w:r w:rsidR="00112690"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37312757" w14:textId="77777777" w:rsidR="00873A44" w:rsidRPr="00AE15DA" w:rsidRDefault="00873A44" w:rsidP="0043334F">
      <w:pPr>
        <w:pStyle w:val="HTMLVorformatiert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73BF1376" w14:textId="668AEE56" w:rsidR="00706F21" w:rsidRPr="00AE15DA" w:rsidRDefault="00E66E29" w:rsidP="0043334F">
      <w:pPr>
        <w:pStyle w:val="HTMLVorformatiert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6C24B0" w:rsidRPr="00AE15DA">
        <w:rPr>
          <w:rFonts w:asciiTheme="minorHAnsi" w:hAnsiTheme="minorHAnsi" w:cs="Times New Roman"/>
          <w:b/>
          <w:sz w:val="22"/>
          <w:szCs w:val="22"/>
        </w:rPr>
        <w:t>A2</w:t>
      </w:r>
      <w:r w:rsidR="00965815" w:rsidRPr="00AE15DA">
        <w:rPr>
          <w:rFonts w:asciiTheme="minorHAnsi" w:hAnsiTheme="minorHAnsi" w:cs="Times New Roman"/>
          <w:b/>
          <w:sz w:val="22"/>
          <w:szCs w:val="22"/>
        </w:rPr>
        <w:t>7</w:t>
      </w:r>
      <w:r w:rsidR="006C24B0" w:rsidRPr="00AE15DA">
        <w:rPr>
          <w:rFonts w:asciiTheme="minorHAnsi" w:hAnsiTheme="minorHAnsi" w:cs="Times New Roman"/>
          <w:b/>
          <w:sz w:val="22"/>
          <w:szCs w:val="22"/>
        </w:rPr>
        <w:t xml:space="preserve">.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Eine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Monotherapie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mit Aspirin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oder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Clopidogrel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ist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mit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chronischem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VHF,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denen OAK (Vitamin-K-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Antagonisten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, direkte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Thrombin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-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oder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Faktor-Xa-Hemmer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)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kontraindiziert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sind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nicht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b/>
          <w:sz w:val="22"/>
          <w:szCs w:val="22"/>
        </w:rPr>
        <w:t>geeignet</w:t>
      </w:r>
      <w:proofErr w:type="spellEnd"/>
      <w:r w:rsidR="00405830" w:rsidRPr="00405830">
        <w:rPr>
          <w:rFonts w:asciiTheme="minorHAnsi" w:hAnsiTheme="minorHAnsi" w:cs="Times New Roman"/>
          <w:b/>
          <w:sz w:val="22"/>
          <w:szCs w:val="22"/>
        </w:rPr>
        <w:t>.</w:t>
      </w:r>
    </w:p>
    <w:p w14:paraId="045A946D" w14:textId="09063CC6" w:rsidR="005A554D" w:rsidRPr="00AE15DA" w:rsidRDefault="00706F21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sz w:val="22"/>
          <w:szCs w:val="22"/>
        </w:rPr>
        <w:t>*</w:t>
      </w:r>
      <w:r w:rsidR="00405830" w:rsidRPr="00405830"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Eine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Monotherapie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mit Aspirin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oder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Clopidogrel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wird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zur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Schlaganfallprävention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mit VHF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nicht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empfohlen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, da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sie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schädlich</w:t>
      </w:r>
      <w:proofErr w:type="spellEnd"/>
      <w:r w:rsidR="00405830" w:rsidRPr="00405830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 w:cs="Times New Roman"/>
          <w:i/>
          <w:sz w:val="22"/>
          <w:szCs w:val="22"/>
        </w:rPr>
        <w:t>ist.</w:t>
      </w:r>
      <w:proofErr w:type="spellEnd"/>
    </w:p>
    <w:p w14:paraId="21FCC522" w14:textId="6BE20A0A" w:rsidR="005A554D" w:rsidRPr="00AE15DA" w:rsidRDefault="005A554D" w:rsidP="0043334F">
      <w:pPr>
        <w:contextualSpacing/>
        <w:jc w:val="both"/>
        <w:rPr>
          <w:rFonts w:asciiTheme="minorHAnsi" w:hAnsiTheme="minorHAnsi"/>
          <w:i/>
          <w:color w:val="5B9BD5" w:themeColor="accent1"/>
          <w:sz w:val="22"/>
          <w:szCs w:val="22"/>
          <w:shd w:val="clear" w:color="auto" w:fill="FFFFFF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*</w:t>
      </w:r>
      <w:r w:rsidR="00405830" w:rsidRPr="00405830"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Eine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duale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Thrombozytenaggregationshemmer-Therapie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wird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bei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Patienten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mit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kontraindizierten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OAK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aufgrund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des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Blutungsrisikos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ebenfalls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nicht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empfohlen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.</w:t>
      </w:r>
    </w:p>
    <w:p w14:paraId="79237148" w14:textId="1026582D" w:rsidR="006C24B0" w:rsidRPr="00AE15DA" w:rsidRDefault="005A554D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*</w:t>
      </w:r>
      <w:r w:rsidR="00405830" w:rsidRPr="00405830"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Bei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diesen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Patienten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kann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in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Fällen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mit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hohem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Schlaganfallrisiko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der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Verschluss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des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linken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Vorhofanhangs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empfohlen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werden</w:t>
      </w:r>
      <w:proofErr w:type="spellEnd"/>
      <w:r w:rsidR="00405830" w:rsidRPr="0040583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AE15D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599E1B5" w14:textId="77777777" w:rsidR="00A67B6A" w:rsidRPr="00AE15DA" w:rsidRDefault="00A67B6A" w:rsidP="0043334F">
      <w:pPr>
        <w:pStyle w:val="HTMLVorformatier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74D4B6" w14:textId="3CDB7750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A2</w:t>
      </w:r>
      <w:r w:rsidR="00965815" w:rsidRPr="00AE15DA">
        <w:rPr>
          <w:rFonts w:asciiTheme="minorHAnsi" w:hAnsiTheme="minorHAnsi"/>
          <w:b/>
          <w:sz w:val="22"/>
          <w:szCs w:val="22"/>
        </w:rPr>
        <w:t>8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Dabigatran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 GFR &lt;30 ml/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 xml:space="preserve">/1,73 m2 </w:t>
      </w:r>
      <w:proofErr w:type="spellStart"/>
      <w:r w:rsidR="00405830" w:rsidRPr="00405830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405830" w:rsidRPr="00405830">
        <w:rPr>
          <w:rFonts w:asciiTheme="minorHAnsi" w:hAnsiTheme="minorHAnsi"/>
          <w:b/>
          <w:sz w:val="22"/>
          <w:szCs w:val="22"/>
        </w:rPr>
        <w:t>.</w:t>
      </w:r>
    </w:p>
    <w:p w14:paraId="2C1142E7" w14:textId="688C3CB5" w:rsidR="006C24B0" w:rsidRPr="00AE15DA" w:rsidRDefault="006C24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405830" w:rsidRPr="00405830"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GFR &lt; 15 ml/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/1,73 m2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beträgt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keine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NOAKs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>.</w:t>
      </w:r>
    </w:p>
    <w:p w14:paraId="2D406A44" w14:textId="25048427" w:rsidR="006C24B0" w:rsidRPr="00AE15DA" w:rsidRDefault="006C24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405830" w:rsidRPr="00405830"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Obwohl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nur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begrenzte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Evidenz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Apixaban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Rivaroxaban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Edoxaban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GFR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15-30 ml/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/1,73 m2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vorliegt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ihre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im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Allgemeinen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empfohlen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1B397E15" w14:textId="6A2CB98E" w:rsidR="00227CEA" w:rsidRPr="00AE15DA" w:rsidRDefault="00227CEA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Antikoagulanzien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dürfen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verabreicht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Vorhofflimmern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GFR &lt; 30 ml/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/1,73 m2,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hohem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Sturzrisiko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lebensbedrohlichen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Blutungen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kein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Blutungsrisiko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eingehen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möchten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Schwierigkeiten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der Kontrolle der INR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haben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schlecht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05830" w:rsidRPr="00405830">
        <w:rPr>
          <w:rFonts w:asciiTheme="minorHAnsi" w:hAnsiTheme="minorHAnsi"/>
          <w:i/>
          <w:sz w:val="22"/>
          <w:szCs w:val="22"/>
        </w:rPr>
        <w:t>kontrollierter</w:t>
      </w:r>
      <w:proofErr w:type="spellEnd"/>
      <w:r w:rsidR="00405830" w:rsidRPr="00405830">
        <w:rPr>
          <w:rFonts w:asciiTheme="minorHAnsi" w:hAnsiTheme="minorHAnsi"/>
          <w:i/>
          <w:sz w:val="22"/>
          <w:szCs w:val="22"/>
        </w:rPr>
        <w:t xml:space="preserve"> HT.</w:t>
      </w:r>
      <w:r w:rsidR="006C24B0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07A6BB22" w14:textId="0845170D" w:rsidR="00227CEA" w:rsidRPr="00AE15DA" w:rsidRDefault="00227CEA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lastRenderedPageBreak/>
        <w:t>*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Antikoagulanzien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Dialysepatienten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Vorhofflimmern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empfohlen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[es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sei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denn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, es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besteht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ein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sehr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hohes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Schlaganfallrisiko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Vorhofthrombus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früherer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TIA-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Schlaganfall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Klappenerkrankung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>: (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mittelschwere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MS,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Klappenprothese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)].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Antikoagulation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angezeigt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Warfarin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empfohlen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>.</w:t>
      </w:r>
    </w:p>
    <w:p w14:paraId="2265B01D" w14:textId="1C0493C4" w:rsidR="00AC740A" w:rsidRPr="00AE15DA" w:rsidRDefault="00AC740A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*</w:t>
      </w:r>
      <w:r w:rsidR="00FA412C" w:rsidRPr="00FA412C"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Bei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VHF-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Patienten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mit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hohem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Schlaganfallrisiko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kann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der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Verschluss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des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linken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Herzohrs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empfohlen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werden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wenn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OAKs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nicht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verwendet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werden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können</w:t>
      </w:r>
      <w:proofErr w:type="spellEnd"/>
      <w:r w:rsidR="00FA412C" w:rsidRPr="00FA412C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.</w:t>
      </w:r>
      <w:r w:rsidRPr="00AE15D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2221B2F" w14:textId="5716CF38" w:rsidR="00A67B6A" w:rsidRPr="00AE15DA" w:rsidRDefault="00227CEA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FA412C" w:rsidRPr="00FA412C"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Edoxaban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mit GFR&gt;95 ml/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/1,73 m2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A412C" w:rsidRPr="00FA412C">
        <w:rPr>
          <w:rFonts w:asciiTheme="minorHAnsi" w:hAnsiTheme="minorHAnsi"/>
          <w:i/>
          <w:sz w:val="22"/>
          <w:szCs w:val="22"/>
        </w:rPr>
        <w:t>.</w:t>
      </w:r>
      <w:r w:rsidR="00FB3103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2E07400A" w14:textId="77777777" w:rsidR="00873A44" w:rsidRPr="00AE15DA" w:rsidRDefault="00873A44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7308D68" w14:textId="675901C3" w:rsidR="00873A44" w:rsidRPr="00AE15DA" w:rsidRDefault="00E66E2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6C24B0" w:rsidRPr="00AE15DA">
        <w:rPr>
          <w:rFonts w:asciiTheme="minorHAnsi" w:hAnsiTheme="minorHAnsi"/>
          <w:b/>
          <w:sz w:val="22"/>
          <w:szCs w:val="22"/>
        </w:rPr>
        <w:t>A</w:t>
      </w:r>
      <w:r w:rsidR="00965815" w:rsidRPr="00AE15DA">
        <w:rPr>
          <w:rFonts w:asciiTheme="minorHAnsi" w:hAnsiTheme="minorHAnsi"/>
          <w:b/>
          <w:sz w:val="22"/>
          <w:szCs w:val="22"/>
        </w:rPr>
        <w:t>29</w:t>
      </w:r>
      <w:r w:rsidR="006C24B0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Warfarin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nicht-valvulärem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VHF,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unterernährt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unregelmäßige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Nahrungsaufnahme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haben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>.</w:t>
      </w:r>
    </w:p>
    <w:p w14:paraId="04BDDC27" w14:textId="77777777" w:rsidR="00A67B6A" w:rsidRPr="00AE15DA" w:rsidRDefault="00A67B6A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14:paraId="02B36417" w14:textId="7494180D" w:rsidR="00873A44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A3</w:t>
      </w:r>
      <w:r w:rsidR="00965815" w:rsidRPr="00AE15DA">
        <w:rPr>
          <w:rFonts w:asciiTheme="minorHAnsi" w:hAnsiTheme="minorHAnsi"/>
          <w:b/>
          <w:sz w:val="22"/>
          <w:szCs w:val="22"/>
        </w:rPr>
        <w:t>0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Medikamente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geringer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therapeutischer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Breite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wie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Warfarin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Digoxin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Schwierigkeiten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Handhabung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ihrer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Medikamente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(z. B.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kognitiven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Beeinträchtigungen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Abwesenheit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Helfern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(z -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bedrohliche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Toxizität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366BAF94" w14:textId="77777777" w:rsidR="00A67B6A" w:rsidRPr="00AE15DA" w:rsidRDefault="00A67B6A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60E7952" w14:textId="04E4EC1D" w:rsidR="00873A44" w:rsidRDefault="00E66E2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6C24B0" w:rsidRPr="00AE15DA">
        <w:rPr>
          <w:rFonts w:asciiTheme="minorHAnsi" w:hAnsiTheme="minorHAnsi"/>
          <w:b/>
          <w:sz w:val="22"/>
          <w:szCs w:val="22"/>
        </w:rPr>
        <w:t>A3</w:t>
      </w:r>
      <w:r w:rsidR="00965815" w:rsidRPr="00AE15DA">
        <w:rPr>
          <w:rFonts w:asciiTheme="minorHAnsi" w:hAnsiTheme="minorHAnsi"/>
          <w:b/>
          <w:sz w:val="22"/>
          <w:szCs w:val="22"/>
        </w:rPr>
        <w:t>1</w:t>
      </w:r>
      <w:r w:rsidR="006C24B0" w:rsidRPr="00AE15DA">
        <w:rPr>
          <w:rFonts w:asciiTheme="minorHAnsi" w:hAnsiTheme="minorHAnsi"/>
          <w:b/>
          <w:sz w:val="22"/>
          <w:szCs w:val="22"/>
        </w:rPr>
        <w:t>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Prasugrel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ab 75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Jahren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mit TIA/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Schlaganfall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>.</w:t>
      </w:r>
    </w:p>
    <w:p w14:paraId="5D42B4E7" w14:textId="77777777" w:rsidR="00FA412C" w:rsidRPr="00AE15DA" w:rsidRDefault="00FA412C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15BD07" w14:textId="05DC0509" w:rsidR="006C24B0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A3</w:t>
      </w:r>
      <w:r w:rsidR="00965815" w:rsidRPr="00AE15DA">
        <w:rPr>
          <w:rFonts w:asciiTheme="minorHAnsi" w:hAnsiTheme="minorHAnsi"/>
          <w:b/>
          <w:sz w:val="22"/>
          <w:szCs w:val="22"/>
        </w:rPr>
        <w:t>2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Ticlopidin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als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Thrombozytenaggregationshemmer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Clopidogrel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Ticagrelor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Prasugrel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haben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höhere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Wirksamkeit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mehr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Beweise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weniger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44016738" w14:textId="77777777" w:rsidR="00873A44" w:rsidRPr="00AE15DA" w:rsidRDefault="00873A44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37E1FAA" w14:textId="1ECFD1FD" w:rsidR="0077695B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A3</w:t>
      </w:r>
      <w:r w:rsidR="00965815" w:rsidRPr="00AE15DA">
        <w:rPr>
          <w:rFonts w:asciiTheme="minorHAnsi" w:hAnsiTheme="minorHAnsi"/>
          <w:b/>
          <w:color w:val="000000"/>
          <w:sz w:val="22"/>
          <w:szCs w:val="22"/>
        </w:rPr>
        <w:t>3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Kurzwirksames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Dipyridamol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eine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thrombozytenaggregationshemmende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Wirkung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Nebenwirkung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orthostatischen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Hypotonie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Verfügbarkeit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wirksamerer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Wirkstoffe</w:t>
      </w:r>
      <w:proofErr w:type="spellEnd"/>
      <w:r w:rsidR="00FA412C" w:rsidRPr="00FA412C">
        <w:rPr>
          <w:rFonts w:asciiTheme="minorHAnsi" w:hAnsiTheme="minorHAnsi"/>
          <w:b/>
          <w:color w:val="000000"/>
          <w:sz w:val="22"/>
          <w:szCs w:val="22"/>
        </w:rPr>
        <w:t>)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38917D6C" w14:textId="77777777" w:rsidR="0077695B" w:rsidRPr="00AE15DA" w:rsidRDefault="0077695B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582EC16" w14:textId="59AA69D2" w:rsidR="0077695B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A3</w:t>
      </w:r>
      <w:r w:rsidR="00965815" w:rsidRPr="00AE15DA">
        <w:rPr>
          <w:rFonts w:asciiTheme="minorHAnsi" w:hAnsiTheme="minorHAnsi"/>
          <w:b/>
          <w:sz w:val="22"/>
          <w:szCs w:val="22"/>
        </w:rPr>
        <w:t>4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Statinen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Primärprävention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älteren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Menschen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geringer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Lebenserwartung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(&lt;2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Jahre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fortgeschrittener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Demenz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A412C" w:rsidRPr="00FA412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A412C" w:rsidRPr="00FA412C">
        <w:rPr>
          <w:rFonts w:asciiTheme="minorHAnsi" w:hAnsiTheme="minorHAnsi"/>
          <w:b/>
          <w:sz w:val="22"/>
          <w:szCs w:val="22"/>
        </w:rPr>
        <w:t>.</w:t>
      </w:r>
    </w:p>
    <w:p w14:paraId="18C07888" w14:textId="77777777" w:rsidR="0077695B" w:rsidRPr="00AE15DA" w:rsidRDefault="0077695B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209470" w14:textId="4720CD3E" w:rsidR="006C24B0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A3</w:t>
      </w:r>
      <w:r w:rsidR="00965815" w:rsidRPr="00AE15DA">
        <w:rPr>
          <w:rFonts w:asciiTheme="minorHAnsi" w:hAnsiTheme="minorHAnsi"/>
          <w:b/>
          <w:sz w:val="22"/>
          <w:szCs w:val="22"/>
        </w:rPr>
        <w:t>5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asymptomatischer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Hyperurikämie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Fälle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Gicht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Nephrolithiasis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Einleitung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Allopurinol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kein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Hinweis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auf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Nutzen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Xanthinoxidase-Hemmern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>) (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kein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Hinweis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darauf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dass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das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kardiovaskuläre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Gicht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reduziert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>).</w:t>
      </w:r>
    </w:p>
    <w:p w14:paraId="72EB6DA4" w14:textId="2C742D1A" w:rsidR="009D2A23" w:rsidRPr="00AE15DA" w:rsidRDefault="00BE60AB" w:rsidP="0043334F">
      <w:pPr>
        <w:contextualSpacing/>
        <w:jc w:val="both"/>
        <w:rPr>
          <w:rFonts w:asciiTheme="minorHAnsi" w:hAnsiTheme="minorHAnsi"/>
          <w:i/>
          <w:color w:val="212121"/>
          <w:sz w:val="22"/>
          <w:szCs w:val="22"/>
          <w:shd w:val="clear" w:color="auto" w:fill="FFFFFF"/>
        </w:rPr>
      </w:pPr>
      <w:r w:rsidRPr="00AE15DA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*</w:t>
      </w:r>
      <w:r w:rsidR="001E7A15" w:rsidRPr="001E7A15"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Bei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einem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Serumharnsäurespiegel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von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&gt; 10 mg/dl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bei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Frauen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und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&gt; 13 mg/dl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bei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Männern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kann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aufgrund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des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Risikos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einer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chronischen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Nierenerkrankung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eine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harnsäuresenkende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Therapie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empfohlen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werden</w:t>
      </w:r>
      <w:proofErr w:type="spellEnd"/>
      <w:r w:rsidR="001E7A15" w:rsidRPr="001E7A15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.</w:t>
      </w:r>
    </w:p>
    <w:p w14:paraId="0ECE201C" w14:textId="6002DF8F" w:rsidR="00AF251E" w:rsidRPr="00AE15DA" w:rsidRDefault="00873A44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8"/>
          <w:szCs w:val="28"/>
        </w:rPr>
        <w:t>B</w:t>
      </w:r>
      <w:r w:rsidR="00556579" w:rsidRPr="00AE15DA">
        <w:rPr>
          <w:rFonts w:asciiTheme="minorHAnsi" w:hAnsiTheme="minorHAnsi"/>
          <w:b/>
          <w:sz w:val="28"/>
          <w:szCs w:val="28"/>
        </w:rPr>
        <w:t>:</w:t>
      </w:r>
      <w:r w:rsidRPr="00AE15D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1E7A15" w:rsidRPr="001E7A1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1E7A15" w:rsidRPr="001E7A1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8"/>
          <w:szCs w:val="28"/>
        </w:rPr>
        <w:t>zentralen</w:t>
      </w:r>
      <w:proofErr w:type="spellEnd"/>
      <w:r w:rsidR="001E7A15" w:rsidRPr="001E7A15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8"/>
          <w:szCs w:val="28"/>
        </w:rPr>
        <w:t>Nervensystems</w:t>
      </w:r>
      <w:proofErr w:type="spellEnd"/>
      <w:r w:rsidRPr="00AE15DA">
        <w:rPr>
          <w:rFonts w:asciiTheme="minorHAnsi" w:hAnsiTheme="minorHAnsi"/>
          <w:b/>
          <w:sz w:val="28"/>
          <w:szCs w:val="28"/>
        </w:rPr>
        <w:t xml:space="preserve">. </w:t>
      </w:r>
    </w:p>
    <w:p w14:paraId="5FBC2C00" w14:textId="77777777" w:rsidR="0043334F" w:rsidRPr="00AE15DA" w:rsidRDefault="0043334F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14:paraId="50F0D324" w14:textId="75B99BA7" w:rsidR="001B712D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B1.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trizyklischer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Antidepressiva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unangemessen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hohe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anticholinerge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Wirkung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kognitive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Verschlechterung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kardiale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Überleitungsstörung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orthostatische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Hypotonie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Harnverhalt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Verschlechterung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der Prostata,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Verschlechterung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7A15" w:rsidRPr="001E7A15">
        <w:rPr>
          <w:rFonts w:asciiTheme="minorHAnsi" w:hAnsiTheme="minorHAnsi"/>
          <w:b/>
          <w:sz w:val="22"/>
          <w:szCs w:val="22"/>
        </w:rPr>
        <w:t>Engwinkelglaukoms</w:t>
      </w:r>
      <w:proofErr w:type="spellEnd"/>
      <w:r w:rsidR="001E7A15" w:rsidRPr="001E7A15">
        <w:rPr>
          <w:rFonts w:asciiTheme="minorHAnsi" w:hAnsiTheme="minorHAnsi"/>
          <w:b/>
          <w:sz w:val="22"/>
          <w:szCs w:val="22"/>
        </w:rPr>
        <w:t>).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6A1C687D" w14:textId="77777777" w:rsidR="001B712D" w:rsidRPr="00AE15DA" w:rsidRDefault="001B712D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E174A0" w14:textId="30F9269A" w:rsidR="001B712D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B2. </w:t>
      </w:r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Es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angebracht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Paroxetin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Fluoxetin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Fluvaxamin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im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ersten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Schritt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bevorzugen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wenn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eine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SSRI-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begonnen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wird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aufgrund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hohen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anticholinergen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Wirkung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Paroxetin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, der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langen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Halbwertszeit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Fluoxetin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häufigen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Arzneimittelwechselwirkungen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Fluoxetin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Fluvaxamin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>)</w:t>
      </w:r>
    </w:p>
    <w:p w14:paraId="129BD411" w14:textId="77777777" w:rsidR="001B712D" w:rsidRPr="00AE15DA" w:rsidRDefault="001B712D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2353AF" w14:textId="08864D53" w:rsidR="001B712D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B3.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SSRIs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kürzlich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aufgetretenen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aktuellen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signifikanten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Hyponatriämie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(Serum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Na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r w:rsidR="0000038C" w:rsidRPr="0000038C">
        <w:rPr>
          <w:rFonts w:asciiTheme="minorHAnsi" w:hAnsiTheme="minorHAnsi"/>
          <w:b/>
          <w:sz w:val="22"/>
          <w:szCs w:val="22"/>
        </w:rPr>
        <w:t>&lt;130</w:t>
      </w:r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mEq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>/l) (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erhöhtes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Hyponatriämie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00038C" w:rsidRPr="0000038C">
        <w:rPr>
          <w:rFonts w:asciiTheme="minorHAnsi" w:hAnsiTheme="minorHAnsi"/>
          <w:b/>
          <w:sz w:val="22"/>
          <w:szCs w:val="22"/>
        </w:rPr>
        <w:t xml:space="preserve"> SSRI).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094E53AB" w14:textId="4CE45DC1" w:rsidR="0043334F" w:rsidRPr="00AE15DA" w:rsidRDefault="005A554D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AE15DA">
        <w:rPr>
          <w:rFonts w:asciiTheme="minorHAnsi" w:hAnsiTheme="minorHAnsi"/>
          <w:i/>
          <w:sz w:val="22"/>
          <w:szCs w:val="22"/>
          <w:shd w:val="clear" w:color="auto" w:fill="FFFFFF"/>
        </w:rPr>
        <w:lastRenderedPageBreak/>
        <w:t>*</w:t>
      </w:r>
      <w:r w:rsidR="0000038C" w:rsidRPr="0000038C"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Risikofaktoren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für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die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Entwicklung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einer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Hyponatriämie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mit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SSRIs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sind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fortgeschrittenes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Alter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weibliches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Geschlecht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gleichzeitige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Anwendung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von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Diuretika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niedriges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Körpergewicht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und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niedrige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Na-Basiswerte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  <w:shd w:val="clear" w:color="auto" w:fill="FFFFFF"/>
        </w:rPr>
        <w:t>.</w:t>
      </w:r>
      <w:r w:rsidRPr="00AE15D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</w:p>
    <w:p w14:paraId="1CEC7A99" w14:textId="311C2BE9" w:rsidR="0043334F" w:rsidRPr="00AE15DA" w:rsidRDefault="005A554D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00038C" w:rsidRPr="0000038C"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mit SSRI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begonnen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deren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erhöht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über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klinischen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Anzeichen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Hyponatriämie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aufgeklärt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ersten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4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Wochen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riskanteste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Zeit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>.</w:t>
      </w:r>
    </w:p>
    <w:p w14:paraId="37281141" w14:textId="24A4F161" w:rsidR="00D71917" w:rsidRPr="00AE15DA" w:rsidRDefault="005A554D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00038C" w:rsidRPr="0000038C"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Hyponatriämie-Risiko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angebracht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Mirtazapin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Bupropion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gegenüber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SSRIs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i/>
          <w:sz w:val="22"/>
          <w:szCs w:val="22"/>
        </w:rPr>
        <w:t>vorzuziehen</w:t>
      </w:r>
      <w:proofErr w:type="spellEnd"/>
      <w:r w:rsidR="0000038C" w:rsidRPr="0000038C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2FD2FA1F" w14:textId="77777777" w:rsidR="006C24B0" w:rsidRPr="00AE15DA" w:rsidRDefault="006C24B0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E644548" w14:textId="06ADE30C" w:rsidR="00962639" w:rsidRPr="00AE15DA" w:rsidRDefault="00E66E29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6C24B0" w:rsidRPr="00AE15DA">
        <w:rPr>
          <w:rFonts w:asciiTheme="minorHAnsi" w:hAnsiTheme="minorHAnsi"/>
          <w:b/>
          <w:sz w:val="22"/>
          <w:szCs w:val="22"/>
        </w:rPr>
        <w:t xml:space="preserve">B4.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SNRI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unkontrollierter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Hypertonie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angebracht</w:t>
      </w:r>
      <w:proofErr w:type="spellEnd"/>
      <w:r w:rsidR="0000038C" w:rsidRPr="0000038C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47C2B346" w14:textId="099D74E8" w:rsidR="0081726F" w:rsidRPr="00AE15DA" w:rsidRDefault="00962639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AE15DA">
        <w:rPr>
          <w:rFonts w:asciiTheme="minorHAnsi" w:hAnsiTheme="minorHAnsi"/>
          <w:i/>
          <w:color w:val="000000"/>
          <w:sz w:val="22"/>
          <w:szCs w:val="22"/>
        </w:rPr>
        <w:t>*</w:t>
      </w:r>
      <w:r w:rsidR="00340B16" w:rsidRPr="00340B16"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HT-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Nebenwirkung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Venlafaxin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ist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ausgeprägter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als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Duloxetin</w:t>
      </w:r>
      <w:proofErr w:type="spellEnd"/>
      <w:r w:rsidR="00340B16" w:rsidRPr="00340B16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13644F49" w14:textId="611352F7" w:rsidR="001B712D" w:rsidRDefault="005A554D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AE15DA">
        <w:rPr>
          <w:rFonts w:asciiTheme="minorHAnsi" w:hAnsiTheme="minorHAnsi" w:cs="Times New Roman"/>
          <w:i/>
          <w:color w:val="000000"/>
          <w:sz w:val="22"/>
          <w:szCs w:val="22"/>
        </w:rPr>
        <w:t>*</w:t>
      </w:r>
      <w:r w:rsidR="00340B16" w:rsidRPr="00340B16">
        <w:t xml:space="preserve"> 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Die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HT-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Nebenwirkung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von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Venlafaxin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ist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bei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Dosen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&gt; 300 mg/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Tag</w:t>
      </w:r>
      <w:proofErr w:type="spellEnd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 xml:space="preserve"> </w:t>
      </w:r>
      <w:proofErr w:type="spellStart"/>
      <w:r w:rsidR="00340B16" w:rsidRPr="00340B16">
        <w:rPr>
          <w:rFonts w:asciiTheme="minorHAnsi" w:hAnsiTheme="minorHAnsi" w:cs="Times New Roman"/>
          <w:i/>
          <w:color w:val="000000"/>
          <w:sz w:val="22"/>
          <w:szCs w:val="22"/>
        </w:rPr>
        <w:t>ausgeprägter</w:t>
      </w:r>
      <w:proofErr w:type="spellEnd"/>
      <w:r w:rsidRPr="00AE15DA">
        <w:rPr>
          <w:rFonts w:asciiTheme="minorHAnsi" w:hAnsiTheme="minorHAnsi" w:cs="Times New Roman"/>
          <w:i/>
          <w:color w:val="000000"/>
          <w:sz w:val="22"/>
          <w:szCs w:val="22"/>
        </w:rPr>
        <w:t>.</w:t>
      </w:r>
    </w:p>
    <w:p w14:paraId="6ADE0DF6" w14:textId="1FCF2D7A" w:rsidR="001B712D" w:rsidRDefault="001B712D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00547F" w14:textId="77777777" w:rsidR="00F016C7" w:rsidRDefault="00AD4496" w:rsidP="0043334F">
      <w:pPr>
        <w:pStyle w:val="HTMLVorformatiert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B5.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Duloxetin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Patienten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GFR &lt; 30 ml/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min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/1,73 m2 (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erhöhte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GI-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Nebenwirkungen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angebracht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.</w:t>
      </w:r>
      <w:r w:rsidR="006C24B0" w:rsidRPr="00AE15DA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</w:p>
    <w:p w14:paraId="63CA8556" w14:textId="0B0B0221" w:rsidR="00F63F30" w:rsidRPr="00AE15DA" w:rsidRDefault="00F63F30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AE15DA">
        <w:rPr>
          <w:rFonts w:asciiTheme="minorHAnsi" w:hAnsiTheme="minorHAnsi"/>
          <w:color w:val="222222"/>
          <w:sz w:val="22"/>
          <w:szCs w:val="22"/>
        </w:rPr>
        <w:t>*</w:t>
      </w:r>
      <w:r w:rsidR="00F016C7" w:rsidRPr="00F016C7">
        <w:t xml:space="preserve"> </w:t>
      </w:r>
      <w:proofErr w:type="spellStart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>Anwendung</w:t>
      </w:r>
      <w:proofErr w:type="spellEnd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>anderer</w:t>
      </w:r>
      <w:proofErr w:type="spellEnd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>üblicher</w:t>
      </w:r>
      <w:proofErr w:type="spellEnd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>Antidepressiva</w:t>
      </w:r>
      <w:proofErr w:type="spellEnd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>bei</w:t>
      </w:r>
      <w:proofErr w:type="spellEnd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color w:val="222222"/>
          <w:sz w:val="22"/>
          <w:szCs w:val="22"/>
        </w:rPr>
        <w:t>Nierenversagen</w:t>
      </w:r>
      <w:proofErr w:type="spellEnd"/>
      <w:r w:rsidRPr="00AE15DA">
        <w:rPr>
          <w:rFonts w:asciiTheme="minorHAnsi" w:hAnsiTheme="minorHAnsi"/>
          <w:i/>
          <w:color w:val="222222"/>
          <w:sz w:val="22"/>
          <w:szCs w:val="22"/>
        </w:rPr>
        <w:t>:</w:t>
      </w:r>
    </w:p>
    <w:p w14:paraId="6B6A0E87" w14:textId="1C522202" w:rsidR="005B2907" w:rsidRPr="00AE15DA" w:rsidRDefault="00F016C7" w:rsidP="0043334F">
      <w:pPr>
        <w:pStyle w:val="Standard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Citalopram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und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Escitalopram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leichter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bis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mittelschwerer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Nierenfunktionsstörung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ist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keine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Dosisanpassung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erforderlich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.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schwerer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Niereninsuffizienz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(GFR &lt; 20 ml/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min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/1,73 m2)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ist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eine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Dosisanpassung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nicht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erforderlich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sollte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jedoch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mit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Vorsicht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angewendet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werden</w:t>
      </w:r>
      <w:proofErr w:type="spellEnd"/>
      <w:r w:rsidR="005B2907" w:rsidRPr="00AE15DA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5EBC4C86" w14:textId="53437182" w:rsidR="005B2907" w:rsidRPr="00AE15DA" w:rsidRDefault="00F016C7" w:rsidP="0043334F">
      <w:pPr>
        <w:pStyle w:val="Standard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Sertralin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Nierenversagen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ist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keine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Dosisanpassung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erforderlich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78D097B4" w14:textId="3771E568" w:rsidR="0081726F" w:rsidRPr="00AE15DA" w:rsidRDefault="00F016C7" w:rsidP="0043334F">
      <w:pPr>
        <w:pStyle w:val="Standard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Paroxetin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einer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GFR &lt; 30 ml/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min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/1,73 m2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beträgt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Höchstdosis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40 mg in Tabletten mit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sofortiger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Wirkstofffreisetzung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Höchstdosis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in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Präparaten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mit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verzögerter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Wirkstofffreisetzung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>: 50 mg/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Tag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7558CB39" w14:textId="42B5CE55" w:rsidR="00331FB6" w:rsidRPr="00AE15DA" w:rsidRDefault="00F016C7" w:rsidP="0043334F">
      <w:pPr>
        <w:pStyle w:val="Standard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Venlafaxin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einer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GFR &lt; 30 ml/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min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/1,73 m2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sollte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Retardpräparaten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um 50 %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reduziert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werden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;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Präparaten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mit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sofortiger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Wirkstofffreisetzung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sollte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um 25 %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reduziert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werden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wenn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GFR 10-75 ml/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min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/1,73 m2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beträgt</w:t>
      </w:r>
      <w:proofErr w:type="spellEnd"/>
      <w:r w:rsidR="00331FB6" w:rsidRPr="00AE15DA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6A794D34" w14:textId="2966F60F" w:rsidR="0081726F" w:rsidRPr="00AE15DA" w:rsidRDefault="00F016C7" w:rsidP="0043334F">
      <w:pPr>
        <w:pStyle w:val="Standard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Mirtazapin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Nierenfunktionsstörung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ist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keine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Dosisanpassung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erforderlich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sollte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jedoch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mittelschwerer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bis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schwerer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Nierenfunktionsstörung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mit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Vorsicht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angewendet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werden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4D212DC5" w14:textId="77777777" w:rsidR="00F016C7" w:rsidRDefault="00F016C7" w:rsidP="0043334F">
      <w:pPr>
        <w:pStyle w:val="Standard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Agomelatin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Nierenversagen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ist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keine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Dosisanpassung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erforderlich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>.</w:t>
      </w:r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14:paraId="2094ACE1" w14:textId="0F9EDD4D" w:rsidR="005B2907" w:rsidRPr="00AE15DA" w:rsidRDefault="00F016C7" w:rsidP="0043334F">
      <w:pPr>
        <w:pStyle w:val="StandardWeb"/>
        <w:spacing w:before="0" w:beforeAutospacing="0" w:after="0" w:afterAutospacing="0"/>
        <w:ind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Vortioxetin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: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Niereninsuffizienz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keine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Dosisanpassung</w:t>
      </w:r>
      <w:proofErr w:type="spellEnd"/>
      <w:r w:rsidRPr="00F016C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F016C7">
        <w:rPr>
          <w:rFonts w:asciiTheme="minorHAnsi" w:hAnsiTheme="minorHAnsi"/>
          <w:i/>
          <w:color w:val="000000"/>
          <w:sz w:val="22"/>
          <w:szCs w:val="22"/>
        </w:rPr>
        <w:t>erforderlich</w:t>
      </w:r>
      <w:proofErr w:type="spellEnd"/>
      <w:r w:rsidR="005B2907" w:rsidRPr="00AE15DA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0605A6D7" w14:textId="77777777" w:rsidR="00744A29" w:rsidRPr="00AE15DA" w:rsidRDefault="00744A29" w:rsidP="0043334F">
      <w:pPr>
        <w:pStyle w:val="HTMLVorformatier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DE3144" w14:textId="6BFE9D12" w:rsidR="00744A29" w:rsidRPr="00AE15DA" w:rsidRDefault="006C24B0" w:rsidP="0043334F">
      <w:pPr>
        <w:pStyle w:val="HTMLVorformatiert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B6.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GFR &lt; 60 ml/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min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/1,73 m2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Pregabalin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Gabapentin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ohne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Dosisreduktion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angebracht</w:t>
      </w:r>
      <w:proofErr w:type="spellEnd"/>
      <w:r w:rsidR="00F016C7" w:rsidRPr="00F016C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6414C927" w14:textId="77777777" w:rsidR="00744A29" w:rsidRPr="00AE15DA" w:rsidRDefault="00744A29" w:rsidP="0043334F">
      <w:pPr>
        <w:pStyle w:val="HTMLVorformatiert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E4FAD54" w14:textId="6D3EEF2D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B7.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mit Delir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Demenz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Arzneimittel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hoher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anticholinerger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Wirkung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Amitriptylin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Paroxetin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Dicyclomin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>, L-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Hyoscyamin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Thioridazin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Chlorpromazin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Clozapin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Olanzapin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Harn-Antimuskarinika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H1-Rezeptorblocker –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insbesondere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H1-Rezeptorblocker der 1.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Generation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H1-Rezeptorblocker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H1-Rezeptorblocker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Phenephenamin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Rezeptorblockern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Gefahr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kognitiven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b/>
          <w:sz w:val="22"/>
          <w:szCs w:val="22"/>
        </w:rPr>
        <w:t>Verschlechterung</w:t>
      </w:r>
      <w:proofErr w:type="spellEnd"/>
      <w:r w:rsidR="00F016C7" w:rsidRPr="00F016C7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>)</w:t>
      </w:r>
    </w:p>
    <w:p w14:paraId="51B966A7" w14:textId="529DC980" w:rsidR="00B3469F" w:rsidRPr="00AE15DA" w:rsidRDefault="00B3469F" w:rsidP="0043334F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Clozapin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in der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klinischen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Praxis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zur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schwerer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Verhaltenssymptome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Demenz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/Delir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extrapyramidalen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Systembefunden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Parkinsonismus-Befunden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wie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Parkinson-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Demenz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Demenz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Lewy-Körperchen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erforderlich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In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diesem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Fall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so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kurz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wie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möglich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, in der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niedrigsten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unter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engmaschiger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Überwachung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kognitiven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Funktionen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F016C7" w:rsidRPr="00F016C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16C7" w:rsidRPr="00F016C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Pr="00AE15DA">
        <w:rPr>
          <w:rFonts w:asciiTheme="minorHAnsi" w:hAnsiTheme="minorHAnsi"/>
          <w:i/>
          <w:sz w:val="22"/>
          <w:szCs w:val="22"/>
        </w:rPr>
        <w:t xml:space="preserve">. </w:t>
      </w:r>
    </w:p>
    <w:p w14:paraId="50A3E750" w14:textId="0938127C" w:rsidR="001105EC" w:rsidRPr="00AE15DA" w:rsidRDefault="00B3469F" w:rsidP="0043334F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Befunden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extrapyramidalen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Systems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Parkinsonismus-Befunde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),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wie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Parkinson-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Demenz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Lewy-Körper-Demenz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Quetiapin-Behandlung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im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ersten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Schritt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vor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Clozapin-Behandlung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angebracht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aufgrund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schwerwiegender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Verhaltenssymptome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Neuroleptika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erforderlich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ist.</w:t>
      </w:r>
      <w:proofErr w:type="spellEnd"/>
      <w:r w:rsidRPr="00AE15DA">
        <w:rPr>
          <w:rFonts w:asciiTheme="minorHAnsi" w:hAnsiTheme="minorHAnsi"/>
          <w:i/>
          <w:sz w:val="22"/>
          <w:szCs w:val="22"/>
        </w:rPr>
        <w:t xml:space="preserve">  </w:t>
      </w:r>
    </w:p>
    <w:p w14:paraId="3AEDCF50" w14:textId="22283BD3" w:rsidR="00B3469F" w:rsidRPr="00AE15DA" w:rsidRDefault="001105EC" w:rsidP="0043334F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Betracht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gezogen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Clozapin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>/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Quetiapin-Behandlungen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12,5 mg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begonnen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Nebenwirkungen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engmaschig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überwacht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Bedarf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auf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Dosen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12,5–25 mg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erhöht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Nachdem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Symptomkontrolle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erreicht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versucht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, es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reduzieren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innerhalb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weniger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Wochen</w:t>
      </w:r>
      <w:proofErr w:type="spellEnd"/>
      <w:r w:rsidR="009242C8" w:rsidRPr="009242C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i/>
          <w:sz w:val="22"/>
          <w:szCs w:val="22"/>
        </w:rPr>
        <w:t>abzusetzen</w:t>
      </w:r>
      <w:proofErr w:type="spellEnd"/>
      <w:r w:rsidR="00B3469F" w:rsidRPr="00AE15DA">
        <w:rPr>
          <w:rFonts w:asciiTheme="minorHAnsi" w:hAnsiTheme="minorHAnsi"/>
          <w:i/>
          <w:sz w:val="22"/>
          <w:szCs w:val="22"/>
        </w:rPr>
        <w:t xml:space="preserve">. </w:t>
      </w:r>
    </w:p>
    <w:p w14:paraId="50371571" w14:textId="77777777" w:rsidR="002247CF" w:rsidRPr="00AE15DA" w:rsidRDefault="002247CF" w:rsidP="0043334F">
      <w:pPr>
        <w:pStyle w:val="HTMLVorformatiert"/>
        <w:contextualSpacing/>
        <w:jc w:val="both"/>
        <w:rPr>
          <w:rFonts w:asciiTheme="minorHAnsi" w:hAnsiTheme="minorHAnsi" w:cs="Times New Roman"/>
          <w:b/>
          <w:i/>
          <w:color w:val="000000" w:themeColor="text1"/>
          <w:sz w:val="22"/>
          <w:szCs w:val="22"/>
          <w:shd w:val="clear" w:color="auto" w:fill="FFFFFF"/>
        </w:rPr>
      </w:pPr>
    </w:p>
    <w:p w14:paraId="2B9A667A" w14:textId="57FDECB5" w:rsidR="00E1265B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B8.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Die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Anwendung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von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Anticholinergika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bei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der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Behandlung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der Parkinson-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Krankheit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ist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nicht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angebracht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erhöhtes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Risiko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für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Nebenwirkungen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; es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gibt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wirksamere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und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nebenwirkungsärmere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Arzneimitteloptionen</w:t>
      </w:r>
      <w:proofErr w:type="spellEnd"/>
      <w:r w:rsidR="009242C8" w:rsidRPr="009242C8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1FA65CA4" w14:textId="77777777" w:rsidR="009D2A23" w:rsidRPr="00AE15DA" w:rsidRDefault="009D2A23" w:rsidP="0043334F">
      <w:pPr>
        <w:spacing w:before="100" w:beforeAutospacing="1" w:after="100" w:afterAutospacing="1"/>
        <w:contextualSpacing/>
        <w:jc w:val="both"/>
        <w:rPr>
          <w:rStyle w:val="Hyperlink"/>
          <w:rFonts w:asciiTheme="minorHAnsi" w:eastAsiaTheme="majorEastAsia" w:hAnsiTheme="minorHAnsi" w:cstheme="minorHAnsi"/>
          <w:color w:val="000000" w:themeColor="text1"/>
          <w:sz w:val="22"/>
          <w:szCs w:val="22"/>
          <w:u w:val="none"/>
        </w:rPr>
      </w:pPr>
    </w:p>
    <w:p w14:paraId="4C3CC82F" w14:textId="1F877FFF" w:rsidR="006C24B0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B9.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Anticholinergika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extrapyramidalen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Neuroleptika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anticholinergen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Toxizität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>.</w:t>
      </w:r>
      <w:r w:rsidR="007B0632" w:rsidRPr="00AE15DA">
        <w:rPr>
          <w:rFonts w:asciiTheme="minorHAnsi" w:hAnsiTheme="minorHAnsi"/>
          <w:b/>
          <w:sz w:val="22"/>
          <w:szCs w:val="22"/>
        </w:rPr>
        <w:t>)</w:t>
      </w:r>
    </w:p>
    <w:p w14:paraId="4A70ABDE" w14:textId="77777777" w:rsidR="00524390" w:rsidRPr="00AE15DA" w:rsidRDefault="0052439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F7E5337" w14:textId="2DC4C5A0" w:rsidR="000B0558" w:rsidRPr="00AE15DA" w:rsidRDefault="006C24B0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B10.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Neuroleptika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Antipsychotika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Demenzpatienten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außer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Fällen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, in denen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nichtmedikamentöse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Behandlungen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Verhaltens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psychischen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Symptome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lindern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Symptome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schwerwiegend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erhöhtes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Schlaganfall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Lungenentzündung-Infektion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9242C8" w:rsidRPr="009242C8">
        <w:rPr>
          <w:rFonts w:asciiTheme="minorHAnsi" w:hAnsiTheme="minorHAnsi"/>
          <w:b/>
          <w:sz w:val="22"/>
          <w:szCs w:val="22"/>
        </w:rPr>
        <w:t>Tod</w:t>
      </w:r>
      <w:proofErr w:type="spellEnd"/>
      <w:r w:rsidR="009242C8" w:rsidRPr="009242C8">
        <w:rPr>
          <w:rFonts w:asciiTheme="minorHAnsi" w:hAnsiTheme="minorHAnsi"/>
          <w:b/>
          <w:sz w:val="22"/>
          <w:szCs w:val="22"/>
        </w:rPr>
        <w:t>).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0C4B5095" w14:textId="4CA387DB" w:rsidR="007D439E" w:rsidRPr="00AE15DA" w:rsidRDefault="007B4A79" w:rsidP="0043334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Neuroleptika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>/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Antipsychotika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, in denen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nichtmedikamentöse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Behandlungen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Linderung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Verhaltens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psychischen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Symptomen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Demenzpatienten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unwirksam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Symptome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schwerwiegend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Symptomkontrolle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>.</w:t>
      </w:r>
    </w:p>
    <w:p w14:paraId="405F1150" w14:textId="4876421A" w:rsidR="007D439E" w:rsidRPr="00AE15DA" w:rsidRDefault="007D439E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E81912" w:rsidRPr="00E81912">
        <w:rPr>
          <w:rFonts w:asciiTheme="minorHAnsi" w:hAnsiTheme="minorHAnsi"/>
          <w:i/>
          <w:sz w:val="22"/>
          <w:szCs w:val="22"/>
        </w:rPr>
        <w:t xml:space="preserve">Der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primäre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Ansatz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zur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Linderung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Verhaltens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psychischen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Symptomen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Demenzpatienten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Verabreichung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optimalen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Demenzbehandlung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ChEi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>/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Memantine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).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Anschließend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ausgewählte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SSRIs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insbesondere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Citalopram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ausprobiert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B3469F" w:rsidRPr="00AE15DA">
        <w:rPr>
          <w:rFonts w:asciiTheme="minorHAnsi" w:hAnsiTheme="minorHAnsi"/>
          <w:i/>
          <w:sz w:val="22"/>
          <w:szCs w:val="22"/>
        </w:rPr>
        <w:t>.</w:t>
      </w:r>
    </w:p>
    <w:p w14:paraId="1A27F1D9" w14:textId="2E159E5A" w:rsidR="00B3469F" w:rsidRPr="00AE15DA" w:rsidRDefault="00B3469F" w:rsidP="0043334F">
      <w:pPr>
        <w:pStyle w:val="Kommentartext"/>
        <w:spacing w:after="0"/>
        <w:contextualSpacing/>
        <w:jc w:val="both"/>
        <w:rPr>
          <w:rFonts w:cs="Times New Roman"/>
          <w:i/>
          <w:sz w:val="22"/>
          <w:szCs w:val="22"/>
        </w:rPr>
      </w:pPr>
      <w:r w:rsidRPr="00AE15DA">
        <w:rPr>
          <w:rFonts w:cs="Times New Roman"/>
          <w:i/>
          <w:sz w:val="22"/>
          <w:szCs w:val="22"/>
        </w:rPr>
        <w:t>*</w:t>
      </w:r>
      <w:r w:rsidR="00E81912" w:rsidRPr="00E81912">
        <w:t xml:space="preserve"> </w:t>
      </w:r>
      <w:r w:rsidR="00E81912" w:rsidRPr="00E81912">
        <w:rPr>
          <w:rFonts w:cs="Times New Roman"/>
          <w:i/>
          <w:sz w:val="22"/>
          <w:szCs w:val="22"/>
        </w:rPr>
        <w:t xml:space="preserve">Es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gibt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widersprüchliche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Informationen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zur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Wirksamkeit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von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Sertralin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,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Trazadon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und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Melatonin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bei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der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Linderung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von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Verhaltens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-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und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psychischen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Symptomen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bei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Patienten</w:t>
      </w:r>
      <w:proofErr w:type="spellEnd"/>
      <w:r w:rsidR="00E81912" w:rsidRPr="00E81912">
        <w:rPr>
          <w:rFonts w:cs="Times New Roman"/>
          <w:i/>
          <w:sz w:val="22"/>
          <w:szCs w:val="22"/>
        </w:rPr>
        <w:t xml:space="preserve"> mit </w:t>
      </w:r>
      <w:proofErr w:type="spellStart"/>
      <w:r w:rsidR="00E81912" w:rsidRPr="00E81912">
        <w:rPr>
          <w:rFonts w:cs="Times New Roman"/>
          <w:i/>
          <w:sz w:val="22"/>
          <w:szCs w:val="22"/>
        </w:rPr>
        <w:t>Demenz</w:t>
      </w:r>
      <w:proofErr w:type="spellEnd"/>
      <w:r w:rsidR="00E81912" w:rsidRPr="00E81912">
        <w:rPr>
          <w:rFonts w:cs="Times New Roman"/>
          <w:i/>
          <w:sz w:val="22"/>
          <w:szCs w:val="22"/>
        </w:rPr>
        <w:t>.</w:t>
      </w:r>
      <w:r w:rsidRPr="00AE15DA">
        <w:rPr>
          <w:rFonts w:cs="Times New Roman"/>
          <w:i/>
          <w:sz w:val="22"/>
          <w:szCs w:val="22"/>
        </w:rPr>
        <w:t xml:space="preserve"> </w:t>
      </w:r>
    </w:p>
    <w:p w14:paraId="2509FE3E" w14:textId="77777777" w:rsidR="009D2A23" w:rsidRPr="00AE15DA" w:rsidRDefault="009D2A23" w:rsidP="0043334F">
      <w:pPr>
        <w:pStyle w:val="Kommentartext"/>
        <w:contextualSpacing/>
        <w:jc w:val="both"/>
        <w:rPr>
          <w:rFonts w:cstheme="minorHAnsi"/>
          <w:color w:val="000000"/>
          <w:sz w:val="22"/>
          <w:szCs w:val="22"/>
        </w:rPr>
      </w:pPr>
    </w:p>
    <w:p w14:paraId="0B6B4820" w14:textId="37D04C13" w:rsidR="007D439E" w:rsidRPr="00AE15DA" w:rsidRDefault="007D439E" w:rsidP="0043334F">
      <w:pPr>
        <w:pStyle w:val="Kommentartext"/>
        <w:contextualSpacing/>
        <w:jc w:val="both"/>
        <w:rPr>
          <w:rFonts w:cstheme="minorHAnsi"/>
          <w:sz w:val="22"/>
          <w:szCs w:val="22"/>
          <w:shd w:val="clear" w:color="auto" w:fill="FFFFFF"/>
        </w:rPr>
      </w:pPr>
      <w:r w:rsidRPr="00AE15DA">
        <w:rPr>
          <w:b/>
          <w:color w:val="000000"/>
          <w:sz w:val="22"/>
          <w:szCs w:val="22"/>
        </w:rPr>
        <w:t xml:space="preserve">B11. </w:t>
      </w:r>
      <w:proofErr w:type="spellStart"/>
      <w:r w:rsidR="00E81912" w:rsidRPr="00E81912">
        <w:rPr>
          <w:b/>
          <w:color w:val="000000"/>
          <w:sz w:val="22"/>
          <w:szCs w:val="22"/>
        </w:rPr>
        <w:t>Die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Anwendung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von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Neuroleptika</w:t>
      </w:r>
      <w:proofErr w:type="spellEnd"/>
      <w:r w:rsidR="00E81912" w:rsidRPr="00E81912">
        <w:rPr>
          <w:b/>
          <w:color w:val="000000"/>
          <w:sz w:val="22"/>
          <w:szCs w:val="22"/>
        </w:rPr>
        <w:t>/</w:t>
      </w:r>
      <w:proofErr w:type="spellStart"/>
      <w:r w:rsidR="00E81912" w:rsidRPr="00E81912">
        <w:rPr>
          <w:b/>
          <w:color w:val="000000"/>
          <w:sz w:val="22"/>
          <w:szCs w:val="22"/>
        </w:rPr>
        <w:t>Antipsychotika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zu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hypnotischen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Zwecken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ist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nicht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angebracht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(</w:t>
      </w:r>
      <w:proofErr w:type="spellStart"/>
      <w:r w:rsidR="00E81912" w:rsidRPr="00E81912">
        <w:rPr>
          <w:b/>
          <w:color w:val="000000"/>
          <w:sz w:val="22"/>
          <w:szCs w:val="22"/>
        </w:rPr>
        <w:t>erhöhte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Verwirrtheit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, </w:t>
      </w:r>
      <w:proofErr w:type="spellStart"/>
      <w:r w:rsidR="00E81912" w:rsidRPr="00E81912">
        <w:rPr>
          <w:b/>
          <w:color w:val="000000"/>
          <w:sz w:val="22"/>
          <w:szCs w:val="22"/>
        </w:rPr>
        <w:t>Hypotonie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, </w:t>
      </w:r>
      <w:proofErr w:type="spellStart"/>
      <w:r w:rsidR="00E81912" w:rsidRPr="00E81912">
        <w:rPr>
          <w:b/>
          <w:color w:val="000000"/>
          <w:sz w:val="22"/>
          <w:szCs w:val="22"/>
        </w:rPr>
        <w:t>extrapyramidale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 </w:t>
      </w:r>
      <w:proofErr w:type="spellStart"/>
      <w:r w:rsidR="00E81912" w:rsidRPr="00E81912">
        <w:rPr>
          <w:b/>
          <w:color w:val="000000"/>
          <w:sz w:val="22"/>
          <w:szCs w:val="22"/>
        </w:rPr>
        <w:t>Nebenwirkungen</w:t>
      </w:r>
      <w:proofErr w:type="spellEnd"/>
      <w:r w:rsidR="00E81912" w:rsidRPr="00E81912">
        <w:rPr>
          <w:b/>
          <w:color w:val="000000"/>
          <w:sz w:val="22"/>
          <w:szCs w:val="22"/>
        </w:rPr>
        <w:t xml:space="preserve">, </w:t>
      </w:r>
      <w:proofErr w:type="spellStart"/>
      <w:r w:rsidR="00E81912" w:rsidRPr="00E81912">
        <w:rPr>
          <w:b/>
          <w:color w:val="000000"/>
          <w:sz w:val="22"/>
          <w:szCs w:val="22"/>
        </w:rPr>
        <w:t>Sturzgefahr</w:t>
      </w:r>
      <w:proofErr w:type="spellEnd"/>
      <w:r w:rsidR="00E81912" w:rsidRPr="00E81912">
        <w:rPr>
          <w:b/>
          <w:color w:val="000000"/>
          <w:sz w:val="22"/>
          <w:szCs w:val="22"/>
        </w:rPr>
        <w:t>)</w:t>
      </w:r>
    </w:p>
    <w:p w14:paraId="2DBA9E8F" w14:textId="2F14C804" w:rsidR="00B3469F" w:rsidRPr="00AE15DA" w:rsidRDefault="00B3469F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  <w:lang w:eastAsia="en-GB"/>
        </w:rPr>
        <w:t>*</w:t>
      </w:r>
      <w:r w:rsidR="00E81912" w:rsidRPr="00E81912"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Schlaflosigkeit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zuerst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Schlafhygieneregulation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kognitive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Verhaltenstherapien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>.</w:t>
      </w:r>
    </w:p>
    <w:p w14:paraId="6B61B0DC" w14:textId="3C18AC61" w:rsidR="00FB3255" w:rsidRPr="00AE15DA" w:rsidRDefault="00B3469F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Schlaflosigkeit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pharmakologische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erforderlich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Melatonin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Melatoninrezeptor-Agonist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Ramelteon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begleitender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Depression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Einsatz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sedierenden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Antidepressiva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Mirtazapin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Trazadon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Agomelatin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evaluiert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E81912" w:rsidRPr="00E81912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27975E89" w14:textId="77777777" w:rsidR="001A75B0" w:rsidRPr="00AE15DA" w:rsidRDefault="001A75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5126417" w14:textId="199D1E56" w:rsidR="006C24B0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B12.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Neuroleptika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Antipsychotika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außer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Quetiapin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Clozapin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Parkinsonismus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Demenz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Lewy-Körpern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schwerer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extrapyramidaler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Symptome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81912" w:rsidRPr="00E81912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E81912" w:rsidRPr="00E81912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01E0E410" w14:textId="77777777" w:rsidR="001B712D" w:rsidRPr="00AE15DA" w:rsidRDefault="001B712D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99E01A" w14:textId="47E8FCF4" w:rsidR="006C24B0" w:rsidRPr="00AE15DA" w:rsidRDefault="006C24B0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B13.</w:t>
      </w:r>
      <w:r w:rsidR="00181929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hohem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Sturzrisiko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Neuroleptika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Antipsychotika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extrapyramidale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Nebenwirkung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),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Benzodiazepine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Sedierung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Gleichgewichtsstörung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Hypnotika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vom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Typ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Z (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Zopiclon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zolpidem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zaleplon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>) (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verlängerte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Sedierung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Ataxie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>.</w:t>
      </w:r>
    </w:p>
    <w:p w14:paraId="49371851" w14:textId="60FA9D4F" w:rsidR="00354D28" w:rsidRPr="00AE15DA" w:rsidRDefault="00B3469F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2037E7" w:rsidRPr="002037E7"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Im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Allgemeinen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handelt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sich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dieser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Gruppe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Medikamenten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um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Medikamente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das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Sturzrisiko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erhöhen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so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weit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wie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möglich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vermieden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Pr="00AE15DA">
        <w:rPr>
          <w:rFonts w:asciiTheme="minorHAnsi" w:hAnsiTheme="minorHAnsi"/>
          <w:i/>
          <w:sz w:val="22"/>
          <w:szCs w:val="22"/>
        </w:rPr>
        <w:t xml:space="preserve">. </w:t>
      </w:r>
    </w:p>
    <w:p w14:paraId="61ACC838" w14:textId="77777777" w:rsidR="001A75B0" w:rsidRPr="00AE15DA" w:rsidRDefault="001A75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14:paraId="3C384B29" w14:textId="5F3FCE41" w:rsidR="006C24B0" w:rsidRPr="00AE15DA" w:rsidRDefault="006C24B0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B14.</w:t>
      </w:r>
      <w:r w:rsidR="00E60D55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Einnahme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Benzodiazepinen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über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mehr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als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4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Wochen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längere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Sedierung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Verwirrtheit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Gleichgewichtsstörung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Stürze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b/>
          <w:sz w:val="22"/>
          <w:szCs w:val="22"/>
        </w:rPr>
        <w:t>Verkehrsunfallgefahr</w:t>
      </w:r>
      <w:proofErr w:type="spellEnd"/>
      <w:r w:rsidR="002037E7" w:rsidRPr="002037E7">
        <w:rPr>
          <w:rFonts w:asciiTheme="minorHAnsi" w:hAnsiTheme="minorHAnsi"/>
          <w:b/>
          <w:sz w:val="22"/>
          <w:szCs w:val="22"/>
        </w:rPr>
        <w:t>).</w:t>
      </w:r>
    </w:p>
    <w:p w14:paraId="56A82648" w14:textId="2974FDCC" w:rsidR="00940A4D" w:rsidRDefault="00B3469F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2037E7" w:rsidRPr="002037E7"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Generell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Einnahme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Benzodiazepinen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wegen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ihres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hohen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Nebenwirkungspotentials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vermieden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>.</w:t>
      </w:r>
    </w:p>
    <w:p w14:paraId="0BD16F74" w14:textId="487A990B" w:rsidR="00562C85" w:rsidRPr="00AE15DA" w:rsidRDefault="00562C85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2037E7" w:rsidRPr="002037E7"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Kurzwirksame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Benzodiazepine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klinischen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Indikationen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Vorsicht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kurze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Zeit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(&lt;4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Wochen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(z. B.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Lorazepam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demenzbedingter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Unruhe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gegeben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>).</w:t>
      </w:r>
      <w:r w:rsidR="00B3469F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7CAD59B4" w14:textId="0113F7F8" w:rsidR="00B3469F" w:rsidRPr="00AE15DA" w:rsidRDefault="00562C85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ausgewählten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Clonazepam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ein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langwirksames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Benzodiazepin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REM-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Schlafverhaltensstörungen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verabreicht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durch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andere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Medikamente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kontrolliert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In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diesem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Fall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jedoch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engmaschige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klinische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Überwachung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erfolgen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>.</w:t>
      </w:r>
      <w:r w:rsidR="00B3469F" w:rsidRPr="00AE15DA">
        <w:rPr>
          <w:rFonts w:asciiTheme="minorHAnsi" w:hAnsiTheme="minorHAnsi"/>
          <w:i/>
          <w:sz w:val="22"/>
          <w:szCs w:val="22"/>
        </w:rPr>
        <w:t xml:space="preserve">  </w:t>
      </w:r>
    </w:p>
    <w:p w14:paraId="215740CF" w14:textId="7DD17700" w:rsidR="00B3469F" w:rsidRPr="00AE15DA" w:rsidRDefault="00B3469F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Alle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Benzodiazepine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2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Wochen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länger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schrittweise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plötzlich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abgesetzt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, um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kein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„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Benzodiazepine-Entzugssyndrom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“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037E7" w:rsidRPr="002037E7">
        <w:rPr>
          <w:rFonts w:asciiTheme="minorHAnsi" w:hAnsiTheme="minorHAnsi"/>
          <w:i/>
          <w:sz w:val="22"/>
          <w:szCs w:val="22"/>
        </w:rPr>
        <w:t>verursachen</w:t>
      </w:r>
      <w:proofErr w:type="spellEnd"/>
      <w:r w:rsidR="002037E7" w:rsidRPr="002037E7">
        <w:rPr>
          <w:rFonts w:asciiTheme="minorHAnsi" w:hAnsiTheme="minorHAnsi"/>
          <w:i/>
          <w:sz w:val="22"/>
          <w:szCs w:val="22"/>
        </w:rPr>
        <w:t>.</w:t>
      </w:r>
    </w:p>
    <w:p w14:paraId="2B5E06C3" w14:textId="77777777" w:rsidR="008B50F1" w:rsidRPr="00AE15DA" w:rsidRDefault="008B50F1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14:paraId="66FA8300" w14:textId="7356D35B" w:rsidR="00C846A1" w:rsidRPr="00AE15DA" w:rsidRDefault="00B835E2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lastRenderedPageBreak/>
        <w:t>B1</w:t>
      </w:r>
      <w:r w:rsidR="0058769E" w:rsidRPr="00AE15DA">
        <w:rPr>
          <w:rFonts w:asciiTheme="minorHAnsi" w:hAnsiTheme="minorHAnsi"/>
          <w:b/>
          <w:sz w:val="22"/>
          <w:szCs w:val="22"/>
        </w:rPr>
        <w:t>5</w:t>
      </w:r>
      <w:r w:rsidRPr="00AE15DA">
        <w:rPr>
          <w:rFonts w:asciiTheme="minorHAnsi" w:hAnsiTheme="minorHAnsi"/>
          <w:b/>
          <w:sz w:val="22"/>
          <w:szCs w:val="22"/>
        </w:rPr>
        <w:t>.</w:t>
      </w:r>
      <w:r w:rsidR="00E60D55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Benzodiazepine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akutem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chronischem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Atemversagen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(PO2 &lt; 60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PCO2 &gt; 50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>) (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erhöhtes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A7E7F" w:rsidRPr="004A7E7F">
        <w:rPr>
          <w:rFonts w:asciiTheme="minorHAnsi" w:hAnsiTheme="minorHAnsi"/>
          <w:b/>
          <w:sz w:val="22"/>
          <w:szCs w:val="22"/>
        </w:rPr>
        <w:t>Atemversagens</w:t>
      </w:r>
      <w:proofErr w:type="spellEnd"/>
      <w:r w:rsidR="004A7E7F" w:rsidRPr="004A7E7F">
        <w:rPr>
          <w:rFonts w:asciiTheme="minorHAnsi" w:hAnsiTheme="minorHAnsi"/>
          <w:b/>
          <w:sz w:val="22"/>
          <w:szCs w:val="22"/>
        </w:rPr>
        <w:t>.</w:t>
      </w:r>
      <w:r w:rsidR="00047F5E" w:rsidRPr="00AE15DA">
        <w:rPr>
          <w:rFonts w:asciiTheme="minorHAnsi" w:hAnsiTheme="minorHAnsi"/>
          <w:b/>
          <w:sz w:val="22"/>
          <w:szCs w:val="22"/>
        </w:rPr>
        <w:t>)</w:t>
      </w:r>
    </w:p>
    <w:p w14:paraId="711FA595" w14:textId="0A773975" w:rsidR="006C24B0" w:rsidRPr="00AE15DA" w:rsidRDefault="006C24B0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  <w:vertAlign w:val="superscript"/>
        </w:rPr>
      </w:pPr>
      <w:r w:rsidRPr="00AE15DA">
        <w:rPr>
          <w:rFonts w:asciiTheme="minorHAnsi" w:hAnsiTheme="minorHAnsi"/>
          <w:b/>
          <w:sz w:val="22"/>
          <w:szCs w:val="22"/>
        </w:rPr>
        <w:t>B1</w:t>
      </w:r>
      <w:r w:rsidR="0058769E" w:rsidRPr="00AE15DA">
        <w:rPr>
          <w:rFonts w:asciiTheme="minorHAnsi" w:hAnsiTheme="minorHAnsi"/>
          <w:b/>
          <w:sz w:val="22"/>
          <w:szCs w:val="22"/>
        </w:rPr>
        <w:t>6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ChEi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persistierender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Bradykardie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(&lt;50/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),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Herzblock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2.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3.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Grades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ungeklärter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Synkope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verlängertem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QTc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(&gt;470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ms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Frauen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, &gt;450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ms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Männern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>). (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Herzleitungsstörung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Synkope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Verletzungsgefahr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>)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66203824" w14:textId="2B55131A" w:rsidR="00D43767" w:rsidRPr="00AE15DA" w:rsidRDefault="006C24B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F04155" w:rsidRPr="00F04155"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ChEi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Herzfrequenz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50-60/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ohne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Symptome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begonnen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Pulsfrequenz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Symptome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1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Woche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nach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Behandlungsbeginn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Dosiserhöhung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überprüft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7A7469" w:rsidRPr="00AE15DA">
        <w:rPr>
          <w:rFonts w:asciiTheme="minorHAnsi" w:hAnsiTheme="minorHAnsi"/>
          <w:i/>
          <w:sz w:val="22"/>
          <w:szCs w:val="22"/>
        </w:rPr>
        <w:t xml:space="preserve">. </w:t>
      </w:r>
    </w:p>
    <w:p w14:paraId="7D16B662" w14:textId="4A143989" w:rsidR="007A7469" w:rsidRPr="00AE15DA" w:rsidRDefault="00D43767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F04155" w:rsidRPr="00F04155"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Puls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gleichzeitigen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geschwindigkeitsbegrenzenden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medikamentenbereichen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>&lt;50</w:t>
      </w:r>
      <w:r w:rsidR="00F04155" w:rsidRPr="00F04155">
        <w:rPr>
          <w:rFonts w:asciiTheme="minorHAnsi" w:hAnsiTheme="minorHAnsi"/>
          <w:i/>
          <w:sz w:val="22"/>
          <w:szCs w:val="22"/>
        </w:rPr>
        <w:t>/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keine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Symptome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auftreten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er mit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Vorsicht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Chei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mit LBBB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AF mit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Vorsicht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überwacht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>.</w:t>
      </w:r>
      <w:r w:rsidR="007A7469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6B5FD0B9" w14:textId="0246C9E0" w:rsidR="00B3469F" w:rsidRPr="00AE15DA" w:rsidRDefault="00B3469F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F04155" w:rsidRPr="00F04155"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Chei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mit COPD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Asthma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Vorsicht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Bronchospasmus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aggregieren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überwacht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/>
          <w:i/>
          <w:sz w:val="22"/>
          <w:szCs w:val="22"/>
        </w:rPr>
        <w:t>.</w:t>
      </w:r>
      <w:r w:rsidR="00AD4496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55D7449D" w14:textId="783722B0" w:rsidR="00B3469F" w:rsidRPr="00AE15DA" w:rsidRDefault="00B3469F" w:rsidP="0043334F">
      <w:pPr>
        <w:pStyle w:val="HTMLVorformatiert"/>
        <w:contextualSpacing/>
        <w:jc w:val="both"/>
        <w:rPr>
          <w:rFonts w:asciiTheme="minorHAnsi" w:hAnsiTheme="minorHAnsi" w:cs="Times New Roman"/>
          <w:i/>
          <w:sz w:val="22"/>
          <w:szCs w:val="22"/>
        </w:rPr>
      </w:pPr>
      <w:r w:rsidRPr="00AE15DA">
        <w:rPr>
          <w:rFonts w:asciiTheme="minorHAnsi" w:hAnsiTheme="minorHAnsi" w:cs="Times New Roman"/>
          <w:i/>
          <w:sz w:val="22"/>
          <w:szCs w:val="22"/>
        </w:rPr>
        <w:t>*</w:t>
      </w:r>
      <w:r w:rsidR="00F04155" w:rsidRPr="00F04155"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Chei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sollte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mit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einer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Geschichte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Magengeschwüren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und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bei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mit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nichtsteroidalen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entzündungshemmenden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Medikamenten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mit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Vorsicht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angewendet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Diese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Patienten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sollten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auf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gastrointestinale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Blutungen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überwacht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 w:cs="Times New Roman"/>
          <w:i/>
          <w:sz w:val="22"/>
          <w:szCs w:val="22"/>
        </w:rPr>
        <w:t>werden</w:t>
      </w:r>
      <w:proofErr w:type="spellEnd"/>
      <w:r w:rsidR="00F04155" w:rsidRPr="00F04155">
        <w:rPr>
          <w:rFonts w:asciiTheme="minorHAnsi" w:hAnsiTheme="minorHAnsi" w:cs="Times New Roman"/>
          <w:i/>
          <w:sz w:val="22"/>
          <w:szCs w:val="22"/>
        </w:rPr>
        <w:t>.</w:t>
      </w:r>
    </w:p>
    <w:p w14:paraId="0FF63386" w14:textId="77777777" w:rsidR="001B712D" w:rsidRPr="00AE15DA" w:rsidRDefault="001B712D" w:rsidP="0043334F">
      <w:pPr>
        <w:pStyle w:val="HTMLVorformatier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234F14" w14:textId="022AB439" w:rsidR="006C24B0" w:rsidRPr="00AE15DA" w:rsidRDefault="006C24B0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B1</w:t>
      </w:r>
      <w:r w:rsidR="0058769E" w:rsidRPr="00AE15DA">
        <w:rPr>
          <w:rFonts w:asciiTheme="minorHAnsi" w:hAnsiTheme="minorHAnsi"/>
          <w:b/>
          <w:sz w:val="22"/>
          <w:szCs w:val="22"/>
        </w:rPr>
        <w:t>7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Verwendung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levodopa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Dopaminagonisten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essentiellem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tremor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(Es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gibt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keine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nachgewiesene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Wirksamkeit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>.</w:t>
      </w:r>
      <w:r w:rsidR="00E62201" w:rsidRPr="00AE15DA">
        <w:rPr>
          <w:rFonts w:asciiTheme="minorHAnsi" w:hAnsiTheme="minorHAnsi"/>
          <w:b/>
          <w:sz w:val="22"/>
          <w:szCs w:val="22"/>
        </w:rPr>
        <w:t>)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2A9F596A" w14:textId="1487B5A4" w:rsidR="001B712D" w:rsidRPr="00AE15DA" w:rsidRDefault="006C24B0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B1</w:t>
      </w:r>
      <w:r w:rsidR="0058769E" w:rsidRPr="00AE15DA">
        <w:rPr>
          <w:rFonts w:asciiTheme="minorHAnsi" w:hAnsiTheme="minorHAnsi"/>
          <w:b/>
          <w:color w:val="000000"/>
          <w:sz w:val="22"/>
          <w:szCs w:val="22"/>
        </w:rPr>
        <w:t>8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kontinuierliche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langfristige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Medikamenten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wie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betahistin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trimetazidin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Dimenhydrinat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Schwindel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Mangel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an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evidenzbasierten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positiven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Wirkungen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</w:p>
    <w:p w14:paraId="5F1D7D1A" w14:textId="77777777" w:rsidR="001B712D" w:rsidRPr="00AE15DA" w:rsidRDefault="001B712D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0272A8" w14:textId="336B555A" w:rsidR="006C24B0" w:rsidRPr="00AE15DA" w:rsidRDefault="00E66E2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6C24B0" w:rsidRPr="00AE15DA">
        <w:rPr>
          <w:rFonts w:asciiTheme="minorHAnsi" w:hAnsiTheme="minorHAnsi"/>
          <w:b/>
          <w:sz w:val="22"/>
          <w:szCs w:val="22"/>
        </w:rPr>
        <w:t>B1</w:t>
      </w:r>
      <w:r w:rsidR="0058769E" w:rsidRPr="00AE15DA">
        <w:rPr>
          <w:rFonts w:asciiTheme="minorHAnsi" w:hAnsiTheme="minorHAnsi"/>
          <w:b/>
          <w:sz w:val="22"/>
          <w:szCs w:val="22"/>
        </w:rPr>
        <w:t>9</w:t>
      </w:r>
      <w:r w:rsidR="006C24B0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Cinnarizin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extrapyramidale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eingeschränkter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sz w:val="22"/>
          <w:szCs w:val="22"/>
        </w:rPr>
        <w:t>nutzen</w:t>
      </w:r>
      <w:proofErr w:type="spellEnd"/>
      <w:r w:rsidR="00F04155" w:rsidRPr="00F04155">
        <w:rPr>
          <w:rFonts w:asciiTheme="minorHAnsi" w:hAnsiTheme="minorHAnsi"/>
          <w:b/>
          <w:sz w:val="22"/>
          <w:szCs w:val="22"/>
        </w:rPr>
        <w:t>)</w:t>
      </w:r>
      <w:r w:rsidR="006C24B0"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6E196D8E" w14:textId="77777777" w:rsidR="00C846A1" w:rsidRPr="00AE15DA" w:rsidRDefault="00C846A1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8CE37C" w14:textId="0928E5CE" w:rsidR="00C846A1" w:rsidRPr="00AE15DA" w:rsidRDefault="005712F8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B20.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Piracetam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außer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myoklonischen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Krämpfen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keine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nachgewiesene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klinische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Wirksamkeit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aufgrund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Kostenlast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des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Potenzials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F04155" w:rsidRPr="00F04155">
        <w:rPr>
          <w:rFonts w:asciiTheme="minorHAnsi" w:hAnsiTheme="minorHAnsi"/>
          <w:b/>
          <w:color w:val="000000"/>
          <w:sz w:val="22"/>
          <w:szCs w:val="22"/>
        </w:rPr>
        <w:t>Nebenwirkungen</w:t>
      </w:r>
      <w:proofErr w:type="spellEnd"/>
      <w:r w:rsidRPr="00AE15DA">
        <w:rPr>
          <w:rFonts w:asciiTheme="minorHAnsi" w:hAnsiTheme="minorHAnsi"/>
          <w:b/>
          <w:color w:val="000000"/>
          <w:sz w:val="22"/>
          <w:szCs w:val="22"/>
        </w:rPr>
        <w:t>)</w:t>
      </w:r>
    </w:p>
    <w:p w14:paraId="17FFF27A" w14:textId="7A0382BC" w:rsidR="00C846A1" w:rsidRPr="00AE15DA" w:rsidRDefault="005712F8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AE15DA">
        <w:rPr>
          <w:rFonts w:asciiTheme="minorHAnsi" w:hAnsiTheme="minorHAnsi"/>
          <w:i/>
          <w:color w:val="000000"/>
          <w:sz w:val="22"/>
          <w:szCs w:val="22"/>
        </w:rPr>
        <w:t>*</w:t>
      </w:r>
      <w:r w:rsidR="005D0E77" w:rsidRPr="005D0E77"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denen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ein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symptomatischer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Nutzen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der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Piracetam-Behandlung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vermutet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wird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kann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es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unter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Berücksichtigung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der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Gewinn-Verlust-Bilanz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angewendet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werden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5105F169" w14:textId="19093F92" w:rsidR="002E0C44" w:rsidRPr="00AE15DA" w:rsidRDefault="005712F8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i/>
          <w:color w:val="000000"/>
          <w:sz w:val="22"/>
          <w:szCs w:val="22"/>
        </w:rPr>
        <w:t>*</w:t>
      </w:r>
      <w:r w:rsidR="005D0E77" w:rsidRPr="005D0E77">
        <w:t xml:space="preserve"> </w:t>
      </w:r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Es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gibt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Studien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dass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Piracetam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einen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begrenzten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Nutzen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der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Behandlung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akuter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Aphasie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nach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einem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Schlaganfall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haben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könnte</w:t>
      </w:r>
      <w:proofErr w:type="spellEnd"/>
      <w:r w:rsidR="005D0E77" w:rsidRPr="005D0E77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07261C72" w14:textId="77777777" w:rsidR="005D469F" w:rsidRPr="00AE15DA" w:rsidRDefault="005D469F" w:rsidP="0043334F">
      <w:pPr>
        <w:tabs>
          <w:tab w:val="left" w:pos="70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C1DE946" w14:textId="6432A876" w:rsidR="006C24B0" w:rsidRPr="00AE15DA" w:rsidRDefault="006C24B0" w:rsidP="0043334F">
      <w:pPr>
        <w:tabs>
          <w:tab w:val="left" w:pos="70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B2</w:t>
      </w:r>
      <w:r w:rsidR="0058769E" w:rsidRPr="00AE15DA">
        <w:rPr>
          <w:rFonts w:asciiTheme="minorHAnsi" w:hAnsiTheme="minorHAnsi"/>
          <w:b/>
          <w:color w:val="000000"/>
          <w:sz w:val="22"/>
          <w:szCs w:val="22"/>
        </w:rPr>
        <w:t>1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Carbamazepin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Phenytoin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Phenobarbital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Valproat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in der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ersten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Stufe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chronischen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Epilepsie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aufgrund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negativen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Auswirkungen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auf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vitamin D,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enzyminduktion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Sturzgefahr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;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Sie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haben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auch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sicherere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Alternativen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>)</w:t>
      </w:r>
    </w:p>
    <w:p w14:paraId="028B148D" w14:textId="673945D3" w:rsidR="00316C80" w:rsidRPr="00AE15DA" w:rsidRDefault="00316C8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5D0E77" w:rsidRPr="005D0E77"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chronischer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Epilepsie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neue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Mittel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wie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levatiresetam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Lamotrigin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gabapentin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bevorzugt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>.</w:t>
      </w:r>
    </w:p>
    <w:p w14:paraId="037FB699" w14:textId="77777777" w:rsidR="00C846A1" w:rsidRPr="00AE15DA" w:rsidRDefault="00C846A1" w:rsidP="0043334F">
      <w:pPr>
        <w:tabs>
          <w:tab w:val="left" w:pos="708"/>
        </w:tabs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8CB3D1" w14:textId="0A474968" w:rsidR="00C846A1" w:rsidRPr="00AE15DA" w:rsidRDefault="006C24B0" w:rsidP="0043334F">
      <w:pPr>
        <w:tabs>
          <w:tab w:val="left" w:pos="708"/>
        </w:tabs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t>B2</w:t>
      </w:r>
      <w:r w:rsidR="0058769E" w:rsidRPr="00AE15DA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Tramadol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Neuroleptika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Antipsychotika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Clozapin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olanzapin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Chlorpromazin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Thioridazin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),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bupropion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und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maprotilin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sind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mit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Epilepsie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nicht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geeignet</w:t>
      </w:r>
      <w:proofErr w:type="spellEnd"/>
      <w:r w:rsidR="005D0E77" w:rsidRPr="005D0E77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AE15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6769BAB4" w14:textId="77777777" w:rsidR="00E85274" w:rsidRPr="00AE15DA" w:rsidRDefault="00E85274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8D813" w14:textId="3CFB093D" w:rsidR="00EE065C" w:rsidRPr="00E85274" w:rsidRDefault="006C24B0" w:rsidP="00E85274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B2</w:t>
      </w:r>
      <w:r w:rsidR="0058769E" w:rsidRPr="00AE15DA">
        <w:rPr>
          <w:rFonts w:asciiTheme="minorHAnsi" w:hAnsiTheme="minorHAnsi"/>
          <w:b/>
          <w:color w:val="000000"/>
          <w:sz w:val="22"/>
          <w:szCs w:val="22"/>
        </w:rPr>
        <w:t>3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antiepileptischen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Therapie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zur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Prophylaxe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Anfällen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aufgrund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des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Vorhandenseins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eines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ischämischen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/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hämorrhagischen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Schlaganfalls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einem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, der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zuvor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keinen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Krampf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hatte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5D0E77" w:rsidRPr="005D0E77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6F963514" w14:textId="498C41AF" w:rsidR="00C846A1" w:rsidRPr="00AE15DA" w:rsidRDefault="00260D35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B2</w:t>
      </w:r>
      <w:r w:rsidR="0058769E" w:rsidRPr="00AE15DA">
        <w:rPr>
          <w:rFonts w:asciiTheme="minorHAnsi" w:hAnsiTheme="minorHAnsi"/>
          <w:b/>
          <w:sz w:val="22"/>
          <w:szCs w:val="22"/>
        </w:rPr>
        <w:t>4</w:t>
      </w:r>
      <w:r w:rsidR="00F412F2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Citalopram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Dosen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über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20 mg/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Tag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Escitalopram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über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10 mg/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Tag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älteren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Menschen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aufgrund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Risikos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QTc-Verlängerung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>.</w:t>
      </w:r>
      <w:r w:rsidR="00632E6B" w:rsidRPr="00AE15DA">
        <w:rPr>
          <w:rFonts w:asciiTheme="minorHAnsi" w:hAnsiTheme="minorHAnsi"/>
          <w:b/>
          <w:sz w:val="22"/>
          <w:szCs w:val="22"/>
        </w:rPr>
        <w:t>)</w:t>
      </w:r>
    </w:p>
    <w:p w14:paraId="660162CF" w14:textId="77777777" w:rsidR="00C846A1" w:rsidRPr="00AE15DA" w:rsidRDefault="00C846A1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14:paraId="5E388600" w14:textId="788433E2" w:rsidR="004816D3" w:rsidRPr="00AE15DA" w:rsidRDefault="00EE065C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8"/>
          <w:szCs w:val="28"/>
        </w:rPr>
        <w:t xml:space="preserve">C: </w:t>
      </w:r>
      <w:proofErr w:type="spellStart"/>
      <w:r w:rsidR="005D0E77" w:rsidRPr="005D0E77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5D0E77" w:rsidRPr="005D0E7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8"/>
          <w:szCs w:val="28"/>
        </w:rPr>
        <w:t>für</w:t>
      </w:r>
      <w:proofErr w:type="spellEnd"/>
      <w:r w:rsidR="005D0E77" w:rsidRPr="005D0E7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8"/>
          <w:szCs w:val="28"/>
        </w:rPr>
        <w:t>das</w:t>
      </w:r>
      <w:proofErr w:type="spellEnd"/>
      <w:r w:rsidR="005D0E77" w:rsidRPr="005D0E77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8"/>
          <w:szCs w:val="28"/>
        </w:rPr>
        <w:t>Magen-Darm-System</w:t>
      </w:r>
      <w:proofErr w:type="spellEnd"/>
      <w:r w:rsidRPr="00AE15DA">
        <w:rPr>
          <w:rFonts w:asciiTheme="minorHAnsi" w:hAnsiTheme="minorHAnsi"/>
          <w:b/>
          <w:sz w:val="28"/>
          <w:szCs w:val="28"/>
        </w:rPr>
        <w:t xml:space="preserve">. </w:t>
      </w:r>
    </w:p>
    <w:p w14:paraId="079386D0" w14:textId="77777777" w:rsidR="00EE065C" w:rsidRPr="00AE15DA" w:rsidRDefault="00EE065C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613B0B2" w14:textId="4E9D1C2F" w:rsidR="007A7469" w:rsidRPr="00AE15DA" w:rsidRDefault="007A746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lastRenderedPageBreak/>
        <w:t xml:space="preserve">C1.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gleichzeitige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NSAID</w:t>
      </w:r>
      <w:r w:rsidR="005D0E77">
        <w:rPr>
          <w:rFonts w:asciiTheme="minorHAnsi" w:hAnsiTheme="minorHAnsi"/>
          <w:b/>
          <w:sz w:val="22"/>
          <w:szCs w:val="22"/>
        </w:rPr>
        <w:t xml:space="preserve"> </w:t>
      </w:r>
      <w:r w:rsidR="005D0E77" w:rsidRPr="005D0E77">
        <w:rPr>
          <w:rFonts w:asciiTheme="minorHAnsi" w:hAnsiTheme="minorHAnsi"/>
          <w:b/>
          <w:sz w:val="22"/>
          <w:szCs w:val="22"/>
        </w:rPr>
        <w:t xml:space="preserve">mit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OAKs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(Vitamin-K-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Antagonisten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direkte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Thrombinhemmer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Faktor-Xa-Hemmer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gastrointestinale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Blutungen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>).</w:t>
      </w:r>
    </w:p>
    <w:p w14:paraId="53ABB89D" w14:textId="77777777" w:rsidR="00C846A1" w:rsidRPr="00AE15DA" w:rsidRDefault="00C846A1" w:rsidP="0043334F">
      <w:pPr>
        <w:tabs>
          <w:tab w:val="left" w:pos="70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DD64B01" w14:textId="6470E6B2" w:rsidR="007A7469" w:rsidRPr="00AE15DA" w:rsidRDefault="007A7469" w:rsidP="0043334F">
      <w:pPr>
        <w:tabs>
          <w:tab w:val="left" w:pos="70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C2.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Aspirin,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Clopidogrel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NSAIDs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Steroiden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Geschwüren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in der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zusätzliche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Thrombozytenaggregationshemmer-Therapie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erhalten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gleichzeitig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Antikoagulanzien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erhalten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Steroide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anwenden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Dyspepsie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>-GER-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Symptomen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5D0E77" w:rsidRPr="005D0E77">
        <w:rPr>
          <w:rFonts w:asciiTheme="minorHAnsi" w:hAnsiTheme="minorHAnsi"/>
          <w:b/>
          <w:sz w:val="22"/>
          <w:szCs w:val="22"/>
        </w:rPr>
        <w:t xml:space="preserve"> PPI-</w:t>
      </w:r>
      <w:proofErr w:type="spellStart"/>
      <w:r w:rsidR="005D0E77" w:rsidRPr="005D0E77">
        <w:rPr>
          <w:rFonts w:asciiTheme="minorHAnsi" w:hAnsiTheme="minorHAnsi"/>
          <w:b/>
          <w:sz w:val="22"/>
          <w:szCs w:val="22"/>
        </w:rPr>
        <w:t>Verabreichung</w:t>
      </w:r>
      <w:proofErr w:type="spellEnd"/>
      <w:r w:rsidR="005D0E77">
        <w:rPr>
          <w:rFonts w:asciiTheme="minorHAnsi" w:hAnsiTheme="minorHAnsi"/>
          <w:b/>
          <w:sz w:val="22"/>
          <w:szCs w:val="22"/>
        </w:rPr>
        <w:t xml:space="preserve">. </w:t>
      </w:r>
    </w:p>
    <w:p w14:paraId="21085BC1" w14:textId="4FCB753A" w:rsidR="00416085" w:rsidRPr="00AE15DA" w:rsidRDefault="00F80E7F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5D0E77" w:rsidRPr="005D0E77"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empfohlene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PPI-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PPI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zur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Prophylaxe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hohe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PPI,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einmal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täglich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auf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dem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Markt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bevorzugt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D0E77" w:rsidRPr="005D0E77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5D0E77" w:rsidRPr="005D0E77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58B4AE4A" w14:textId="45A71BBC" w:rsidR="00416085" w:rsidRPr="00AE15DA" w:rsidRDefault="007D40DC" w:rsidP="0043334F">
      <w:pPr>
        <w:contextualSpacing/>
        <w:jc w:val="both"/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</w:pPr>
      <w:r w:rsidRPr="00AE15DA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*</w:t>
      </w:r>
      <w:r w:rsidR="005D0E77" w:rsidRPr="005D0E77"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Bei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anderen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Begleiterkrankungen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als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Dyspepsie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ist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es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angemessen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, mit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einer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hohen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PPI-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Dosis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fortzufahren</w:t>
      </w:r>
      <w:proofErr w:type="spellEnd"/>
      <w:r w:rsidR="005D0E77" w:rsidRPr="005D0E77">
        <w:rPr>
          <w:rFonts w:asciiTheme="minorHAnsi" w:hAnsiTheme="minorHAnsi" w:cs="Arial"/>
          <w:i/>
          <w:color w:val="222222"/>
          <w:sz w:val="22"/>
          <w:szCs w:val="22"/>
          <w:shd w:val="clear" w:color="auto" w:fill="F8F9FA"/>
        </w:rPr>
        <w:t>.</w:t>
      </w:r>
    </w:p>
    <w:p w14:paraId="268F290C" w14:textId="16D9C287" w:rsidR="00416085" w:rsidRPr="00AE15DA" w:rsidRDefault="00CD36C1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Aufgrund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Vorhandenseins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Dyspepsie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mit der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oben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genannten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Arzneimittel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einhergeht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mit PPI-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Indikation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hohen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PPI-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Weile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Reduzierung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Symptome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auf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niedrigste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PPI-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während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Nachsorge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angezeigt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.</w:t>
      </w:r>
    </w:p>
    <w:p w14:paraId="5D2674DE" w14:textId="0F6AC895" w:rsidR="00416085" w:rsidRPr="00AE15DA" w:rsidRDefault="00677D79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560C39" w:rsidRPr="00560C39"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älteren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Menschen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chronische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NSAIDs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anwenden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ist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PPI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erforderlich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.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chronischer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NSAR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älteren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Menschen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sollte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PPI/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Misoprostol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gegeben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werden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auch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wenn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oben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genannten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Risikofaktoren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nicht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vorliegen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275E5BBD" w14:textId="4E3F9B9A" w:rsidR="00416085" w:rsidRPr="00AE15DA" w:rsidRDefault="00B22D0E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color w:val="44546A" w:themeColor="text2"/>
          <w:sz w:val="22"/>
          <w:szCs w:val="22"/>
        </w:rPr>
        <w:t>*</w:t>
      </w:r>
      <w:r w:rsidR="00560C39" w:rsidRPr="00560C39"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Kurzzeit-NSAIDs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anwenden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angebracht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gleichzeitig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PPI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verabreichen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auch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oben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genannten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Risikofaktoren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vorliegen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 </w:t>
      </w:r>
    </w:p>
    <w:p w14:paraId="69F23B7F" w14:textId="3C46203D" w:rsidR="00416085" w:rsidRPr="00AE15DA" w:rsidRDefault="00964679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560C39" w:rsidRPr="00560C39"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antiaggregierende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Dosen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Aspirin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Clopidogrel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allein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anwenden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besteht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wahrscheinlich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keine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Notwendigkeit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PPI,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keiner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oben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genannten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Risikofaktoren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vorliegt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0CE16F2D" w14:textId="044F0451" w:rsidR="00416085" w:rsidRPr="00AE15DA" w:rsidRDefault="005207E3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560C39" w:rsidRPr="00560C39">
        <w:t xml:space="preserve"> </w:t>
      </w:r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Es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gibt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Studien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zeigen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dass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Wirksamkeit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PPIs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gleichzeitiger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mit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Clopidogrel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reduziert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ist.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Hierzu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kann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jedoch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keine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klare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Empfehlung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ausgesprochen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werden</w:t>
      </w:r>
      <w:proofErr w:type="spellEnd"/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3F72C460" w14:textId="2F3433A1" w:rsidR="00416085" w:rsidRPr="00AE15DA" w:rsidRDefault="007933ED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560C39" w:rsidRPr="00560C39"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Wenn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Patienten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Warfarin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anwenden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Indikation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für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PPI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besteht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sollte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anderer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PPI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als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Omeprazol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bevorzugt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werden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(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Omeprazol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erhöht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den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Warfarin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-Spiegel.</w:t>
      </w: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)</w:t>
      </w:r>
    </w:p>
    <w:p w14:paraId="30E4651A" w14:textId="2B7F70E4" w:rsidR="007933ED" w:rsidRPr="00AE15DA" w:rsidRDefault="007933ED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560C39" w:rsidRPr="00560C39"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Anstelle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PPI-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auch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Misoprostol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hochdosierte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H2-Rezeptorblocker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bevorzugt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14:paraId="45076233" w14:textId="77777777" w:rsidR="00263917" w:rsidRPr="00AE15DA" w:rsidRDefault="00263917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F55EF02" w14:textId="6D99CDD7" w:rsidR="007A7469" w:rsidRPr="00AE15DA" w:rsidRDefault="00E66E29" w:rsidP="0043334F">
      <w:pPr>
        <w:spacing w:before="100" w:beforeAutospacing="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7A7469" w:rsidRPr="00AE15DA">
        <w:rPr>
          <w:rFonts w:asciiTheme="minorHAnsi" w:hAnsiTheme="minorHAnsi"/>
          <w:b/>
          <w:sz w:val="22"/>
          <w:szCs w:val="22"/>
        </w:rPr>
        <w:t xml:space="preserve">C3.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Magen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Zwölffingerdarmgeschwüren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in der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kompliziert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unkompliziert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Magen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Zwölffingerdarmgeschwüre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Einleitung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Aspirin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NSAIDs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chronischen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Helicobacter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pylori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-Test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>.</w:t>
      </w:r>
    </w:p>
    <w:p w14:paraId="1EBF1FEE" w14:textId="13560196" w:rsidR="007A7469" w:rsidRPr="00AE15DA" w:rsidRDefault="008A0522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560C39" w:rsidRPr="00560C39"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Nachweis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H.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pylori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(+)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Eradikationstherapie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erfolgen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.</w:t>
      </w:r>
      <w:r w:rsidR="007A7469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2538BF36" w14:textId="11B99EA0" w:rsidR="00D16308" w:rsidRPr="00AE15DA" w:rsidRDefault="008A0522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Wenn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der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Patient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seit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einiger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Zeit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Aspirin/NSAID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einnimmt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ist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der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erwartete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Nutzen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einer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H.-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pylori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-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Eradikationstherapie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gering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aber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Eradikation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wird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im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Allgemeinen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bevorzugt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wenn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sie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in der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Praxis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getestet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und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positiv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befunden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wurde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0D0C349D" w14:textId="12608E07" w:rsidR="007A7469" w:rsidRPr="00AE15DA" w:rsidRDefault="00D16308" w:rsidP="0043334F">
      <w:pPr>
        <w:contextualSpacing/>
        <w:jc w:val="both"/>
        <w:rPr>
          <w:rFonts w:asciiTheme="minorHAnsi" w:hAnsiTheme="minorHAnsi"/>
          <w:i/>
          <w:color w:val="44546A" w:themeColor="text2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In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Populationen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mit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einer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hohen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Prävalenz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H.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pylori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kann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Beginn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der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chronischen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Aspirin/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NSAIDs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ein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„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Testbehandlung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“-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Ansatz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für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H.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pylori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angebracht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sein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auch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in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Fällen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in denen in der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Anamnese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kein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peptisches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Ulkus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vorlag</w:t>
      </w:r>
      <w:proofErr w:type="spellEnd"/>
      <w:r w:rsidR="00560C39" w:rsidRPr="00560C39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284B3524" w14:textId="7B88FED6" w:rsidR="00316C80" w:rsidRPr="00AE15DA" w:rsidRDefault="00316C80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Auch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wenn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mit der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chronischen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Clopidogrel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beginnen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peptisches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Ulkus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kompliziert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unkompliziert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Magen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Zwölffingerdarmgeschwür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) in der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Vorgeschichte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bekannt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H.-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pylori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-Test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/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H.-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pylori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-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Eradikationsbehandlung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empfohlen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theoretische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praktische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i/>
          <w:sz w:val="22"/>
          <w:szCs w:val="22"/>
        </w:rPr>
        <w:t>).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6075E3F5" w14:textId="77777777" w:rsidR="0043334F" w:rsidRPr="00AE15DA" w:rsidRDefault="0043334F" w:rsidP="0043334F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B71196" w14:textId="638CF5FB" w:rsidR="006658FF" w:rsidRPr="00AE15DA" w:rsidRDefault="007A7469" w:rsidP="0043334F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C4.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PPI in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voller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therapeutischer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Dosis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über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einen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Zeitraum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mehr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als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8-12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Wochen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unkomplizierten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Magengeschwürs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erosiven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peptischen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Ösophagitis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Dosisreduktion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kürzere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Unterbrechung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60C39" w:rsidRPr="00560C39">
        <w:rPr>
          <w:rFonts w:asciiTheme="minorHAnsi" w:hAnsiTheme="minorHAnsi"/>
          <w:b/>
          <w:sz w:val="22"/>
          <w:szCs w:val="22"/>
        </w:rPr>
        <w:t>angezeigt</w:t>
      </w:r>
      <w:proofErr w:type="spellEnd"/>
      <w:r w:rsidR="00560C39" w:rsidRPr="00560C39">
        <w:rPr>
          <w:rFonts w:asciiTheme="minorHAnsi" w:hAnsiTheme="minorHAnsi"/>
          <w:b/>
          <w:sz w:val="22"/>
          <w:szCs w:val="22"/>
        </w:rPr>
        <w:t>).</w:t>
      </w:r>
    </w:p>
    <w:p w14:paraId="7B2A6A53" w14:textId="2A8D80CF" w:rsidR="007A7469" w:rsidRPr="00AE15DA" w:rsidRDefault="007A7469" w:rsidP="0043334F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AE15DA">
        <w:rPr>
          <w:rFonts w:asciiTheme="minorHAnsi" w:hAnsiTheme="minorHAnsi"/>
          <w:i/>
          <w:color w:val="000000"/>
          <w:sz w:val="22"/>
          <w:szCs w:val="22"/>
        </w:rPr>
        <w:t>*</w:t>
      </w:r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Der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therapeutische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Dosierungszeitraum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8-12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Wochen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beinhaltet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nicht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Dauer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der PPI-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Therapie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zur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Eradikation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 xml:space="preserve"> H. </w:t>
      </w:r>
      <w:proofErr w:type="spellStart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pylori</w:t>
      </w:r>
      <w:proofErr w:type="spellEnd"/>
      <w:r w:rsidR="00A0353C" w:rsidRPr="00A0353C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253DF341" w14:textId="70F96698" w:rsidR="00C846A1" w:rsidRPr="00AE15DA" w:rsidRDefault="00316C80" w:rsidP="0043334F">
      <w:pPr>
        <w:spacing w:after="20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A0353C" w:rsidRPr="00A0353C">
        <w:t xml:space="preserve"> </w:t>
      </w:r>
      <w:r w:rsidR="00A0353C" w:rsidRPr="00A0353C">
        <w:rPr>
          <w:rFonts w:asciiTheme="minorHAnsi" w:hAnsiTheme="minorHAnsi"/>
          <w:i/>
          <w:sz w:val="22"/>
          <w:szCs w:val="22"/>
        </w:rPr>
        <w:t xml:space="preserve">Um den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Rebound-Effekt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während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Absetzzeitraums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vermeiden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angemessen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PPI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reduzieren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abzusetzen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. (zum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Beispiel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halbe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Dosis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1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Woche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jeden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zweiten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Tag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1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Woche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dann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Absetzen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>)</w:t>
      </w:r>
    </w:p>
    <w:p w14:paraId="482101C0" w14:textId="77777777" w:rsidR="00A0353C" w:rsidRPr="00A0353C" w:rsidRDefault="007A7469" w:rsidP="00A0353C">
      <w:pPr>
        <w:pStyle w:val="HTMLVorformatiert"/>
        <w:contextualSpacing/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AE15DA">
        <w:rPr>
          <w:rFonts w:asciiTheme="minorHAnsi" w:hAnsiTheme="minorHAnsi" w:cs="Times New Roman"/>
          <w:b/>
          <w:color w:val="000000"/>
          <w:sz w:val="22"/>
          <w:szCs w:val="22"/>
        </w:rPr>
        <w:lastRenderedPageBreak/>
        <w:t xml:space="preserve">C5.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Einnahme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PPI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ist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aufgrund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des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mehrfachen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Drogenkonsums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nicht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angemessen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(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kein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Nutzen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potenzieller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Schaden</w:t>
      </w:r>
      <w:proofErr w:type="spellEnd"/>
      <w:r w:rsidR="00A0353C" w:rsidRPr="00A0353C">
        <w:rPr>
          <w:rFonts w:asciiTheme="minorHAnsi" w:hAnsiTheme="minorHAnsi" w:cs="Times New Roman"/>
          <w:b/>
          <w:color w:val="000000"/>
          <w:sz w:val="22"/>
          <w:szCs w:val="22"/>
        </w:rPr>
        <w:t>)</w:t>
      </w:r>
    </w:p>
    <w:p w14:paraId="548A6A27" w14:textId="54F5CA61" w:rsidR="007A7469" w:rsidRPr="00AE15DA" w:rsidRDefault="00A0353C" w:rsidP="00A0353C">
      <w:pPr>
        <w:pStyle w:val="HTMLVorformatiert"/>
        <w:contextualSpacing/>
        <w:jc w:val="both"/>
        <w:rPr>
          <w:rFonts w:asciiTheme="minorHAnsi" w:hAnsiTheme="minorHAnsi" w:cs="Times New Roman"/>
          <w:i/>
          <w:color w:val="000000"/>
          <w:sz w:val="22"/>
          <w:szCs w:val="22"/>
        </w:rPr>
      </w:pPr>
      <w:r w:rsidRPr="00A0353C">
        <w:rPr>
          <w:rFonts w:asciiTheme="minorHAnsi" w:hAnsiTheme="minorHAnsi" w:cs="Times New Roman"/>
          <w:b/>
          <w:color w:val="000000"/>
          <w:sz w:val="22"/>
          <w:szCs w:val="22"/>
        </w:rPr>
        <w:t>*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Bei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den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Indikationen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für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den PPI-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Einsatz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gibt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es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keinen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Hinweis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auf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einen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„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mehrfachen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color w:val="000000"/>
          <w:sz w:val="22"/>
          <w:szCs w:val="22"/>
        </w:rPr>
        <w:t>Medikamenten</w:t>
      </w:r>
      <w:proofErr w:type="spellEnd"/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color w:val="000000"/>
          <w:sz w:val="22"/>
          <w:szCs w:val="22"/>
        </w:rPr>
        <w:t>K</w:t>
      </w:r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onsum</w:t>
      </w:r>
      <w:proofErr w:type="spellEnd"/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“</w:t>
      </w:r>
      <w:r>
        <w:rPr>
          <w:rFonts w:asciiTheme="minorHAnsi" w:hAnsiTheme="minorHAnsi" w:cs="Times New Roman"/>
          <w:bCs/>
          <w:color w:val="000000"/>
          <w:sz w:val="22"/>
          <w:szCs w:val="22"/>
        </w:rPr>
        <w:t>.</w:t>
      </w:r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Auf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der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anderen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Seite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ist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die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chronische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Einnahme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von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PPI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ein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Risikofaktor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für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chronisches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Nierenversagen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,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Frakturen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,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erhöhtes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Demenzrisiko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,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erhöhte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Häufigkeit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von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C.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difficile-Infektionen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, Vitamin B12-Mangel,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Hypomagnesiämie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,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Darminfektionen-bakterielle</w:t>
      </w:r>
      <w:proofErr w:type="spellEnd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 xml:space="preserve"> </w:t>
      </w:r>
      <w:proofErr w:type="spellStart"/>
      <w:r w:rsidRPr="00A0353C">
        <w:rPr>
          <w:rFonts w:asciiTheme="minorHAnsi" w:hAnsiTheme="minorHAnsi" w:cs="Times New Roman"/>
          <w:bCs/>
          <w:color w:val="000000"/>
          <w:sz w:val="22"/>
          <w:szCs w:val="22"/>
        </w:rPr>
        <w:t>Überwucherung</w:t>
      </w:r>
      <w:proofErr w:type="spellEnd"/>
      <w:r w:rsidR="00441B80" w:rsidRPr="00AE15DA">
        <w:rPr>
          <w:rFonts w:asciiTheme="minorHAnsi" w:hAnsiTheme="minorHAnsi" w:cs="Times New Roman"/>
          <w:i/>
          <w:color w:val="000000"/>
          <w:sz w:val="22"/>
          <w:szCs w:val="22"/>
        </w:rPr>
        <w:t>.</w:t>
      </w:r>
    </w:p>
    <w:p w14:paraId="0615883E" w14:textId="4BDA6DA7" w:rsidR="00A97094" w:rsidRPr="00AE15DA" w:rsidRDefault="007A746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C6.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Die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Anwendung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von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anticholinergen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gastrointestinalen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Antispasmodika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(z. B.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Hyoscyamin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)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ist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nicht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geeignet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A0353C">
        <w:rPr>
          <w:rFonts w:asciiTheme="minorHAnsi" w:hAnsiTheme="minorHAnsi"/>
          <w:b/>
          <w:sz w:val="22"/>
          <w:szCs w:val="22"/>
          <w:shd w:val="clear" w:color="auto" w:fill="FFFFFF"/>
        </w:rPr>
        <w:t>[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verstärkte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anticholinerge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Nebenwirkungen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bei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älteren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Menschen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(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Schläfrigkeit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verminderte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kognitive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Fähigkeiten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verschwommenes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Sehen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Arrhythmie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Blähungen-Obstipation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und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eingeschränkter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  <w:shd w:val="clear" w:color="auto" w:fill="FFFFFF"/>
        </w:rPr>
        <w:t>Nutzen</w:t>
      </w:r>
      <w:proofErr w:type="spellEnd"/>
      <w:r w:rsidR="00441B80" w:rsidRPr="00AE15DA">
        <w:rPr>
          <w:rFonts w:asciiTheme="minorHAnsi" w:hAnsiTheme="minorHAnsi"/>
          <w:b/>
          <w:sz w:val="22"/>
          <w:szCs w:val="22"/>
        </w:rPr>
        <w:sym w:font="Symbol" w:char="F05D"/>
      </w:r>
    </w:p>
    <w:p w14:paraId="17E256AA" w14:textId="77777777" w:rsidR="00A97094" w:rsidRPr="00AE15DA" w:rsidRDefault="00A97094" w:rsidP="0043334F">
      <w:pPr>
        <w:spacing w:before="100" w:beforeAutospacing="1" w:after="100" w:afterAutospacing="1"/>
        <w:contextualSpacing/>
        <w:rPr>
          <w:rFonts w:asciiTheme="minorHAnsi" w:hAnsiTheme="minorHAnsi"/>
          <w:b/>
          <w:sz w:val="22"/>
          <w:szCs w:val="22"/>
        </w:rPr>
      </w:pPr>
    </w:p>
    <w:p w14:paraId="61236F6E" w14:textId="5BBE760E" w:rsidR="007B6ECF" w:rsidRPr="00AE15DA" w:rsidRDefault="007A7469" w:rsidP="0043334F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C7.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Wenn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es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chronischer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Verstopfung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Alternativen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gibt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diese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Nebenwirkung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haben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Arzneimitteln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wahrscheinlich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Verstopfung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verursachen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Arzneimittel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hoher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anticholinerger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Wirkung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orales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Eisen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Opioide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Verapamil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Aluminiumantazida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vermehrter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Verstopfung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>).</w:t>
      </w:r>
    </w:p>
    <w:p w14:paraId="2776A73A" w14:textId="2FCD6D94" w:rsidR="00A97094" w:rsidRPr="00AE15DA" w:rsidRDefault="00316C80" w:rsidP="0043334F">
      <w:pPr>
        <w:spacing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A0353C" w:rsidRPr="00A0353C"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Andere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blutdrucksenkende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Calciumkanalblocker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als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Verapamil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ebenfalls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Verstopfung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verursachen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Dieser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Effekt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jedoch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Verapamil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bzw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Nifedipin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ausgeprägter</w:t>
      </w:r>
      <w:proofErr w:type="spellEnd"/>
      <w:r w:rsidRPr="00AE15DA">
        <w:rPr>
          <w:rFonts w:asciiTheme="minorHAnsi" w:hAnsiTheme="minorHAnsi"/>
          <w:i/>
          <w:sz w:val="22"/>
          <w:szCs w:val="22"/>
        </w:rPr>
        <w:t>.</w:t>
      </w:r>
    </w:p>
    <w:p w14:paraId="0DFA34DD" w14:textId="77777777" w:rsidR="0043334F" w:rsidRPr="00AE15DA" w:rsidRDefault="0043334F" w:rsidP="0043334F">
      <w:pPr>
        <w:spacing w:after="100" w:afterAutospacing="1"/>
        <w:contextualSpacing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D348053" w14:textId="33A85257" w:rsidR="007A7469" w:rsidRPr="00AE15DA" w:rsidRDefault="007A746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C8.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Metoclopramid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Trimethobenzamid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als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Erstlinie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antiemetischen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älteren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Menschen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aufgrund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extrapyramidaler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Nebenwirkungen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Nebenwirkungen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Ruhelosigkeit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).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522BCE69" w14:textId="3BE2DC0E" w:rsidR="005E391F" w:rsidRPr="00AE15DA" w:rsidRDefault="005E391F" w:rsidP="0043334F">
      <w:pPr>
        <w:shd w:val="clear" w:color="auto" w:fill="FFFFFF"/>
        <w:contextualSpacing/>
        <w:jc w:val="both"/>
        <w:textAlignment w:val="top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A0353C" w:rsidRPr="00A0353C"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Als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Antiemetika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Serotonin-5HT3-Rezeptor-Antagonisten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sichersten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Wirkstoffe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</w:p>
    <w:p w14:paraId="759A7F50" w14:textId="5FBD2312" w:rsidR="00316C80" w:rsidRPr="00AE15DA" w:rsidRDefault="00316C80" w:rsidP="0043334F">
      <w:pPr>
        <w:shd w:val="clear" w:color="auto" w:fill="FFFFFF"/>
        <w:contextualSpacing/>
        <w:jc w:val="both"/>
        <w:textAlignment w:val="top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A0353C" w:rsidRPr="00A0353C"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Metoclopramid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Trimethobenzamid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Parkinsonismus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i/>
          <w:sz w:val="22"/>
          <w:szCs w:val="22"/>
        </w:rPr>
        <w:t>kontraindiziert</w:t>
      </w:r>
      <w:proofErr w:type="spellEnd"/>
      <w:r w:rsidR="00A0353C" w:rsidRPr="00A0353C">
        <w:rPr>
          <w:rFonts w:asciiTheme="minorHAnsi" w:hAnsiTheme="minorHAnsi"/>
          <w:i/>
          <w:sz w:val="22"/>
          <w:szCs w:val="22"/>
        </w:rPr>
        <w:t>.</w:t>
      </w:r>
    </w:p>
    <w:p w14:paraId="19412B46" w14:textId="77777777" w:rsidR="00642443" w:rsidRPr="00AE15DA" w:rsidRDefault="00642443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425CCFB" w14:textId="45D86FD9" w:rsidR="007A7469" w:rsidRPr="00AE15DA" w:rsidRDefault="007A7469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C9.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Magnesiumpräparaten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als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Abführ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Antazida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Patienten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GFR &lt; 30 ml/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min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/1,73 m2 (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Risiko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Hypermagnesiämie</w:t>
      </w:r>
      <w:proofErr w:type="spellEnd"/>
      <w:r w:rsidR="00A0353C" w:rsidRPr="00A0353C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</w:p>
    <w:p w14:paraId="31921F57" w14:textId="0F4EDFFD" w:rsidR="00642443" w:rsidRPr="00AE15DA" w:rsidRDefault="007A7469" w:rsidP="0043334F">
      <w:pPr>
        <w:spacing w:before="100" w:beforeAutospacing="1" w:after="100" w:afterAutospacing="1"/>
        <w:contextualSpacing/>
        <w:jc w:val="both"/>
        <w:rPr>
          <w:rFonts w:asciiTheme="minorHAnsi" w:eastAsiaTheme="majorEastAsia" w:hAnsiTheme="minorHAnsi" w:cstheme="minorHAnsi"/>
          <w:i/>
          <w:color w:val="000000"/>
          <w:sz w:val="22"/>
          <w:szCs w:val="22"/>
        </w:rPr>
      </w:pPr>
      <w:r w:rsidRPr="00AE15DA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 xml:space="preserve"> </w:t>
      </w:r>
    </w:p>
    <w:p w14:paraId="4DC92B0C" w14:textId="4E6DB07E" w:rsidR="004816D3" w:rsidRPr="00AE15DA" w:rsidRDefault="00642443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8"/>
          <w:szCs w:val="28"/>
        </w:rPr>
        <w:t xml:space="preserve">D: </w:t>
      </w:r>
      <w:proofErr w:type="spellStart"/>
      <w:r w:rsidR="00A0353C" w:rsidRPr="00A0353C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A0353C" w:rsidRPr="00A035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A0353C" w:rsidRPr="00A035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8"/>
          <w:szCs w:val="28"/>
        </w:rPr>
        <w:t>Atmungssystems</w:t>
      </w:r>
      <w:proofErr w:type="spellEnd"/>
      <w:r w:rsidRPr="00AE15DA">
        <w:rPr>
          <w:rFonts w:asciiTheme="minorHAnsi" w:hAnsiTheme="minorHAnsi"/>
          <w:b/>
          <w:sz w:val="28"/>
          <w:szCs w:val="28"/>
        </w:rPr>
        <w:t>.</w:t>
      </w:r>
    </w:p>
    <w:p w14:paraId="170BE77F" w14:textId="77777777" w:rsidR="00A97094" w:rsidRPr="00AE15DA" w:rsidRDefault="00A97094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EBCBB85" w14:textId="1A3505BA" w:rsidR="00112690" w:rsidRPr="00AE15DA" w:rsidRDefault="0096255B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D1</w:t>
      </w:r>
      <w:r w:rsidR="004816D3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antimuskarinischen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Bronchodilatatoren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Ipratropium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Tiotropium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Engwinkelglaukom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Harnabflussobstruktion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Verschlechterung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Glaukoms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Harnverhalts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353C" w:rsidRPr="00A0353C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A0353C" w:rsidRPr="00A0353C">
        <w:rPr>
          <w:rFonts w:asciiTheme="minorHAnsi" w:hAnsiTheme="minorHAnsi"/>
          <w:b/>
          <w:sz w:val="22"/>
          <w:szCs w:val="22"/>
        </w:rPr>
        <w:t>.</w:t>
      </w:r>
      <w:r w:rsidR="00112690"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6972A29F" w14:textId="4395990F" w:rsidR="00B46CF1" w:rsidRPr="00AE15DA" w:rsidRDefault="00B46CF1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Cs/>
          <w:i/>
          <w:color w:val="000000" w:themeColor="text1"/>
          <w:sz w:val="22"/>
          <w:szCs w:val="22"/>
        </w:rPr>
        <w:t>*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Obstruktive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LUTS-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Symptome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(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Symptome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der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unteren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Harnwege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),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eine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benigne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Prostatahyperplasie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begleiten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sind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älteren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Männern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häufig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.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In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Fällen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mit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leichten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obstruktiven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Symptomen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kann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der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Arzt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antimuskarinische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Bronchodilatatoren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mit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engmaschiger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klinischer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Nachsorge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verwenden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.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In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Bezug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auf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Nebenwirkungen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des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Harnverhalts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sind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Fälle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mit PMR &gt;150 ml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besonders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riskant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. (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geeignet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für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den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Einsatz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in </w:t>
      </w:r>
      <w:proofErr w:type="spellStart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>Fällen</w:t>
      </w:r>
      <w:proofErr w:type="spellEnd"/>
      <w:r w:rsidR="00643200" w:rsidRPr="00643200">
        <w:rPr>
          <w:rFonts w:asciiTheme="minorHAnsi" w:hAnsiTheme="minorHAnsi"/>
          <w:bCs/>
          <w:i/>
          <w:color w:val="000000" w:themeColor="text1"/>
          <w:sz w:val="22"/>
          <w:szCs w:val="22"/>
        </w:rPr>
        <w:t xml:space="preserve"> mit &gt;150 ml</w:t>
      </w:r>
      <w:r w:rsidRPr="00AE15DA">
        <w:rPr>
          <w:rFonts w:asciiTheme="minorHAnsi" w:hAnsiTheme="minorHAnsi"/>
          <w:bCs/>
          <w:i/>
          <w:color w:val="000000" w:themeColor="text1"/>
          <w:sz w:val="22"/>
          <w:szCs w:val="22"/>
        </w:rPr>
        <w:t>)</w:t>
      </w:r>
    </w:p>
    <w:p w14:paraId="5AA263E7" w14:textId="77777777" w:rsidR="00A97094" w:rsidRPr="00AE15DA" w:rsidRDefault="00A97094" w:rsidP="0043334F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2DF858A" w14:textId="19B136DD" w:rsidR="00112690" w:rsidRPr="00AE15DA" w:rsidRDefault="00112690" w:rsidP="0043334F">
      <w:pPr>
        <w:contextualSpacing/>
        <w:rPr>
          <w:rFonts w:asciiTheme="minorHAnsi" w:hAnsiTheme="minorHAnsi" w:cstheme="minorHAnsi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D2.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Theophyllin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Erhaltungstherapie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COPD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Asthma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bronchiale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aufgrund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geringen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therapeutischen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Breite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des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hohen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Risikos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Schlaflosigkeit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Herzrhythmusstörungen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älteren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Menschen</w:t>
      </w:r>
      <w:proofErr w:type="spellEnd"/>
      <w:r w:rsidR="00643200" w:rsidRPr="00643200">
        <w:rPr>
          <w:rFonts w:asciiTheme="minorHAnsi" w:hAnsiTheme="minorHAnsi"/>
          <w:b/>
          <w:color w:val="000000"/>
          <w:sz w:val="22"/>
          <w:szCs w:val="22"/>
        </w:rPr>
        <w:t>).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182C41F5" w14:textId="77777777" w:rsidR="007B4B4E" w:rsidRPr="00AE15DA" w:rsidRDefault="007B4B4E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EB09F3" w14:textId="6049FB12" w:rsidR="00112690" w:rsidRPr="00AE15DA" w:rsidRDefault="00112690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D3.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Systemische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Kortikosteroide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im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Gegensatz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inhalativen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Kortikosteroiden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Erhaltungstherapie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mittelschwerer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bis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schwerer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COPD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lange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unnötige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Exposition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gegenüber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systemischen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Kortikosteroiden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;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wirksame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inhalative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Therapien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verfügbar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>)</w:t>
      </w:r>
    </w:p>
    <w:p w14:paraId="6513243B" w14:textId="77777777" w:rsidR="00364C7E" w:rsidRPr="00AE15DA" w:rsidRDefault="00364C7E" w:rsidP="0043334F">
      <w:pPr>
        <w:contextualSpacing/>
        <w:jc w:val="both"/>
        <w:rPr>
          <w:rFonts w:asciiTheme="minorHAnsi" w:hAnsiTheme="minorHAnsi"/>
          <w:b/>
          <w:i/>
          <w:color w:val="4472C4" w:themeColor="accent5"/>
          <w:sz w:val="22"/>
          <w:szCs w:val="22"/>
          <w:u w:val="single"/>
        </w:rPr>
      </w:pPr>
    </w:p>
    <w:p w14:paraId="2A61E32C" w14:textId="4E09D62B" w:rsidR="004816D3" w:rsidRPr="00AE15DA" w:rsidRDefault="00642443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8"/>
          <w:szCs w:val="28"/>
        </w:rPr>
        <w:t>E</w:t>
      </w:r>
      <w:r w:rsidR="00B125CB" w:rsidRPr="00AE15DA">
        <w:rPr>
          <w:rFonts w:asciiTheme="minorHAnsi" w:hAnsiTheme="minorHAnsi"/>
          <w:b/>
          <w:sz w:val="28"/>
          <w:szCs w:val="28"/>
        </w:rPr>
        <w:t>:</w:t>
      </w:r>
      <w:r w:rsidRPr="00AE15DA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8"/>
          <w:szCs w:val="28"/>
        </w:rPr>
        <w:t>Muskel-Skelett-Kriterien</w:t>
      </w:r>
      <w:proofErr w:type="spellEnd"/>
      <w:r w:rsidR="00643200" w:rsidRPr="0064320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8"/>
          <w:szCs w:val="28"/>
        </w:rPr>
        <w:t>und</w:t>
      </w:r>
      <w:proofErr w:type="spellEnd"/>
      <w:r w:rsidR="00643200" w:rsidRPr="00643200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8"/>
          <w:szCs w:val="28"/>
        </w:rPr>
        <w:t>Analgetika</w:t>
      </w:r>
      <w:proofErr w:type="spellEnd"/>
      <w:r w:rsidRPr="00AE15DA">
        <w:rPr>
          <w:rFonts w:asciiTheme="minorHAnsi" w:hAnsiTheme="minorHAnsi"/>
          <w:b/>
          <w:sz w:val="28"/>
          <w:szCs w:val="28"/>
        </w:rPr>
        <w:t>.</w:t>
      </w:r>
    </w:p>
    <w:p w14:paraId="10D7C6E0" w14:textId="77777777" w:rsidR="00A97094" w:rsidRPr="00AE15DA" w:rsidRDefault="00A97094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14:paraId="40F53313" w14:textId="683B2DDB" w:rsidR="004816D3" w:rsidRPr="00AE15DA" w:rsidRDefault="004816D3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E1. </w:t>
      </w:r>
      <w:r w:rsidR="00643200" w:rsidRPr="00643200">
        <w:rPr>
          <w:rFonts w:asciiTheme="minorHAnsi" w:hAnsiTheme="minorHAnsi"/>
          <w:b/>
          <w:sz w:val="22"/>
          <w:szCs w:val="22"/>
        </w:rPr>
        <w:t xml:space="preserve">Es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NSAIDs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länger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als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3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Monate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643200">
        <w:rPr>
          <w:rFonts w:asciiTheme="minorHAnsi" w:hAnsiTheme="minorHAnsi"/>
          <w:b/>
          <w:sz w:val="22"/>
          <w:szCs w:val="22"/>
        </w:rPr>
        <w:t>während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alternativen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verwenden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>.</w:t>
      </w:r>
    </w:p>
    <w:p w14:paraId="19B5467B" w14:textId="1CF2DFA0" w:rsidR="00994461" w:rsidRPr="00AE15DA" w:rsidRDefault="004816D3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</w:rPr>
        <w:lastRenderedPageBreak/>
        <w:t>*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Arthrose-Schmerzen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einfachen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Schmerzen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Bewegungsapparat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Kopfschmerzen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usw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.)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zuerst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Paracetamol-Behandlung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erfolgen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Kombination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aus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Paracetamol-Behandlung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Metamizol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niedrig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dosiertem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Codein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>/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Tramadol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erwogen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>)</w:t>
      </w:r>
    </w:p>
    <w:p w14:paraId="5A5DA9B5" w14:textId="38685192" w:rsidR="004D50E2" w:rsidRPr="00AE15DA" w:rsidRDefault="00AE67BB" w:rsidP="0043334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C20BAB" w:rsidRPr="00C20BAB"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Fälle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in denen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NSAIDs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hinsichtlich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Nebenwirkungen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Nephropathie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HT,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Herzinsuffizienz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kardiovaskuläres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Ereignis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genau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beobachtet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sz w:val="22"/>
          <w:szCs w:val="22"/>
        </w:rPr>
        <w:t xml:space="preserve"> </w:t>
      </w:r>
    </w:p>
    <w:p w14:paraId="56447A77" w14:textId="3EF3A35E" w:rsidR="00AE67BB" w:rsidRPr="00AE15DA" w:rsidRDefault="00AE67BB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</w:rPr>
        <w:t>*</w:t>
      </w:r>
      <w:r w:rsidR="00C20BAB" w:rsidRPr="00C20BAB"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Indometacin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NSAR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bevorzugt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mehr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ZNS-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andere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systemische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Nebenwirkungen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im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Vergleich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anderen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NSAIDs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>).</w:t>
      </w:r>
    </w:p>
    <w:p w14:paraId="1C1B0EC9" w14:textId="124255C7" w:rsidR="002544BF" w:rsidRPr="00AE15DA" w:rsidRDefault="004D36A2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C20BAB" w:rsidRPr="00C20BAB"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In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in denen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chronische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NSAID-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erforderlich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zusätzlich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zu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NSAIDs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PPI/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Misoprostol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>.</w:t>
      </w:r>
      <w:r w:rsidR="004816D3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10B06ED0" w14:textId="77777777" w:rsidR="00B40EEF" w:rsidRPr="00AE15DA" w:rsidRDefault="00B40EEF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55B576" w14:textId="399D6743" w:rsidR="004816D3" w:rsidRPr="00AE15DA" w:rsidRDefault="004816D3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E2.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NSAIDs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GFR &lt; 50 ml/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>/1,73 m2 (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Verschlechterung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Nierenfunktion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39CA5F14" w14:textId="77777777" w:rsidR="00642443" w:rsidRPr="00AE15DA" w:rsidRDefault="00642443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3AE5CA2" w14:textId="11373AA7" w:rsidR="00642443" w:rsidRPr="00AE15DA" w:rsidRDefault="0096255B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E3</w:t>
      </w:r>
      <w:r w:rsidR="00DA3647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systemischen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Steroiden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Osteoarthritis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Gefahr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systemischen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Kortikosteroiden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>).</w:t>
      </w:r>
      <w:r w:rsidR="00DA3647"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0E4837F8" w14:textId="77777777" w:rsidR="00642443" w:rsidRPr="00AE15DA" w:rsidRDefault="00642443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397CB16" w14:textId="165A0733" w:rsidR="0036490F" w:rsidRPr="00AE15DA" w:rsidRDefault="0096255B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E4</w:t>
      </w:r>
      <w:r w:rsidR="004816D3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Kortikosteroid-Monotherapie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über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mehr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als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3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Monate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rheumatoider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Arthritis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Gefahr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systemischen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Kortikosteroiden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>).</w:t>
      </w:r>
      <w:r w:rsidR="0036490F"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76B59279" w14:textId="77777777" w:rsidR="00B40EEF" w:rsidRPr="00AE15DA" w:rsidRDefault="00B40EEF" w:rsidP="0043334F">
      <w:pPr>
        <w:contextualSpacing/>
        <w:rPr>
          <w:rFonts w:asciiTheme="minorHAnsi" w:hAnsiTheme="minorHAnsi"/>
          <w:sz w:val="22"/>
          <w:szCs w:val="22"/>
        </w:rPr>
      </w:pPr>
    </w:p>
    <w:p w14:paraId="6EEAEC64" w14:textId="308D5000" w:rsidR="00884CE4" w:rsidRPr="00AE15DA" w:rsidRDefault="00DA3647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E5.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Xanthinoxidase-Inhibitoren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zur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chronischen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(z. B. in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Situationen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, in denen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Allopurinol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Febuxostat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kontraindiziert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langfristige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NSAIDs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Colchicin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Xanthinoxidase-Inhibitoren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zur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Prophylaxe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sind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Medikamente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ersten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Wahl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).</w:t>
      </w:r>
    </w:p>
    <w:p w14:paraId="457B9B4F" w14:textId="77777777" w:rsidR="00642443" w:rsidRPr="00AE15DA" w:rsidRDefault="00642443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201FD97" w14:textId="047FA13C" w:rsidR="00DA3647" w:rsidRPr="00AE15DA" w:rsidRDefault="0096255B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E6</w:t>
      </w:r>
      <w:r w:rsidR="00DA3647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Colchicin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mit GFR&lt; 10 ml/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/1,73m2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Toxizität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Colchicin</w:t>
      </w:r>
      <w:proofErr w:type="spellEnd"/>
      <w:r w:rsidR="00DA3647" w:rsidRPr="00AE15DA">
        <w:rPr>
          <w:rFonts w:asciiTheme="minorHAnsi" w:hAnsiTheme="minorHAnsi"/>
          <w:b/>
          <w:sz w:val="22"/>
          <w:szCs w:val="22"/>
        </w:rPr>
        <w:t xml:space="preserve">)  </w:t>
      </w:r>
    </w:p>
    <w:p w14:paraId="515E29BA" w14:textId="77777777" w:rsidR="00B40EEF" w:rsidRPr="00AE15DA" w:rsidRDefault="00B40EEF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473A1DC" w14:textId="612331AD" w:rsidR="00EE6325" w:rsidRPr="00AE15DA" w:rsidRDefault="00994461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E</w:t>
      </w:r>
      <w:r w:rsidR="004D36A2" w:rsidRPr="00AE15DA">
        <w:rPr>
          <w:rFonts w:asciiTheme="minorHAnsi" w:hAnsiTheme="minorHAnsi"/>
          <w:b/>
          <w:sz w:val="22"/>
          <w:szCs w:val="22"/>
        </w:rPr>
        <w:t>7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Methotrexat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GFR &lt; 30 ml/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/1,73 m2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>.</w:t>
      </w:r>
    </w:p>
    <w:p w14:paraId="03152DDF" w14:textId="77777777" w:rsidR="00D536CC" w:rsidRPr="00AE15DA" w:rsidRDefault="00D536CC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08B541E" w14:textId="50F2F07A" w:rsidR="004816D3" w:rsidRPr="00AE15DA" w:rsidRDefault="004816D3" w:rsidP="0043334F">
      <w:pPr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E</w:t>
      </w:r>
      <w:r w:rsidR="004D36A2" w:rsidRPr="00AE15DA">
        <w:rPr>
          <w:rFonts w:asciiTheme="minorHAnsi" w:hAnsiTheme="minorHAnsi"/>
          <w:b/>
          <w:color w:val="000000"/>
          <w:sz w:val="22"/>
          <w:szCs w:val="22"/>
        </w:rPr>
        <w:t>8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meperidin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zur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Schmerzen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erhöhte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Neurotoxizität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im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Vergleich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anderen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Opioiden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Risiko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Delirium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;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Sie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haben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zuverlässigere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Alternativen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Besonders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Nierenversagen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seine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riskant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).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14:paraId="5AB5AF58" w14:textId="77777777" w:rsidR="00071CA0" w:rsidRPr="00AE15DA" w:rsidRDefault="00071CA0" w:rsidP="0043334F">
      <w:pPr>
        <w:pStyle w:val="HTMLVorformatier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3F79E7" w14:textId="77777777" w:rsidR="00EA5F54" w:rsidRPr="00EA5F54" w:rsidRDefault="00991613" w:rsidP="00EA5F54">
      <w:pPr>
        <w:pStyle w:val="HTMLVorformatiert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E</w:t>
      </w:r>
      <w:r w:rsidR="004D36A2" w:rsidRPr="00AE15DA">
        <w:rPr>
          <w:rFonts w:asciiTheme="minorHAnsi" w:hAnsiTheme="minorHAnsi"/>
          <w:b/>
          <w:color w:val="000000"/>
          <w:sz w:val="22"/>
          <w:szCs w:val="22"/>
        </w:rPr>
        <w:t>9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Tramadol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verlängerter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Freisetzung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Patienten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mit GFR&lt; 30 ml/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min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/1,7 m2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</w:p>
    <w:p w14:paraId="3C57C84E" w14:textId="0F3463EB" w:rsidR="00642443" w:rsidRPr="00AE15DA" w:rsidRDefault="00EA5F54" w:rsidP="00EA5F54">
      <w:pPr>
        <w:pStyle w:val="HTMLVorformatiert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EA5F54">
        <w:rPr>
          <w:rFonts w:asciiTheme="minorHAnsi" w:hAnsiTheme="minorHAnsi"/>
          <w:b/>
          <w:color w:val="000000"/>
          <w:sz w:val="22"/>
          <w:szCs w:val="22"/>
        </w:rPr>
        <w:t xml:space="preserve">*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Dosisreduktion</w:t>
      </w:r>
      <w:proofErr w:type="spellEnd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sollte</w:t>
      </w:r>
      <w:proofErr w:type="spellEnd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für</w:t>
      </w:r>
      <w:proofErr w:type="spellEnd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schnell</w:t>
      </w:r>
      <w:proofErr w:type="spellEnd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freisetzendes</w:t>
      </w:r>
      <w:proofErr w:type="spellEnd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tramadol</w:t>
      </w:r>
      <w:proofErr w:type="spellEnd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durchgeführt</w:t>
      </w:r>
      <w:proofErr w:type="spellEnd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EA5F54">
        <w:rPr>
          <w:rFonts w:asciiTheme="minorHAnsi" w:hAnsiTheme="minorHAnsi"/>
          <w:bCs/>
          <w:i/>
          <w:iCs/>
          <w:color w:val="000000"/>
          <w:sz w:val="22"/>
          <w:szCs w:val="22"/>
        </w:rPr>
        <w:t>werden</w:t>
      </w:r>
      <w:proofErr w:type="spellEnd"/>
      <w:r w:rsidR="0086661D" w:rsidRPr="00AE15DA">
        <w:rPr>
          <w:rFonts w:asciiTheme="minorHAnsi" w:hAnsiTheme="minorHAnsi"/>
          <w:i/>
          <w:sz w:val="22"/>
          <w:szCs w:val="22"/>
        </w:rPr>
        <w:t>.</w:t>
      </w:r>
    </w:p>
    <w:p w14:paraId="5664E1D8" w14:textId="6977C123" w:rsidR="00991613" w:rsidRPr="00AE15DA" w:rsidRDefault="0096255B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E</w:t>
      </w:r>
      <w:r w:rsidR="004D36A2" w:rsidRPr="00AE15DA">
        <w:rPr>
          <w:rFonts w:asciiTheme="minorHAnsi" w:hAnsiTheme="minorHAnsi"/>
          <w:b/>
          <w:color w:val="000000"/>
          <w:sz w:val="22"/>
          <w:szCs w:val="22"/>
        </w:rPr>
        <w:t>10</w:t>
      </w:r>
      <w:r w:rsidR="00991613"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gleichzeitige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Opioiden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chronischer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ohne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Abführmittel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Risiko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schweren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Verstopfung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)</w:t>
      </w:r>
      <w:r w:rsidR="00991613"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68F1A1CA" w14:textId="77777777" w:rsidR="00071CA0" w:rsidRPr="00AE15DA" w:rsidRDefault="00071CA0" w:rsidP="0043334F">
      <w:pPr>
        <w:contextualSpacing/>
        <w:rPr>
          <w:rFonts w:asciiTheme="minorHAnsi" w:hAnsiTheme="minorHAnsi"/>
          <w:b/>
          <w:sz w:val="22"/>
          <w:szCs w:val="22"/>
        </w:rPr>
      </w:pPr>
    </w:p>
    <w:p w14:paraId="4C2FA2E0" w14:textId="0C360276" w:rsidR="001633D3" w:rsidRPr="00AE15DA" w:rsidRDefault="0096255B" w:rsidP="0043334F">
      <w:pPr>
        <w:contextualSpacing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E1</w:t>
      </w:r>
      <w:r w:rsidR="004D36A2" w:rsidRPr="00AE15DA">
        <w:rPr>
          <w:rFonts w:asciiTheme="minorHAnsi" w:hAnsiTheme="minorHAnsi"/>
          <w:b/>
          <w:sz w:val="22"/>
          <w:szCs w:val="22"/>
        </w:rPr>
        <w:t>1</w:t>
      </w:r>
      <w:r w:rsidR="004816D3"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Systemische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Muskelrelaxantien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Skelettmuskel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Mittel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Muskel-Skelett-Schmerzen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thiocolchicosid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tizanidin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chlorzoxazone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Carisoprodol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chlorphenesincarbamat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Cyclobenzaprin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metaxalon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metocarbamol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orfenadrin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...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etc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.)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ungeeignet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verwenden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Sedierung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Schwindel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Schwindel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trockener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Mund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Verstopfung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aufgrund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kognitiver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EA5F54" w:rsidRPr="00EA5F54">
        <w:rPr>
          <w:rFonts w:asciiTheme="minorHAnsi" w:hAnsiTheme="minorHAnsi"/>
          <w:b/>
          <w:sz w:val="22"/>
          <w:szCs w:val="22"/>
        </w:rPr>
        <w:t>)</w:t>
      </w:r>
      <w:r w:rsidR="004816D3" w:rsidRPr="00AE15DA">
        <w:rPr>
          <w:rFonts w:asciiTheme="minorHAnsi" w:hAnsiTheme="minorHAnsi"/>
          <w:b/>
          <w:sz w:val="22"/>
          <w:szCs w:val="22"/>
        </w:rPr>
        <w:t xml:space="preserve">  </w:t>
      </w:r>
    </w:p>
    <w:p w14:paraId="5A883EEB" w14:textId="4DD8D80E" w:rsidR="00071CA0" w:rsidRPr="00AE15DA" w:rsidRDefault="005E45E4" w:rsidP="0043334F">
      <w:pPr>
        <w:spacing w:after="100" w:afterAutospacing="1"/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color w:val="000000" w:themeColor="text1"/>
          <w:sz w:val="22"/>
          <w:szCs w:val="22"/>
        </w:rPr>
        <w:t>*</w:t>
      </w:r>
      <w:r w:rsidR="00EA5F54" w:rsidRPr="00EA5F54"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Das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Risiko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einer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Hypotonie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mit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Tizanidin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ebenfalls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sehr</w:t>
      </w:r>
      <w:proofErr w:type="spellEnd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color w:val="000000" w:themeColor="text1"/>
          <w:sz w:val="22"/>
          <w:szCs w:val="22"/>
        </w:rPr>
        <w:t>ausgeprägt</w:t>
      </w:r>
      <w:proofErr w:type="spellEnd"/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22226DA5" w14:textId="77777777" w:rsidR="00071CA0" w:rsidRPr="00AE15DA" w:rsidRDefault="00071CA0" w:rsidP="0043334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C85880" w14:textId="6EB58D09" w:rsidR="00415CD8" w:rsidRPr="00AE15DA" w:rsidRDefault="00C6392A" w:rsidP="0043334F">
      <w:pPr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415CD8" w:rsidRPr="00AE15DA">
        <w:rPr>
          <w:rFonts w:asciiTheme="minorHAnsi" w:hAnsiTheme="minorHAnsi"/>
          <w:b/>
          <w:color w:val="000000"/>
          <w:sz w:val="22"/>
          <w:szCs w:val="22"/>
        </w:rPr>
        <w:t>E1</w:t>
      </w:r>
      <w:r w:rsidR="004D36A2" w:rsidRPr="00AE15DA">
        <w:rPr>
          <w:rFonts w:asciiTheme="minorHAnsi" w:hAnsiTheme="minorHAnsi"/>
          <w:b/>
          <w:color w:val="000000"/>
          <w:sz w:val="22"/>
          <w:szCs w:val="22"/>
        </w:rPr>
        <w:t>2</w:t>
      </w:r>
      <w:r w:rsidR="00415CD8"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Tizanidin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ile hipotansiyon riski de çok belirgindir</w:t>
      </w:r>
      <w:r w:rsidR="00EA5F54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</w:p>
    <w:p w14:paraId="2A8A4847" w14:textId="77777777" w:rsidR="00CE7E93" w:rsidRPr="00AE15DA" w:rsidRDefault="00CE7E93" w:rsidP="0043334F">
      <w:pPr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160397D9" w14:textId="4ECD1BDA" w:rsidR="00415CD8" w:rsidRPr="00AE15DA" w:rsidRDefault="00415CD8" w:rsidP="0043334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E1</w:t>
      </w:r>
      <w:r w:rsidR="004D36A2" w:rsidRPr="00AE15DA">
        <w:rPr>
          <w:rFonts w:asciiTheme="minorHAnsi" w:hAnsiTheme="minorHAnsi"/>
          <w:b/>
          <w:color w:val="000000"/>
          <w:sz w:val="22"/>
          <w:szCs w:val="22"/>
        </w:rPr>
        <w:t>3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der Vitamin-D-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Erhaltungstherapie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konventionelle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Vitamin D in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intermittierenden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hohen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Dosis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(300.000 IE)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erhöhtes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Sturzrisiko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Mangel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an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zusätzlichem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Nutzen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 xml:space="preserve"> den </w:t>
      </w:r>
      <w:proofErr w:type="spellStart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Bewegungsapparat</w:t>
      </w:r>
      <w:proofErr w:type="spellEnd"/>
      <w:r w:rsidR="00EA5F54" w:rsidRPr="00EA5F54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>)</w:t>
      </w:r>
    </w:p>
    <w:p w14:paraId="22E52152" w14:textId="1B3EDA68" w:rsidR="00C139FE" w:rsidRPr="00AE15DA" w:rsidRDefault="00415CD8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A90924" w:rsidRPr="00AE15DA">
        <w:rPr>
          <w:rFonts w:asciiTheme="minorHAnsi" w:hAnsiTheme="minorHAnsi"/>
          <w:i/>
          <w:sz w:val="22"/>
          <w:szCs w:val="22"/>
        </w:rPr>
        <w:t>“</w:t>
      </w:r>
      <w:r w:rsidR="00EA5F54" w:rsidRPr="00EA5F54"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Negative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Ergebnisse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hochdosiertem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konventionellem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Vitamin D in der "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Erhaltungstherapie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"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wurden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gezeigt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>.</w:t>
      </w:r>
      <w:r w:rsidR="00A90924"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4B3C1730" w14:textId="4F02ED15" w:rsidR="00C139FE" w:rsidRPr="00AE15DA" w:rsidRDefault="003115C2" w:rsidP="0043334F">
      <w:pPr>
        <w:spacing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lastRenderedPageBreak/>
        <w:t>*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Unerwünschte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Ergebnisse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im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Zusammenhang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hochdosiertem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konventionellem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Vitamin D,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das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in der „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Ersatz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>“-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Therapie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verwendet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wurden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berichtet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Aufgrund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Prinzips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„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Langsam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beginnen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geringem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Anstieg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“,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das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beim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Drogenkonsum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Menschen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allgemein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gültig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jedoch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sinnvoll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sein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eine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„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Ersatz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>“-Vitamin-D-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Therapie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schrittweise</w:t>
      </w:r>
      <w:proofErr w:type="spellEnd"/>
      <w:r w:rsidR="00EA5F54" w:rsidRPr="00EA5F5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A5F54" w:rsidRPr="00EA5F54">
        <w:rPr>
          <w:rFonts w:asciiTheme="minorHAnsi" w:hAnsiTheme="minorHAnsi"/>
          <w:i/>
          <w:sz w:val="22"/>
          <w:szCs w:val="22"/>
        </w:rPr>
        <w:t>durchzuführen</w:t>
      </w:r>
      <w:proofErr w:type="spellEnd"/>
      <w:r w:rsidR="00415CD8" w:rsidRPr="00AE15DA">
        <w:rPr>
          <w:rFonts w:asciiTheme="minorHAnsi" w:hAnsiTheme="minorHAnsi"/>
          <w:i/>
          <w:sz w:val="22"/>
          <w:szCs w:val="22"/>
        </w:rPr>
        <w:t xml:space="preserve">. </w:t>
      </w:r>
    </w:p>
    <w:p w14:paraId="4FDDA49D" w14:textId="274C7AF7" w:rsidR="00994461" w:rsidRPr="00AE15DA" w:rsidRDefault="00994461" w:rsidP="0043334F">
      <w:pPr>
        <w:pStyle w:val="HTMLVorformatiert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E15D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E1</w:t>
      </w:r>
      <w:r w:rsidR="004D36A2" w:rsidRPr="00AE15D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4</w:t>
      </w:r>
      <w:r w:rsidR="00AD6BB0" w:rsidRPr="00AE15D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</w:t>
      </w:r>
      <w:r w:rsidRPr="00AE15D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Bei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Vorliegen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einer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Hyperphosphatämie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und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/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oder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Hyperkalzämie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ist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die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Anwendung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von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aktivem (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Calcitriol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) (1-25(OH)2Cholecalciferol)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oder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konventionellem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(25(OH)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Cholecalciferol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) Vitamin D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nicht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angebracht</w:t>
      </w:r>
      <w:proofErr w:type="spellEnd"/>
      <w:r w:rsidR="00B17004" w:rsidRPr="00B17004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.</w:t>
      </w:r>
    </w:p>
    <w:p w14:paraId="16BFAC88" w14:textId="77777777" w:rsidR="007C70E3" w:rsidRPr="00AE15DA" w:rsidRDefault="007C70E3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24A9B5F" w14:textId="336CF540" w:rsidR="007C09E9" w:rsidRPr="00AE15DA" w:rsidRDefault="00415CD8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E1</w:t>
      </w:r>
      <w:r w:rsidR="004D36A2" w:rsidRPr="00AE15DA">
        <w:rPr>
          <w:rFonts w:asciiTheme="minorHAnsi" w:hAnsiTheme="minorHAnsi"/>
          <w:b/>
          <w:sz w:val="22"/>
          <w:szCs w:val="22"/>
        </w:rPr>
        <w:t>5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orale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Bisphosphonat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Erkrankung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des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oberen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Gastrointestinaltrakts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(z. B.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Dysphagie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Ösophagitis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Magengeschwür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Blutung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im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oberen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Gastrointestinaltrakt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GER,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durch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kontrolliert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werden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kann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körperlich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in der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Lage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aufrecht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stehen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Ösophagitis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Ösophagus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-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Geschwür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Ösophagusstrebe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Rückfall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Rückfall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/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Exazerbation</w:t>
      </w:r>
      <w:proofErr w:type="spellEnd"/>
      <w:r w:rsidR="00C2436C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B17004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13376DAC" w14:textId="2AF4A592" w:rsidR="00F11DEE" w:rsidRPr="00AE15DA" w:rsidRDefault="00F11DEE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B17004" w:rsidRPr="00B17004">
        <w:t xml:space="preserve"> </w:t>
      </w:r>
      <w:r w:rsidR="00B17004" w:rsidRPr="00B17004">
        <w:rPr>
          <w:rFonts w:asciiTheme="minorHAnsi" w:hAnsiTheme="minorHAnsi"/>
          <w:i/>
          <w:sz w:val="22"/>
          <w:szCs w:val="22"/>
        </w:rPr>
        <w:t xml:space="preserve">Orale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Bisphosphonate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gut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kontrolliertem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GER mit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Vorsicht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>.</w:t>
      </w:r>
    </w:p>
    <w:p w14:paraId="2C264C4F" w14:textId="77777777" w:rsidR="00364C7E" w:rsidRPr="00AE15DA" w:rsidRDefault="00364C7E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44A3B3B" w14:textId="271A1A3F" w:rsidR="00F11DEE" w:rsidRPr="00AE15DA" w:rsidRDefault="00415CD8" w:rsidP="0043334F">
      <w:pPr>
        <w:contextualSpacing/>
        <w:jc w:val="both"/>
        <w:rPr>
          <w:rFonts w:asciiTheme="minorHAnsi" w:hAnsiTheme="minorHAnsi"/>
          <w:color w:val="000000"/>
          <w:sz w:val="22"/>
          <w:szCs w:val="22"/>
          <w:vertAlign w:val="superscript"/>
        </w:rPr>
      </w:pPr>
      <w:r w:rsidRPr="00AE15DA">
        <w:rPr>
          <w:rFonts w:asciiTheme="minorHAnsi" w:hAnsiTheme="minorHAnsi"/>
          <w:b/>
          <w:sz w:val="22"/>
          <w:szCs w:val="22"/>
        </w:rPr>
        <w:t>E1</w:t>
      </w:r>
      <w:r w:rsidR="004D36A2" w:rsidRPr="00AE15DA">
        <w:rPr>
          <w:rFonts w:asciiTheme="minorHAnsi" w:hAnsiTheme="minorHAnsi"/>
          <w:b/>
          <w:sz w:val="22"/>
          <w:szCs w:val="22"/>
        </w:rPr>
        <w:t>6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Bisphosphonate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GFR </w:t>
      </w:r>
      <w:r w:rsidR="005C7A68" w:rsidRPr="00B17004">
        <w:rPr>
          <w:rFonts w:asciiTheme="minorHAnsi" w:hAnsiTheme="minorHAnsi"/>
          <w:b/>
          <w:sz w:val="22"/>
          <w:szCs w:val="22"/>
        </w:rPr>
        <w:t>&lt;30</w:t>
      </w:r>
      <w:r w:rsidR="00B17004" w:rsidRPr="00B17004">
        <w:rPr>
          <w:rFonts w:asciiTheme="minorHAnsi" w:hAnsiTheme="minorHAnsi"/>
          <w:b/>
          <w:sz w:val="22"/>
          <w:szCs w:val="22"/>
        </w:rPr>
        <w:t xml:space="preserve"> ml/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>/1,73 m2 (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erhöhtes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akuten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Nierenversagens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B17004" w:rsidRPr="00B17004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>)</w:t>
      </w:r>
    </w:p>
    <w:p w14:paraId="3ECF19AE" w14:textId="55FC1C20" w:rsidR="00F11DEE" w:rsidRPr="00AE15DA" w:rsidRDefault="00F11DEE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B17004" w:rsidRPr="00B17004"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Schwellen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-GFR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Zoledronat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Alendronat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höher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 xml:space="preserve"> (&lt;35 ml/</w:t>
      </w:r>
      <w:proofErr w:type="spellStart"/>
      <w:r w:rsidR="00B17004" w:rsidRPr="00B17004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B17004" w:rsidRPr="00B17004">
        <w:rPr>
          <w:rFonts w:asciiTheme="minorHAnsi" w:hAnsiTheme="minorHAnsi"/>
          <w:i/>
          <w:sz w:val="22"/>
          <w:szCs w:val="22"/>
        </w:rPr>
        <w:t>/1,73m2)</w:t>
      </w:r>
      <w:r w:rsidRPr="00AE15DA">
        <w:rPr>
          <w:rFonts w:asciiTheme="minorHAnsi" w:hAnsiTheme="minorHAnsi"/>
          <w:i/>
          <w:sz w:val="22"/>
          <w:szCs w:val="22"/>
        </w:rPr>
        <w:t>.</w:t>
      </w:r>
    </w:p>
    <w:p w14:paraId="03F3021D" w14:textId="77777777" w:rsidR="00C1596E" w:rsidRPr="00AE15DA" w:rsidRDefault="00C1596E" w:rsidP="0043334F">
      <w:pPr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1CA4C6EA" w14:textId="3D0EA8A9" w:rsidR="00415CD8" w:rsidRPr="00AE15DA" w:rsidRDefault="00415CD8" w:rsidP="0043334F">
      <w:pPr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E1</w:t>
      </w:r>
      <w:r w:rsidR="00371D89" w:rsidRPr="00AE15DA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Zoledronat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Denosumab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Teriparatid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angebracht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ohne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vor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der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Behandlung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den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Serumcalciumspiegel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bestimmen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eine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ausreichende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Calcium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-/Vitamin-D-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Zufuhr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zu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gewährleisten</w:t>
      </w:r>
      <w:proofErr w:type="spellEnd"/>
      <w:r w:rsidR="00B17004" w:rsidRPr="00B17004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17B89B4E" w14:textId="77777777" w:rsidR="00C80C53" w:rsidRPr="00AE15DA" w:rsidRDefault="00C80C53" w:rsidP="0043334F">
      <w:pPr>
        <w:contextualSpacing/>
        <w:jc w:val="both"/>
        <w:rPr>
          <w:rFonts w:asciiTheme="minorHAnsi" w:hAnsiTheme="minorHAnsi"/>
          <w:b/>
          <w:i/>
          <w:color w:val="4472C4" w:themeColor="accent5"/>
          <w:sz w:val="22"/>
          <w:szCs w:val="22"/>
          <w:u w:val="single"/>
        </w:rPr>
      </w:pPr>
    </w:p>
    <w:p w14:paraId="202AB42A" w14:textId="5B941DE8" w:rsidR="004816D3" w:rsidRPr="00AE15DA" w:rsidRDefault="007C70E3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8"/>
          <w:szCs w:val="28"/>
        </w:rPr>
        <w:t xml:space="preserve">F: </w:t>
      </w:r>
      <w:proofErr w:type="spellStart"/>
      <w:r w:rsidR="00B17004" w:rsidRPr="00B17004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B17004" w:rsidRPr="00B1700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B17004" w:rsidRPr="00B1700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B17004" w:rsidRPr="00B17004">
        <w:rPr>
          <w:rFonts w:asciiTheme="minorHAnsi" w:hAnsiTheme="minorHAnsi"/>
          <w:b/>
          <w:sz w:val="28"/>
          <w:szCs w:val="28"/>
        </w:rPr>
        <w:t>Urogenitalsystems</w:t>
      </w:r>
      <w:proofErr w:type="spellEnd"/>
      <w:r w:rsidRPr="00AE15DA">
        <w:rPr>
          <w:rFonts w:asciiTheme="minorHAnsi" w:hAnsiTheme="minorHAnsi"/>
          <w:b/>
          <w:sz w:val="28"/>
          <w:szCs w:val="28"/>
        </w:rPr>
        <w:t>.</w:t>
      </w:r>
    </w:p>
    <w:p w14:paraId="2F82DD50" w14:textId="77777777" w:rsidR="00F327A4" w:rsidRPr="00AE15DA" w:rsidRDefault="00F327A4" w:rsidP="0043334F">
      <w:pPr>
        <w:contextualSpacing/>
        <w:jc w:val="both"/>
        <w:rPr>
          <w:rFonts w:asciiTheme="minorHAnsi" w:hAnsiTheme="minorHAnsi"/>
          <w:b/>
          <w:i/>
          <w:color w:val="4472C4" w:themeColor="accent5"/>
          <w:sz w:val="22"/>
          <w:szCs w:val="22"/>
          <w:u w:val="single"/>
        </w:rPr>
      </w:pPr>
    </w:p>
    <w:p w14:paraId="4A711F27" w14:textId="3E9B7BCF" w:rsidR="00236CC7" w:rsidRPr="00AE15DA" w:rsidRDefault="00415CD8" w:rsidP="0043334F">
      <w:pPr>
        <w:pStyle w:val="Kommentartext"/>
        <w:spacing w:after="0"/>
        <w:contextualSpacing/>
        <w:jc w:val="both"/>
        <w:rPr>
          <w:rStyle w:val="Kommentarzeichen"/>
          <w:rFonts w:cs="Times New Roman"/>
          <w:b/>
          <w:sz w:val="22"/>
          <w:szCs w:val="22"/>
        </w:rPr>
      </w:pPr>
      <w:r w:rsidRPr="00AE15DA">
        <w:rPr>
          <w:rFonts w:cs="Times New Roman"/>
          <w:b/>
          <w:sz w:val="22"/>
          <w:szCs w:val="22"/>
        </w:rPr>
        <w:t xml:space="preserve">F1.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Bei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Männern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mit LUTS-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Symptomen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im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Zusammenhang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mit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gutartiger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Prostatahyperplasie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,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wenn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PMR&gt;150 ml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beträgt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,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ist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die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Verwendung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von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Anticholinergika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für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die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Blase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nicht</w:t>
      </w:r>
      <w:proofErr w:type="spellEnd"/>
      <w:r w:rsidR="005C7A68" w:rsidRPr="005C7A68">
        <w:rPr>
          <w:rFonts w:cs="Times New Roman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cs="Times New Roman"/>
          <w:b/>
          <w:sz w:val="22"/>
          <w:szCs w:val="22"/>
        </w:rPr>
        <w:t>geeignet</w:t>
      </w:r>
      <w:proofErr w:type="spellEnd"/>
      <w:r w:rsidR="005C7A68">
        <w:rPr>
          <w:rFonts w:cs="Times New Roman"/>
          <w:b/>
          <w:sz w:val="22"/>
          <w:szCs w:val="22"/>
        </w:rPr>
        <w:t xml:space="preserve">. </w:t>
      </w:r>
    </w:p>
    <w:p w14:paraId="364AA477" w14:textId="203270B7" w:rsidR="00F327A4" w:rsidRDefault="00F11DEE" w:rsidP="00E85274">
      <w:pPr>
        <w:pStyle w:val="Kommentartext"/>
        <w:contextualSpacing/>
        <w:jc w:val="both"/>
        <w:rPr>
          <w:rFonts w:eastAsia="Times New Roman" w:cs="Times New Roman"/>
          <w:i/>
          <w:color w:val="000000" w:themeColor="text1"/>
          <w:sz w:val="22"/>
          <w:szCs w:val="22"/>
        </w:rPr>
      </w:pPr>
      <w:r w:rsidRPr="00AE15DA">
        <w:rPr>
          <w:rFonts w:eastAsia="Times New Roman" w:cs="Times New Roman"/>
          <w:i/>
          <w:color w:val="000000" w:themeColor="text1"/>
          <w:sz w:val="22"/>
          <w:szCs w:val="22"/>
        </w:rPr>
        <w:t>*</w:t>
      </w:r>
      <w:r w:rsidR="005C7A68" w:rsidRPr="005C7A68"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Bei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älteren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Männern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sollten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die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Symptome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von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LUTS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vor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der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Verschreibung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von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Anticholinergika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für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die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Blase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zur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Behandlung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einer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überaktiven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Blase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befragt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und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in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allen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Fällen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eine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PMR-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Bestimmung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durchgeführt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werden</w:t>
      </w:r>
      <w:proofErr w:type="spellEnd"/>
      <w:r w:rsidR="005C7A68" w:rsidRPr="005C7A68">
        <w:rPr>
          <w:rFonts w:eastAsia="Times New Roman" w:cs="Times New Roman"/>
          <w:i/>
          <w:color w:val="000000" w:themeColor="text1"/>
          <w:sz w:val="22"/>
          <w:szCs w:val="22"/>
        </w:rPr>
        <w:t>.</w:t>
      </w:r>
    </w:p>
    <w:p w14:paraId="68942A7E" w14:textId="725FF170" w:rsidR="006C2A94" w:rsidRPr="00AE15DA" w:rsidRDefault="00415CD8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F2.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chronischem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Engwinkelglaukom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Verwendung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Anticholinergika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Blase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5C7A68">
        <w:rPr>
          <w:rFonts w:asciiTheme="minorHAnsi" w:hAnsiTheme="minorHAnsi"/>
          <w:b/>
          <w:sz w:val="22"/>
          <w:szCs w:val="22"/>
        </w:rPr>
        <w:t>.</w:t>
      </w:r>
    </w:p>
    <w:p w14:paraId="172F05A2" w14:textId="494C3DE8" w:rsidR="006C2A94" w:rsidRPr="00AE15DA" w:rsidRDefault="00F11DEE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5C7A68" w:rsidRPr="005C7A68"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Geschichte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Glaukoms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vor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Beginn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des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anticholinergischen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Medikaments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Blase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Frage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gestellt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14:paraId="01F7D3E0" w14:textId="0447F41D" w:rsidR="006C2A94" w:rsidRPr="00AE15DA" w:rsidRDefault="00F11DEE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5C7A68" w:rsidRPr="005C7A68"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Anticholinergika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für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Blase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sind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nicht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kontraindiziert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wenn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Engwinkelglaukom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einer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Laser-Iridotomie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behandelt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wird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1B87D872" w14:textId="1E9140CA" w:rsidR="00F11DEE" w:rsidRPr="00AE15DA" w:rsidRDefault="006C2A94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5C7A68" w:rsidRPr="005C7A68"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Anticholinergika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für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Blase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sind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auch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Offenwinkelglaukom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kontraindiziert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>.</w:t>
      </w:r>
    </w:p>
    <w:p w14:paraId="45875D5D" w14:textId="77777777" w:rsidR="006C2A94" w:rsidRPr="00AE15DA" w:rsidRDefault="006C2A94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52192E" w14:textId="420B0369" w:rsidR="00415CD8" w:rsidRPr="00AE15DA" w:rsidRDefault="00415CD8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F3.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älteren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Menschen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Prostatahyperplasie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obstruktionsrisiko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fortgeschrittenen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Komplikationen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des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diabetes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mellitus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Risiko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neurogenen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Blase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oder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brüchig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vermindertes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Risiko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Kontraktilität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in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Kombination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detrusor-Hyperaktivität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)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Verwendung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Anticholinergika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Blase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ohne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PMR-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Bestimmung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(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Risiko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Harnretention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und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postrenalem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Nierenversagen</w:t>
      </w:r>
      <w:proofErr w:type="spellEnd"/>
      <w:r w:rsidR="005C7A68" w:rsidRPr="005C7A68">
        <w:rPr>
          <w:rFonts w:asciiTheme="minorHAnsi" w:hAnsiTheme="minorHAnsi"/>
          <w:b/>
          <w:color w:val="000000"/>
          <w:sz w:val="22"/>
          <w:szCs w:val="22"/>
        </w:rPr>
        <w:t>).</w:t>
      </w:r>
    </w:p>
    <w:p w14:paraId="0F884FDA" w14:textId="77777777" w:rsidR="00E456DB" w:rsidRPr="00AE15DA" w:rsidRDefault="00E456DB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C99258" w14:textId="119C48A0" w:rsidR="00316725" w:rsidRPr="00AE15DA" w:rsidRDefault="00415CD8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F4.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Blutdruck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&lt;90/50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&gt; 170/100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mmHg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/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unstabiler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Angina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pectoris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/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Angina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pectoris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beim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Geschlechtsverkehr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/ mit NYHA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Klasse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4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/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nitratbehandlung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Angina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/mit Alpha-1-Blocker-Therapie/mit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OB (&lt; 3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Monate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)/mit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OB (&lt; 6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Monate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Phosphodiesterase-Typ-5-Inhibitoren (z. B.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sildenafil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tadalafil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Vardenafil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>.</w:t>
      </w:r>
    </w:p>
    <w:p w14:paraId="4EB25587" w14:textId="77777777" w:rsidR="00967AEF" w:rsidRPr="00AE15DA" w:rsidRDefault="00967AEF" w:rsidP="0043334F">
      <w:pPr>
        <w:autoSpaceDE w:val="0"/>
        <w:autoSpaceDN w:val="0"/>
        <w:adjustRightInd w:val="0"/>
        <w:contextualSpacing/>
        <w:jc w:val="both"/>
        <w:rPr>
          <w:rStyle w:val="Hyperlink"/>
          <w:rFonts w:asciiTheme="minorHAnsi" w:eastAsiaTheme="majorEastAsia" w:hAnsiTheme="minorHAnsi" w:cstheme="minorHAnsi"/>
          <w:color w:val="000000" w:themeColor="text1"/>
          <w:sz w:val="22"/>
          <w:szCs w:val="22"/>
          <w:u w:val="none"/>
        </w:rPr>
      </w:pPr>
    </w:p>
    <w:p w14:paraId="2A880C10" w14:textId="7EFCE1F9" w:rsidR="00632179" w:rsidRPr="00AE15DA" w:rsidRDefault="00632179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lastRenderedPageBreak/>
        <w:t xml:space="preserve">F5.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Nicht-uroselektive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Alpha-1-Blocker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Behandlung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LUTS-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Symptomen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im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Zusammenhang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gutartiger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Prostatahyperplasie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orthostatischer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Hypotonie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(z. B.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Doxazosin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terazosin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zu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verwenden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Zunahme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orthostatischen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Hypotonie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Synkope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stürze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40438A7E" w14:textId="5CE8403C" w:rsidR="00967AEF" w:rsidRPr="00AE15DA" w:rsidRDefault="00967AEF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>*</w:t>
      </w:r>
      <w:r w:rsidR="005C7A68" w:rsidRPr="005C7A68"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Das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niedrigste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Risiko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einer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orthostatischen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Hypotonie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ist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das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uroselektive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Mittel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Silodosin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; es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wird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angenommen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dass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es dem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Placebo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ähnlich</w:t>
      </w:r>
      <w:proofErr w:type="spellEnd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color w:val="000000" w:themeColor="text1"/>
          <w:sz w:val="22"/>
          <w:szCs w:val="22"/>
        </w:rPr>
        <w:t>ist.</w:t>
      </w:r>
      <w:proofErr w:type="spellEnd"/>
      <w:r w:rsidRPr="00AE15DA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14:paraId="7A24E4F4" w14:textId="2F0910F4" w:rsidR="00F11DEE" w:rsidRPr="00AE15DA" w:rsidRDefault="00F11DEE" w:rsidP="0043334F">
      <w:pPr>
        <w:spacing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5C7A68" w:rsidRPr="005C7A68"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Ältere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nicht-uroselektiven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Alpha-1-Blockern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behandelt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über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das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Risiko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orthostatischen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Hypotonie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informiert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>.</w:t>
      </w:r>
    </w:p>
    <w:p w14:paraId="1A6B33C2" w14:textId="1DD448FF" w:rsidR="00E456DB" w:rsidRDefault="00E456DB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AD61C9" w14:textId="159D99BB" w:rsidR="00415CD8" w:rsidRPr="00AE15DA" w:rsidRDefault="00415CD8" w:rsidP="0043334F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F6.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Antibiotika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asymptomatischer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Bakteriurie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, mit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Ausnahme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urologischen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Eingriffen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Schleimhaut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schädigen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b/>
          <w:sz w:val="22"/>
          <w:szCs w:val="22"/>
        </w:rPr>
        <w:t>können</w:t>
      </w:r>
      <w:proofErr w:type="spellEnd"/>
      <w:r w:rsidR="005C7A68" w:rsidRPr="005C7A68">
        <w:rPr>
          <w:rFonts w:asciiTheme="minorHAnsi" w:hAnsiTheme="minorHAnsi"/>
          <w:b/>
          <w:sz w:val="22"/>
          <w:szCs w:val="22"/>
        </w:rPr>
        <w:t>.</w:t>
      </w:r>
    </w:p>
    <w:p w14:paraId="1F8D1A5D" w14:textId="7B27C1B6" w:rsidR="00F11DEE" w:rsidRPr="00AE15DA" w:rsidRDefault="00F11DEE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*</w:t>
      </w:r>
      <w:r w:rsidR="005C7A68" w:rsidRPr="005C7A68"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Asymptomatische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Bakteriurie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vor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urologischen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versuchen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untersucht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behandelt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Schleimhaut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schädigen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5C7A68" w:rsidRPr="005C7A68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5C7A68" w:rsidRPr="005C7A68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03391A0F" w14:textId="0666882D" w:rsidR="00F11DEE" w:rsidRPr="00AE15DA" w:rsidRDefault="00F11DEE" w:rsidP="0043334F">
      <w:pPr>
        <w:contextualSpacing/>
        <w:jc w:val="both"/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</w:pPr>
      <w:r w:rsidRPr="00AE15DA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*</w:t>
      </w:r>
      <w:r w:rsidR="005C7A68" w:rsidRPr="005C7A68">
        <w:t xml:space="preserve"> </w:t>
      </w:r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Es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wird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nicht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empfohlen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asymptomatische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Bakteriurie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bei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den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folgenden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Patientengruppen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zu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untersuchen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und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/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oder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zu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behandeln</w:t>
      </w:r>
      <w:proofErr w:type="spellEnd"/>
      <w:r w:rsidR="005C7A68" w:rsidRPr="005C7A68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.</w:t>
      </w:r>
      <w:r w:rsidRPr="00AE15DA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:</w:t>
      </w:r>
    </w:p>
    <w:p w14:paraId="6FD22834" w14:textId="77777777" w:rsidR="00352CDC" w:rsidRPr="00352CDC" w:rsidRDefault="00352CDC" w:rsidP="00352CDC">
      <w:pPr>
        <w:ind w:firstLine="708"/>
        <w:contextualSpacing/>
        <w:jc w:val="both"/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</w:pP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Patienten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ohne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Risikofaktoren</w:t>
      </w:r>
      <w:proofErr w:type="spellEnd"/>
    </w:p>
    <w:p w14:paraId="6C5D344C" w14:textId="77777777" w:rsidR="00352CDC" w:rsidRPr="00352CDC" w:rsidRDefault="00352CDC" w:rsidP="00352CDC">
      <w:pPr>
        <w:ind w:firstLine="708"/>
        <w:contextualSpacing/>
        <w:jc w:val="both"/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</w:pP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Patienten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mit gut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reguliertem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Diabetes</w:t>
      </w:r>
      <w:proofErr w:type="spellEnd"/>
    </w:p>
    <w:p w14:paraId="4EAC268B" w14:textId="77777777" w:rsidR="00352CDC" w:rsidRPr="00352CDC" w:rsidRDefault="00352CDC" w:rsidP="00352CDC">
      <w:pPr>
        <w:ind w:firstLine="708"/>
        <w:contextualSpacing/>
        <w:jc w:val="both"/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</w:pP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Patienten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die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im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Pflegeheim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leben</w:t>
      </w:r>
      <w:proofErr w:type="spellEnd"/>
    </w:p>
    <w:p w14:paraId="3D4F81BB" w14:textId="77777777" w:rsidR="00352CDC" w:rsidRPr="00352CDC" w:rsidRDefault="00352CDC" w:rsidP="00352CDC">
      <w:pPr>
        <w:ind w:firstLine="708"/>
        <w:contextualSpacing/>
        <w:jc w:val="both"/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</w:pP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Patienten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mit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Dysfunktion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/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Rekonstruktion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der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unteren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Harnwege</w:t>
      </w:r>
      <w:proofErr w:type="spellEnd"/>
    </w:p>
    <w:p w14:paraId="2E30B79B" w14:textId="77777777" w:rsidR="00352CDC" w:rsidRPr="00352CDC" w:rsidRDefault="00352CDC" w:rsidP="00352CDC">
      <w:pPr>
        <w:ind w:firstLine="708"/>
        <w:contextualSpacing/>
        <w:jc w:val="both"/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</w:pP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Patienten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mit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wiederkehrenden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Harnwegsinfektionen</w:t>
      </w:r>
      <w:proofErr w:type="spellEnd"/>
    </w:p>
    <w:p w14:paraId="1E007287" w14:textId="77777777" w:rsidR="00352CDC" w:rsidRPr="00352CDC" w:rsidRDefault="00352CDC" w:rsidP="00352CDC">
      <w:pPr>
        <w:ind w:firstLine="708"/>
        <w:contextualSpacing/>
        <w:jc w:val="both"/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</w:pP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Vor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endoprothetischen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Operationen</w:t>
      </w:r>
      <w:proofErr w:type="spellEnd"/>
    </w:p>
    <w:p w14:paraId="2B0BCDEA" w14:textId="123667E2" w:rsidR="00A11150" w:rsidRPr="00AE15DA" w:rsidRDefault="00352CDC" w:rsidP="00352CDC">
      <w:pPr>
        <w:ind w:firstLine="708"/>
        <w:contextualSpacing/>
        <w:jc w:val="both"/>
        <w:rPr>
          <w:rFonts w:asciiTheme="minorHAnsi" w:hAnsiTheme="minorHAnsi"/>
          <w:i/>
          <w:color w:val="3B3838" w:themeColor="background2" w:themeShade="40"/>
          <w:sz w:val="22"/>
          <w:szCs w:val="22"/>
          <w:shd w:val="clear" w:color="auto" w:fill="FFFFFF"/>
        </w:rPr>
      </w:pP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Patienten</w:t>
      </w:r>
      <w:proofErr w:type="spellEnd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 xml:space="preserve"> mit </w:t>
      </w:r>
      <w:proofErr w:type="spellStart"/>
      <w:r w:rsidRPr="00352CDC">
        <w:rPr>
          <w:rStyle w:val="nowrap"/>
          <w:rFonts w:asciiTheme="minorHAnsi" w:hAnsiTheme="minorHAnsi"/>
          <w:i/>
          <w:sz w:val="22"/>
          <w:szCs w:val="22"/>
          <w:shd w:val="clear" w:color="auto" w:fill="FFFFFF"/>
        </w:rPr>
        <w:t>Harnkatheter</w:t>
      </w:r>
      <w:proofErr w:type="spellEnd"/>
    </w:p>
    <w:p w14:paraId="0B584681" w14:textId="77777777" w:rsidR="00F327A4" w:rsidRPr="00AE15DA" w:rsidRDefault="00F327A4" w:rsidP="0043334F">
      <w:pPr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4957537" w14:textId="74ACCE84" w:rsidR="00415CD8" w:rsidRPr="00AE15DA" w:rsidRDefault="00415CD8" w:rsidP="0043334F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F7.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Nitrofurantoin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für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einer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 GFR &lt; 30 ml/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min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 xml:space="preserve">/1,73 m2 </w:t>
      </w:r>
      <w:proofErr w:type="spellStart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04BE9B39" w14:textId="514B88F1" w:rsidR="00415CD8" w:rsidRPr="00AE15DA" w:rsidRDefault="00415CD8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AE15DA">
        <w:rPr>
          <w:rFonts w:asciiTheme="minorHAnsi" w:hAnsiTheme="minorHAnsi"/>
          <w:color w:val="000000"/>
          <w:sz w:val="22"/>
          <w:szCs w:val="22"/>
        </w:rPr>
        <w:t>*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Langzeitanwendung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Nitrofurantoin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zur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Suppressionsbehandlung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Harnwegsinfektionen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älteren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Menschen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(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aufgrund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des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Risikos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einer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irreversiblen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Lungenfibrose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Lebertoxizität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und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peripherer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Neuropathie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Langzeitanwendung</w:t>
      </w:r>
      <w:proofErr w:type="spellEnd"/>
      <w:r w:rsidR="00352CDC" w:rsidRPr="00352CDC">
        <w:rPr>
          <w:rFonts w:asciiTheme="minorHAnsi" w:hAnsiTheme="minorHAnsi"/>
          <w:i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i/>
          <w:color w:val="000000"/>
          <w:sz w:val="22"/>
          <w:szCs w:val="22"/>
        </w:rPr>
        <w:t>)</w:t>
      </w:r>
    </w:p>
    <w:p w14:paraId="36C67BF4" w14:textId="77777777" w:rsidR="002F3D1A" w:rsidRPr="00AE15DA" w:rsidRDefault="002F3D1A" w:rsidP="0043334F">
      <w:pPr>
        <w:contextualSpacing/>
        <w:jc w:val="both"/>
        <w:rPr>
          <w:rFonts w:asciiTheme="minorHAnsi" w:hAnsiTheme="minorHAnsi"/>
          <w:b/>
          <w:i/>
          <w:color w:val="4472C4" w:themeColor="accent5"/>
          <w:sz w:val="22"/>
          <w:szCs w:val="22"/>
          <w:u w:val="single"/>
        </w:rPr>
      </w:pPr>
    </w:p>
    <w:p w14:paraId="7BB1223E" w14:textId="64B240F3" w:rsidR="004816D3" w:rsidRPr="00AE15DA" w:rsidRDefault="007C70E3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8"/>
          <w:szCs w:val="28"/>
        </w:rPr>
        <w:t xml:space="preserve">G: </w:t>
      </w:r>
      <w:proofErr w:type="spellStart"/>
      <w:r w:rsidR="00352CDC" w:rsidRPr="00352CDC">
        <w:rPr>
          <w:rFonts w:asciiTheme="minorHAnsi" w:hAnsiTheme="minorHAnsi"/>
          <w:b/>
          <w:sz w:val="28"/>
          <w:szCs w:val="28"/>
        </w:rPr>
        <w:t>Kriterien</w:t>
      </w:r>
      <w:proofErr w:type="spellEnd"/>
      <w:r w:rsidR="00352CDC" w:rsidRPr="00352CD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8"/>
          <w:szCs w:val="28"/>
        </w:rPr>
        <w:t>des</w:t>
      </w:r>
      <w:proofErr w:type="spellEnd"/>
      <w:r w:rsidR="00352CDC" w:rsidRPr="00352CD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8"/>
          <w:szCs w:val="28"/>
        </w:rPr>
        <w:t>endokrinen</w:t>
      </w:r>
      <w:proofErr w:type="spellEnd"/>
      <w:r w:rsidR="00352CDC" w:rsidRPr="00352CD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8"/>
          <w:szCs w:val="28"/>
        </w:rPr>
        <w:t>Systems</w:t>
      </w:r>
      <w:proofErr w:type="spellEnd"/>
      <w:r w:rsidRPr="00AE15DA">
        <w:rPr>
          <w:rFonts w:asciiTheme="minorHAnsi" w:hAnsiTheme="minorHAnsi"/>
          <w:b/>
          <w:sz w:val="28"/>
          <w:szCs w:val="28"/>
        </w:rPr>
        <w:t>.</w:t>
      </w:r>
    </w:p>
    <w:p w14:paraId="7B286138" w14:textId="7A836CA2" w:rsidR="0043334F" w:rsidRPr="00AE15DA" w:rsidRDefault="00415CD8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G1.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Eine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strenge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Blutzuckerkontrolle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(HbA1C &lt; 7 %)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geringen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Lebenserwartung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(&lt; 5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Jahre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Rückgang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kognitiver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Beeinträchtigung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.</w:t>
      </w:r>
    </w:p>
    <w:p w14:paraId="696B7C06" w14:textId="77777777" w:rsidR="002F3D1A" w:rsidRPr="00AE15DA" w:rsidRDefault="002F3D1A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B81E2DF" w14:textId="00D2AEE7" w:rsidR="00DF1C70" w:rsidRPr="00AE15DA" w:rsidRDefault="00E66E29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415CD8" w:rsidRPr="00AE15DA">
        <w:rPr>
          <w:rFonts w:asciiTheme="minorHAnsi" w:hAnsiTheme="minorHAnsi"/>
          <w:b/>
          <w:sz w:val="22"/>
          <w:szCs w:val="22"/>
        </w:rPr>
        <w:t xml:space="preserve">G2.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Metformin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gebrechlichen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unterernährten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älteren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Menschen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aufgrund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gastrointestinalen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Nebenwirkungen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Anorexie-Wirkung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Metformin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).</w:t>
      </w:r>
    </w:p>
    <w:p w14:paraId="20E9660C" w14:textId="00C6AA76" w:rsidR="00415CD8" w:rsidRPr="00AE15DA" w:rsidRDefault="00415CD8" w:rsidP="0043334F">
      <w:pPr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352CDC" w:rsidRPr="00352CDC"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In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Mangelernährungsrisiko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sollte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Verwendung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Metformin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unter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Berücksichtigung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Gewinn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Verlustbilanz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entschieden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>.</w:t>
      </w:r>
    </w:p>
    <w:p w14:paraId="2F95F3EB" w14:textId="77777777" w:rsidR="002F3D1A" w:rsidRPr="00AE15DA" w:rsidRDefault="002F3D1A" w:rsidP="0043334F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3FF228" w14:textId="77777777" w:rsidR="00352CDC" w:rsidRPr="00352CDC" w:rsidRDefault="00415CD8" w:rsidP="00352CDC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G3.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Metformin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zur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GFR &lt; 30 ml/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/1,73 m2 (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Laktatazidose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)</w:t>
      </w:r>
    </w:p>
    <w:p w14:paraId="3439CCC9" w14:textId="524D1C49" w:rsidR="00352CDC" w:rsidRPr="00352CDC" w:rsidRDefault="00352CDC" w:rsidP="00352CDC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352CDC">
        <w:rPr>
          <w:rFonts w:asciiTheme="minorHAnsi" w:hAnsiTheme="minorHAnsi"/>
          <w:b/>
          <w:sz w:val="22"/>
          <w:szCs w:val="22"/>
        </w:rPr>
        <w:t>*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Metformin-Dosis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sollte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bei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Patienten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mit GFR: 30-45 ml/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min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/1,73 m2 um 50 %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reduziert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werden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0A4E9A22" w14:textId="28721636" w:rsidR="002F3D1A" w:rsidRPr="00AE15DA" w:rsidRDefault="00352CDC" w:rsidP="00352CDC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*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Die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Anwendung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von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Metformin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ist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auch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bei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anderen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Erkrankungen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die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das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Risiko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einer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Laktatazidose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erhöhen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(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Herzinsuffizienz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Leberversagen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Schock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oder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dauerhafte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hämodynamische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Instabilität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, COPD,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Hypoxie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),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nicht</w:t>
      </w:r>
      <w:proofErr w:type="spellEnd"/>
      <w:r w:rsidRPr="00352CDC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352CDC">
        <w:rPr>
          <w:rFonts w:asciiTheme="minorHAnsi" w:hAnsiTheme="minorHAnsi"/>
          <w:bCs/>
          <w:i/>
          <w:iCs/>
          <w:sz w:val="22"/>
          <w:szCs w:val="22"/>
        </w:rPr>
        <w:t>geeignet</w:t>
      </w:r>
      <w:proofErr w:type="spellEnd"/>
      <w:r w:rsidRPr="00352CDC">
        <w:rPr>
          <w:rFonts w:asciiTheme="minorHAnsi" w:hAnsiTheme="minorHAnsi"/>
          <w:b/>
          <w:sz w:val="22"/>
          <w:szCs w:val="22"/>
        </w:rPr>
        <w:t>.</w:t>
      </w:r>
      <w:r w:rsidR="00EE6325" w:rsidRPr="00AE15DA">
        <w:rPr>
          <w:rFonts w:asciiTheme="minorHAnsi" w:hAnsiTheme="minorHAnsi"/>
          <w:i/>
          <w:sz w:val="22"/>
          <w:szCs w:val="22"/>
        </w:rPr>
        <w:t>.</w:t>
      </w:r>
    </w:p>
    <w:p w14:paraId="34226871" w14:textId="77777777" w:rsidR="002F3D1A" w:rsidRPr="00AE15DA" w:rsidRDefault="002F3D1A" w:rsidP="0043334F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0D9490" w14:textId="0B7B340F" w:rsidR="002F3D1A" w:rsidRPr="00AE15DA" w:rsidRDefault="00415CD8" w:rsidP="0043334F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G4.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langwirksamen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Sulfanilharnstoffen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wie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Glibenclamid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Chlorpropamid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mit Typ-2-DM (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verlängertes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Hypoglykämierisiko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.</w:t>
      </w:r>
      <w:r w:rsidR="00962ED0" w:rsidRPr="00AE15DA">
        <w:rPr>
          <w:rFonts w:asciiTheme="minorHAnsi" w:hAnsiTheme="minorHAnsi"/>
          <w:b/>
          <w:sz w:val="22"/>
          <w:szCs w:val="22"/>
        </w:rPr>
        <w:t>)</w:t>
      </w:r>
    </w:p>
    <w:p w14:paraId="11C38558" w14:textId="77777777" w:rsidR="002F3D1A" w:rsidRPr="00AE15DA" w:rsidRDefault="002F3D1A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DF3FE9" w14:textId="32B61A2A" w:rsidR="002F3D1A" w:rsidRPr="00AE15DA" w:rsidRDefault="00415CD8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G5.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Thiazolidindione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Rosiglitazon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Pioglitazon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dokumentierter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Frakturgeschichte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erhöhtem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Fraktur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-/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Blasenkrebsrisiko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lastRenderedPageBreak/>
        <w:t>unter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Insulintherapie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Verschlechterung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erhöhtes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Frakturen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Blasenkrebs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). </w:t>
      </w:r>
      <w:r w:rsidRPr="00AE15DA">
        <w:rPr>
          <w:rFonts w:asciiTheme="minorHAnsi" w:hAnsiTheme="minorHAnsi"/>
          <w:b/>
          <w:sz w:val="22"/>
          <w:szCs w:val="22"/>
        </w:rPr>
        <w:t xml:space="preserve"> </w:t>
      </w:r>
    </w:p>
    <w:p w14:paraId="48CD0224" w14:textId="77777777" w:rsidR="00730686" w:rsidRPr="00AE15DA" w:rsidRDefault="00730686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  <w:vertAlign w:val="superscript"/>
        </w:rPr>
      </w:pPr>
    </w:p>
    <w:p w14:paraId="298EA8DC" w14:textId="622B3D9D" w:rsidR="002F3D1A" w:rsidRPr="00AE15DA" w:rsidRDefault="00730686" w:rsidP="0043334F">
      <w:pPr>
        <w:contextualSpacing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G6.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Saxagliptin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Herzinsuffizienz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.</w:t>
      </w:r>
    </w:p>
    <w:p w14:paraId="5FD32A45" w14:textId="77777777" w:rsidR="009D067B" w:rsidRPr="00AE15DA" w:rsidRDefault="009D067B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D1BCAC" w14:textId="70B11BD5" w:rsidR="00730686" w:rsidRPr="00AE15DA" w:rsidRDefault="00730686" w:rsidP="0043334F">
      <w:pPr>
        <w:contextualSpacing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G7.</w:t>
      </w:r>
      <w:r w:rsidR="006C7F78" w:rsidRPr="00AE15D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Canagliflozin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diabetesbedingter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Amputationskomplikation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der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unteren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Extremität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schweren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peripheren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arteriellen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Verschlusskrankheit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rezidivierenden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Harnwegsinfektionen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urogenitalen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Infektionen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352CDC" w:rsidRPr="00352CDC">
        <w:rPr>
          <w:rFonts w:asciiTheme="minorHAnsi" w:hAnsiTheme="minorHAnsi"/>
          <w:b/>
          <w:sz w:val="22"/>
          <w:szCs w:val="22"/>
        </w:rPr>
        <w:t>.</w:t>
      </w:r>
    </w:p>
    <w:p w14:paraId="524000C7" w14:textId="786ECBAE" w:rsidR="00D0519F" w:rsidRPr="00AE15DA" w:rsidRDefault="00730686" w:rsidP="0043334F">
      <w:pPr>
        <w:contextualSpacing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</w:rPr>
        <w:t>*</w:t>
      </w:r>
      <w:r w:rsidR="00352CDC" w:rsidRPr="00352CDC">
        <w:t xml:space="preserve"> </w:t>
      </w:r>
      <w:r w:rsidR="00352CDC" w:rsidRPr="00352CDC">
        <w:rPr>
          <w:rFonts w:asciiTheme="minorHAnsi" w:hAnsiTheme="minorHAnsi"/>
          <w:i/>
          <w:sz w:val="22"/>
          <w:szCs w:val="22"/>
        </w:rPr>
        <w:t xml:space="preserve">SGLT-2-Hemmer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sollten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älteren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im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Allgemeinen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Vorsicht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angewendet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, da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sie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Dehydration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Dranginkontinenz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diabetische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Ketoazidose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verursachen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352CDC" w:rsidRPr="00352CDC">
        <w:rPr>
          <w:rFonts w:asciiTheme="minorHAnsi" w:hAnsiTheme="minorHAnsi"/>
          <w:i/>
          <w:sz w:val="22"/>
          <w:szCs w:val="22"/>
        </w:rPr>
        <w:t>können</w:t>
      </w:r>
      <w:proofErr w:type="spellEnd"/>
      <w:r w:rsidR="00352CDC" w:rsidRPr="00352CDC">
        <w:rPr>
          <w:rFonts w:asciiTheme="minorHAnsi" w:hAnsiTheme="minorHAnsi"/>
          <w:i/>
          <w:sz w:val="22"/>
          <w:szCs w:val="22"/>
        </w:rPr>
        <w:t>.</w:t>
      </w:r>
      <w:r w:rsidRPr="00AE15DA">
        <w:rPr>
          <w:rFonts w:asciiTheme="minorHAnsi" w:hAnsiTheme="minorHAnsi"/>
          <w:i/>
          <w:sz w:val="22"/>
          <w:szCs w:val="22"/>
        </w:rPr>
        <w:t xml:space="preserve"> </w:t>
      </w:r>
    </w:p>
    <w:p w14:paraId="609543F5" w14:textId="77777777" w:rsidR="00457080" w:rsidRPr="00AE15DA" w:rsidRDefault="00457080" w:rsidP="0043334F">
      <w:pPr>
        <w:contextualSpacing/>
        <w:rPr>
          <w:rFonts w:asciiTheme="minorHAnsi" w:hAnsiTheme="minorHAnsi"/>
          <w:i/>
          <w:sz w:val="22"/>
          <w:szCs w:val="22"/>
        </w:rPr>
      </w:pPr>
    </w:p>
    <w:p w14:paraId="65AF5D6B" w14:textId="77777777" w:rsidR="00252C40" w:rsidRPr="00252C40" w:rsidRDefault="00730686" w:rsidP="00252C40">
      <w:pPr>
        <w:autoSpaceDE w:val="0"/>
        <w:autoSpaceDN w:val="0"/>
        <w:adjustRightInd w:val="0"/>
        <w:contextualSpacing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G8.</w:t>
      </w:r>
      <w:r w:rsidR="00C74D81" w:rsidRPr="00AE15DA">
        <w:rPr>
          <w:rFonts w:asciiTheme="minorHAnsi" w:hAnsiTheme="minorHAnsi"/>
          <w:b/>
          <w:sz w:val="22"/>
          <w:szCs w:val="22"/>
        </w:rPr>
        <w:t xml:space="preserve"> </w:t>
      </w:r>
      <w:r w:rsidR="00252C40" w:rsidRPr="00252C40">
        <w:rPr>
          <w:rFonts w:asciiTheme="minorHAnsi" w:hAnsiTheme="minorHAnsi"/>
          <w:b/>
          <w:sz w:val="22"/>
          <w:szCs w:val="22"/>
        </w:rPr>
        <w:t xml:space="preserve">SGLT-2-Hemmer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sind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Fälle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einer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GFR &lt; 45 ml/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min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>/1,73 m2.</w:t>
      </w:r>
    </w:p>
    <w:p w14:paraId="50574667" w14:textId="72375802" w:rsidR="00730686" w:rsidRPr="00AE15DA" w:rsidRDefault="00252C40" w:rsidP="00252C40">
      <w:pPr>
        <w:autoSpaceDE w:val="0"/>
        <w:autoSpaceDN w:val="0"/>
        <w:adjustRightInd w:val="0"/>
        <w:contextualSpacing/>
        <w:rPr>
          <w:rFonts w:asciiTheme="minorHAnsi" w:hAnsiTheme="minorHAnsi"/>
          <w:i/>
          <w:sz w:val="22"/>
          <w:szCs w:val="22"/>
        </w:rPr>
      </w:pPr>
      <w:r w:rsidRPr="00252C40">
        <w:rPr>
          <w:rFonts w:asciiTheme="minorHAnsi" w:hAnsiTheme="minorHAnsi"/>
          <w:b/>
          <w:sz w:val="22"/>
          <w:szCs w:val="22"/>
        </w:rPr>
        <w:t>*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Canagliflozin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Empagliflozin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und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Ertugliflozin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sind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in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Fällen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mit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einer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GFR &lt; 45 ml/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min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/1,73 m2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nicht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geeignet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,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hauptsächlich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wegen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der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verminderten</w:t>
      </w:r>
      <w:proofErr w:type="spellEnd"/>
      <w:r w:rsidRPr="00252C40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proofErr w:type="spellStart"/>
      <w:r w:rsidRPr="00252C40">
        <w:rPr>
          <w:rFonts w:asciiTheme="minorHAnsi" w:hAnsiTheme="minorHAnsi"/>
          <w:bCs/>
          <w:i/>
          <w:iCs/>
          <w:sz w:val="22"/>
          <w:szCs w:val="22"/>
        </w:rPr>
        <w:t>Wirksamkeit</w:t>
      </w:r>
      <w:proofErr w:type="spellEnd"/>
      <w:r w:rsidRPr="00252C40">
        <w:rPr>
          <w:rFonts w:asciiTheme="minorHAnsi" w:hAnsiTheme="minorHAnsi"/>
          <w:b/>
          <w:sz w:val="22"/>
          <w:szCs w:val="22"/>
        </w:rPr>
        <w:t>.</w:t>
      </w:r>
    </w:p>
    <w:p w14:paraId="3F34B78F" w14:textId="094EE0EF" w:rsidR="00730686" w:rsidRPr="00AE15DA" w:rsidRDefault="00A069E4" w:rsidP="0043334F">
      <w:pPr>
        <w:contextualSpacing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252C40" w:rsidRPr="00252C40"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Dapagliflozin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Fällen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GFR &lt; 60 ml/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/1,73 m2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wegen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seiner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reduzierten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Wirkung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nicht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angebracht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>.</w:t>
      </w:r>
    </w:p>
    <w:p w14:paraId="6472B021" w14:textId="201A8E48" w:rsidR="00E65BB5" w:rsidRPr="00AE15DA" w:rsidRDefault="00325B49" w:rsidP="0043334F">
      <w:pPr>
        <w:contextualSpacing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t>*</w:t>
      </w:r>
      <w:r w:rsidR="00D360FA" w:rsidRPr="00AE15DA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SGLT-2-Hemmern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zur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Nephropathie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(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Ausscheidung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Albumin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im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Urin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&gt; 300 mg/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Tag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)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GFR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30-60 ml/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min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/1,73 m2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erwogen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>.</w:t>
      </w:r>
    </w:p>
    <w:p w14:paraId="667E6E2D" w14:textId="77777777" w:rsidR="002F3D1A" w:rsidRPr="00AE15DA" w:rsidRDefault="002F3D1A" w:rsidP="0043334F">
      <w:pPr>
        <w:tabs>
          <w:tab w:val="left" w:pos="70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55B168" w14:textId="674525DD" w:rsidR="00EA06A2" w:rsidRPr="00AE15DA" w:rsidRDefault="00EA06A2" w:rsidP="0043334F">
      <w:pPr>
        <w:tabs>
          <w:tab w:val="left" w:pos="708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G</w:t>
      </w:r>
      <w:r w:rsidR="00C5147A" w:rsidRPr="00AE15DA">
        <w:rPr>
          <w:rFonts w:asciiTheme="minorHAnsi" w:hAnsiTheme="minorHAnsi"/>
          <w:b/>
          <w:sz w:val="22"/>
          <w:szCs w:val="22"/>
        </w:rPr>
        <w:t>9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Androgen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niedrigem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Serumtestosteronspiegel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, der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Symptomen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Anzeichen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Androgenmangels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begleitet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wird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252C40" w:rsidRPr="00252C40">
        <w:rPr>
          <w:rFonts w:asciiTheme="minorHAnsi" w:hAnsiTheme="minorHAnsi"/>
          <w:b/>
          <w:sz w:val="22"/>
          <w:szCs w:val="22"/>
        </w:rPr>
        <w:t>.</w:t>
      </w:r>
    </w:p>
    <w:p w14:paraId="41839C54" w14:textId="0990F490" w:rsidR="002F3D1A" w:rsidRPr="00AE15DA" w:rsidRDefault="008B7591" w:rsidP="0043334F">
      <w:pPr>
        <w:spacing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sz w:val="22"/>
          <w:szCs w:val="22"/>
        </w:rPr>
        <w:t>*</w:t>
      </w:r>
      <w:r w:rsidR="00252C40" w:rsidRPr="00252C40"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Diagnose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Hypogonadismus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wird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anhaltend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niedrigen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Serumtestosteronspiegeln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Symptomen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und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Anzeichen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eines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Androgenmangels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52C40" w:rsidRPr="00252C40">
        <w:rPr>
          <w:rFonts w:asciiTheme="minorHAnsi" w:hAnsiTheme="minorHAnsi"/>
          <w:i/>
          <w:sz w:val="22"/>
          <w:szCs w:val="22"/>
        </w:rPr>
        <w:t>gestellt</w:t>
      </w:r>
      <w:proofErr w:type="spellEnd"/>
      <w:r w:rsidR="00252C40" w:rsidRPr="00252C40">
        <w:rPr>
          <w:rFonts w:asciiTheme="minorHAnsi" w:hAnsiTheme="minorHAnsi"/>
          <w:i/>
          <w:sz w:val="22"/>
          <w:szCs w:val="22"/>
        </w:rPr>
        <w:t>.</w:t>
      </w:r>
    </w:p>
    <w:p w14:paraId="4E4A874F" w14:textId="77777777" w:rsidR="002F3D1A" w:rsidRPr="00AE15DA" w:rsidRDefault="002F3D1A" w:rsidP="0043334F">
      <w:pPr>
        <w:spacing w:before="100" w:beforeAutospacing="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35C19C" w14:textId="29CFD332" w:rsidR="00FA7B48" w:rsidRPr="00AE15DA" w:rsidRDefault="00415CD8" w:rsidP="0043334F">
      <w:pPr>
        <w:spacing w:before="100" w:before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G</w:t>
      </w:r>
      <w:r w:rsidR="00C5147A" w:rsidRPr="00AE15DA">
        <w:rPr>
          <w:rFonts w:asciiTheme="minorHAnsi" w:hAnsiTheme="minorHAnsi"/>
          <w:b/>
          <w:sz w:val="22"/>
          <w:szCs w:val="22"/>
        </w:rPr>
        <w:t>10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systemische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Östrogen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Patientinnen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Brustkrebs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oder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venöser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Thromboembolie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in der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Vorgeschichte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>.</w:t>
      </w:r>
    </w:p>
    <w:p w14:paraId="55514454" w14:textId="094D6530" w:rsidR="002F3D1A" w:rsidRPr="00AE15DA" w:rsidRDefault="00D17D20" w:rsidP="0043334F">
      <w:pPr>
        <w:spacing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AE15DA">
        <w:rPr>
          <w:rFonts w:asciiTheme="minorHAnsi" w:hAnsiTheme="minorHAnsi"/>
          <w:bCs/>
          <w:i/>
          <w:sz w:val="22"/>
          <w:szCs w:val="22"/>
        </w:rPr>
        <w:t>*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Vaginales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Östrogen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Patienten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mit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Brustkrebs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oder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venöser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Thromboembolie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in der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Vorgeschichte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;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Behandlung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urogenitalen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Symptomen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wie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atrophischen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Vaginitis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kann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es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nach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nicht-hormonellen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Behandlungen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unter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Berücksichtigung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der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Gewinn-Verlust-Bilanz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gegeben</w:t>
      </w:r>
      <w:proofErr w:type="spellEnd"/>
      <w:r w:rsidR="00C20BAB" w:rsidRPr="00C20BAB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i/>
          <w:sz w:val="22"/>
          <w:szCs w:val="22"/>
        </w:rPr>
        <w:t>werden</w:t>
      </w:r>
      <w:proofErr w:type="spellEnd"/>
      <w:r w:rsidR="00D360FA" w:rsidRPr="00AE15DA">
        <w:rPr>
          <w:rFonts w:asciiTheme="minorHAnsi" w:hAnsiTheme="minorHAnsi"/>
          <w:bCs/>
          <w:i/>
          <w:sz w:val="22"/>
          <w:szCs w:val="22"/>
        </w:rPr>
        <w:t>.</w:t>
      </w:r>
    </w:p>
    <w:p w14:paraId="4526C7D4" w14:textId="77777777" w:rsidR="00D360FA" w:rsidRPr="00AE15DA" w:rsidRDefault="00D360FA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BCCD732" w14:textId="12355B9C" w:rsidR="002F3D1A" w:rsidRPr="00AE15DA" w:rsidRDefault="00415CD8" w:rsidP="0043334F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G</w:t>
      </w:r>
      <w:r w:rsidR="00730686" w:rsidRPr="00AE15DA">
        <w:rPr>
          <w:rFonts w:asciiTheme="minorHAnsi" w:hAnsiTheme="minorHAnsi"/>
          <w:b/>
          <w:sz w:val="22"/>
          <w:szCs w:val="22"/>
        </w:rPr>
        <w:t>1</w:t>
      </w:r>
      <w:r w:rsidR="00C5147A" w:rsidRPr="00AE15DA">
        <w:rPr>
          <w:rFonts w:asciiTheme="minorHAnsi" w:hAnsiTheme="minorHAnsi"/>
          <w:b/>
          <w:sz w:val="22"/>
          <w:szCs w:val="22"/>
        </w:rPr>
        <w:t>1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Östrogen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ohne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gleichzeitige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Progesteron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Frauen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intakter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Gebärmutter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Endometriumkarzinom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>).</w:t>
      </w:r>
    </w:p>
    <w:p w14:paraId="0FD28B48" w14:textId="1D6E16A0" w:rsidR="00415CD8" w:rsidRPr="00AE15DA" w:rsidRDefault="00415CD8" w:rsidP="0043334F">
      <w:pPr>
        <w:pStyle w:val="HTMLVorformatiert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color w:val="000000"/>
          <w:sz w:val="22"/>
          <w:szCs w:val="22"/>
        </w:rPr>
        <w:t>G</w:t>
      </w:r>
      <w:r w:rsidR="00730686" w:rsidRPr="00AE15DA">
        <w:rPr>
          <w:rFonts w:asciiTheme="minorHAnsi" w:hAnsiTheme="minorHAnsi"/>
          <w:b/>
          <w:color w:val="000000"/>
          <w:sz w:val="22"/>
          <w:szCs w:val="22"/>
        </w:rPr>
        <w:t>1</w:t>
      </w:r>
      <w:r w:rsidR="00C5147A" w:rsidRPr="00AE15DA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AE15DA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Die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Anwendung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von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Megestrol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als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Appetitzügler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ist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nicht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geeignet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(minimale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Wirkung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auf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das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Gewicht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prothrombotische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Nebenwirkungen</w:t>
      </w:r>
      <w:proofErr w:type="spellEnd"/>
      <w:r w:rsidR="00C20BAB" w:rsidRPr="00C20BA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AE15DA">
        <w:rPr>
          <w:rFonts w:asciiTheme="minorHAnsi" w:hAnsiTheme="minorHAnsi"/>
          <w:b/>
          <w:sz w:val="22"/>
          <w:szCs w:val="22"/>
        </w:rPr>
        <w:t xml:space="preserve">) </w:t>
      </w:r>
    </w:p>
    <w:p w14:paraId="108E5FDD" w14:textId="77777777" w:rsidR="002F3D1A" w:rsidRPr="00AE15DA" w:rsidRDefault="002F3D1A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068C4" w14:textId="60072953" w:rsidR="007528C0" w:rsidRPr="00AE15DA" w:rsidRDefault="00415CD8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  <w:shd w:val="clear" w:color="auto" w:fill="FFFFFF"/>
        </w:rPr>
        <w:t>G</w:t>
      </w:r>
      <w:r w:rsidR="00730686" w:rsidRPr="00AE15DA">
        <w:rPr>
          <w:rFonts w:asciiTheme="minorHAnsi" w:hAnsiTheme="minorHAnsi"/>
          <w:b/>
          <w:sz w:val="22"/>
          <w:szCs w:val="22"/>
          <w:shd w:val="clear" w:color="auto" w:fill="FFFFFF"/>
        </w:rPr>
        <w:t>1</w:t>
      </w:r>
      <w:r w:rsidR="00C5147A" w:rsidRPr="00AE15DA">
        <w:rPr>
          <w:rFonts w:asciiTheme="minorHAnsi" w:hAnsiTheme="minorHAnsi"/>
          <w:b/>
          <w:sz w:val="22"/>
          <w:szCs w:val="22"/>
          <w:shd w:val="clear" w:color="auto" w:fill="FFFFFF"/>
        </w:rPr>
        <w:t>3</w:t>
      </w:r>
      <w:r w:rsidRPr="00AE15D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Bei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älteren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Patienten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mit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subklinischer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Hypothyreose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(TSH: 4-10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mI.E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./l; fT4: N)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ist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die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Anwendung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von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Schilddrüsenhormonen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unangemessen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(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kein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Zusatznutzen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potenzielles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Risiko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für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Nebenwirkungen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wie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Vorhofflimmern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und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Osteoporose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  <w:shd w:val="clear" w:color="auto" w:fill="FFFFFF"/>
        </w:rPr>
        <w:t>).</w:t>
      </w:r>
    </w:p>
    <w:p w14:paraId="7B7E2407" w14:textId="77777777" w:rsidR="002F3D1A" w:rsidRPr="00AE15DA" w:rsidRDefault="002F3D1A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391D86" w14:textId="638A35BB" w:rsidR="002F3D1A" w:rsidRPr="00AE15DA" w:rsidRDefault="007C70E3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sz w:val="28"/>
          <w:szCs w:val="28"/>
        </w:rPr>
        <w:t xml:space="preserve">H: </w:t>
      </w:r>
      <w:proofErr w:type="spellStart"/>
      <w:r w:rsidR="00C20BAB" w:rsidRPr="00C20BAB">
        <w:rPr>
          <w:rFonts w:asciiTheme="minorHAnsi" w:hAnsiTheme="minorHAnsi"/>
          <w:b/>
          <w:sz w:val="28"/>
          <w:szCs w:val="28"/>
        </w:rPr>
        <w:t>Antimuskarinisch-anticholinerge</w:t>
      </w:r>
      <w:proofErr w:type="spellEnd"/>
      <w:r w:rsidR="00C20BAB" w:rsidRPr="00C20BA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8"/>
          <w:szCs w:val="28"/>
        </w:rPr>
        <w:t>Belastung</w:t>
      </w:r>
      <w:proofErr w:type="spellEnd"/>
    </w:p>
    <w:p w14:paraId="772E769E" w14:textId="77777777" w:rsidR="002F3D1A" w:rsidRPr="00AE15DA" w:rsidRDefault="002F3D1A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867682" w14:textId="59F8A58A" w:rsidR="004816D3" w:rsidRPr="00AE15DA" w:rsidRDefault="004816D3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>H</w:t>
      </w:r>
      <w:r w:rsidR="001E43C4" w:rsidRPr="00AE15DA">
        <w:rPr>
          <w:rFonts w:asciiTheme="minorHAnsi" w:hAnsiTheme="minorHAnsi"/>
          <w:b/>
          <w:sz w:val="22"/>
          <w:szCs w:val="22"/>
        </w:rPr>
        <w:t>1</w:t>
      </w:r>
      <w:r w:rsidRPr="00AE15DA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Arzneimittel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hoher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anticholinerger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Wirkung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r w:rsidR="00C20BAB">
        <w:rPr>
          <w:rFonts w:asciiTheme="minorHAnsi" w:hAnsiTheme="minorHAnsi"/>
          <w:b/>
          <w:sz w:val="22"/>
          <w:szCs w:val="22"/>
        </w:rPr>
        <w:t>[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trizyklische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Antidepressiva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Chlorpromazin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Thioridazin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Clozapin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Olanzapin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Hyoscin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orales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Oxybutynin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Antihistaminika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der 1.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Generation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Pheniramin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Chlorpheniramin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Hydroxyzin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Cyproheptadin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C20BAB" w:rsidRPr="00C20BAB">
        <w:rPr>
          <w:rFonts w:asciiTheme="minorHAnsi" w:hAnsiTheme="minorHAnsi"/>
          <w:b/>
          <w:sz w:val="22"/>
          <w:szCs w:val="22"/>
        </w:rPr>
        <w:t>Dimenhydrinat</w:t>
      </w:r>
      <w:proofErr w:type="spellEnd"/>
      <w:r w:rsidR="00C20BAB" w:rsidRPr="00C20BAB">
        <w:rPr>
          <w:rFonts w:asciiTheme="minorHAnsi" w:hAnsiTheme="minorHAnsi"/>
          <w:b/>
          <w:sz w:val="22"/>
          <w:szCs w:val="22"/>
        </w:rPr>
        <w:t>)</w:t>
      </w:r>
    </w:p>
    <w:p w14:paraId="577D20A2" w14:textId="1902E19A" w:rsidR="004816D3" w:rsidRPr="00AE15DA" w:rsidRDefault="00643200" w:rsidP="0043334F">
      <w:pPr>
        <w:contextualSpacing/>
        <w:rPr>
          <w:rFonts w:asciiTheme="minorHAnsi" w:hAnsiTheme="minorHAnsi"/>
          <w:b/>
          <w:sz w:val="22"/>
          <w:szCs w:val="22"/>
        </w:rPr>
      </w:pPr>
      <w:proofErr w:type="spellStart"/>
      <w:r w:rsidRPr="00643200">
        <w:rPr>
          <w:rFonts w:asciiTheme="minorHAnsi" w:hAnsiTheme="minorHAnsi"/>
          <w:b/>
          <w:sz w:val="22"/>
          <w:szCs w:val="22"/>
        </w:rPr>
        <w:t>Sturz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Verstopfung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Engwinkelglaukom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Demenz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/ Delir /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Harnverhalt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obstruktive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LUTS-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Symptome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beim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Menschen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gleichzeitige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Einnahme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von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Arzneimitteln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mit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hoher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anticholinerger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43200">
        <w:rPr>
          <w:rFonts w:asciiTheme="minorHAnsi" w:hAnsiTheme="minorHAnsi"/>
          <w:b/>
          <w:sz w:val="22"/>
          <w:szCs w:val="22"/>
        </w:rPr>
        <w:t>Wirkung</w:t>
      </w:r>
      <w:proofErr w:type="spellEnd"/>
      <w:r w:rsidRPr="00643200">
        <w:rPr>
          <w:rFonts w:asciiTheme="minorHAnsi" w:hAnsiTheme="minorHAnsi"/>
          <w:b/>
          <w:sz w:val="22"/>
          <w:szCs w:val="22"/>
        </w:rPr>
        <w:t>.</w:t>
      </w:r>
    </w:p>
    <w:p w14:paraId="7659C4A9" w14:textId="44E72D47" w:rsidR="004816D3" w:rsidRPr="00AE15DA" w:rsidRDefault="004816D3" w:rsidP="0043334F">
      <w:pPr>
        <w:contextualSpacing/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AE15DA">
        <w:rPr>
          <w:rFonts w:asciiTheme="minorHAnsi" w:hAnsiTheme="minorHAnsi"/>
          <w:i/>
          <w:sz w:val="22"/>
          <w:szCs w:val="22"/>
          <w:shd w:val="clear" w:color="auto" w:fill="FFFFFF"/>
        </w:rPr>
        <w:t>*</w:t>
      </w:r>
      <w:r w:rsidR="00643200" w:rsidRPr="00643200"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Im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Allgemeinen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sollte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die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Anwendung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von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Arzneimitteln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mit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hoher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anticholinerger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Wirkung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bei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älteren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Menschen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nicht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bevorzugt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werden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;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Bei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klinischer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Notwendigkeit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sollte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es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hinsichtlich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Nebenwirkungen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sorgfältig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verfolgt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  <w:shd w:val="clear" w:color="auto" w:fill="FFFFFF"/>
        </w:rPr>
        <w:t>werden</w:t>
      </w:r>
      <w:proofErr w:type="spellEnd"/>
      <w:r w:rsidRPr="00AE15DA">
        <w:rPr>
          <w:rFonts w:asciiTheme="minorHAnsi" w:hAnsiTheme="minorHAnsi"/>
          <w:i/>
          <w:sz w:val="22"/>
          <w:szCs w:val="22"/>
          <w:shd w:val="clear" w:color="auto" w:fill="FFFFFF"/>
        </w:rPr>
        <w:t>.</w:t>
      </w:r>
    </w:p>
    <w:p w14:paraId="6CDA711E" w14:textId="1B767A08" w:rsidR="002F3D1A" w:rsidRPr="00AE15DA" w:rsidRDefault="001E43C4" w:rsidP="0043334F">
      <w:pPr>
        <w:spacing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AE15DA">
        <w:rPr>
          <w:rFonts w:asciiTheme="minorHAnsi" w:hAnsiTheme="minorHAnsi"/>
          <w:i/>
          <w:sz w:val="22"/>
          <w:szCs w:val="22"/>
        </w:rPr>
        <w:lastRenderedPageBreak/>
        <w:t>*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parenterale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Anwendung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von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Antihistaminika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der </w:t>
      </w:r>
      <w:r w:rsidR="00643200">
        <w:rPr>
          <w:rFonts w:asciiTheme="minorHAnsi" w:hAnsiTheme="minorHAnsi"/>
          <w:i/>
          <w:sz w:val="22"/>
          <w:szCs w:val="22"/>
        </w:rPr>
        <w:t>1.</w:t>
      </w:r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Generation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ist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Vorliegen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einer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akuten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allergischen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Reaktion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sz w:val="22"/>
          <w:szCs w:val="22"/>
        </w:rPr>
        <w:t>angebracht</w:t>
      </w:r>
      <w:proofErr w:type="spellEnd"/>
      <w:r w:rsidR="00643200" w:rsidRPr="00643200">
        <w:rPr>
          <w:rFonts w:asciiTheme="minorHAnsi" w:hAnsiTheme="minorHAnsi"/>
          <w:i/>
          <w:sz w:val="22"/>
          <w:szCs w:val="22"/>
        </w:rPr>
        <w:t>.</w:t>
      </w:r>
    </w:p>
    <w:p w14:paraId="0A81567C" w14:textId="77777777" w:rsidR="002F3D1A" w:rsidRPr="00AE15DA" w:rsidRDefault="002F3D1A" w:rsidP="0043334F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205FE6" w14:textId="6A73E348" w:rsidR="002F3D1A" w:rsidRPr="00AE15DA" w:rsidRDefault="007C70E3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8"/>
          <w:szCs w:val="28"/>
        </w:rPr>
        <w:t xml:space="preserve">J: </w:t>
      </w:r>
      <w:proofErr w:type="spellStart"/>
      <w:r w:rsidR="00643200" w:rsidRPr="00643200">
        <w:rPr>
          <w:rFonts w:asciiTheme="minorHAnsi" w:hAnsiTheme="minorHAnsi"/>
          <w:b/>
          <w:sz w:val="28"/>
          <w:szCs w:val="28"/>
        </w:rPr>
        <w:t>Ergänzungen</w:t>
      </w:r>
      <w:proofErr w:type="spellEnd"/>
      <w:r w:rsidRPr="00AE15DA">
        <w:rPr>
          <w:rFonts w:asciiTheme="minorHAnsi" w:hAnsiTheme="minorHAnsi"/>
          <w:b/>
          <w:sz w:val="28"/>
          <w:szCs w:val="28"/>
        </w:rPr>
        <w:t>.</w:t>
      </w:r>
    </w:p>
    <w:p w14:paraId="6C41EAFA" w14:textId="77777777" w:rsidR="002F3D1A" w:rsidRPr="00AE15DA" w:rsidRDefault="002F3D1A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14:paraId="37E05D73" w14:textId="7ED57C95" w:rsidR="00D21A73" w:rsidRPr="00AE15DA" w:rsidRDefault="004816D3" w:rsidP="0043334F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J1.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von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Ginkgo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biloba-Extrakt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Blutungsrisiko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Antikoagulanzien-Einnahme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>, NSAR-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Einnahme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signifikante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Blutungsanamnese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angebracht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>.</w:t>
      </w:r>
    </w:p>
    <w:p w14:paraId="356DDC85" w14:textId="32B6B74F" w:rsidR="002F3D1A" w:rsidRPr="00AE15DA" w:rsidRDefault="00640D00" w:rsidP="0043334F">
      <w:pPr>
        <w:shd w:val="clear" w:color="auto" w:fill="FFFFFF"/>
        <w:spacing w:after="100" w:afterAutospacing="1"/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color w:val="000000"/>
          <w:sz w:val="22"/>
          <w:szCs w:val="22"/>
        </w:rPr>
        <w:t>*</w:t>
      </w:r>
      <w:r w:rsidR="00643200" w:rsidRPr="00643200"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gleichzeitige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Anwendung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von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Aspirin mit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Ginkgo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biloba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erhöht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auch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das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Blutungsrisiko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; Es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kann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sinnvoller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sein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sie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in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Kombination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zu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verwenden</w:t>
      </w:r>
      <w:proofErr w:type="spellEnd"/>
      <w:r w:rsidR="00643200" w:rsidRPr="00643200">
        <w:rPr>
          <w:rFonts w:asciiTheme="minorHAnsi" w:hAnsiTheme="minorHAnsi"/>
          <w:i/>
          <w:color w:val="000000"/>
          <w:sz w:val="22"/>
          <w:szCs w:val="22"/>
        </w:rPr>
        <w:t>.</w:t>
      </w:r>
    </w:p>
    <w:p w14:paraId="1797F54E" w14:textId="77777777" w:rsidR="00F613FF" w:rsidRPr="00AE15DA" w:rsidRDefault="00F613FF" w:rsidP="0043334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AA7B97" w14:textId="61DE6524" w:rsidR="009361B0" w:rsidRPr="00AE15DA" w:rsidRDefault="004816D3" w:rsidP="0043334F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b/>
          <w:sz w:val="22"/>
          <w:szCs w:val="22"/>
        </w:rPr>
        <w:t xml:space="preserve">J2.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Johanniskraut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ist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für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systemische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Anwendung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geeignet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Antidepressiva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insbesondere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das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Risiko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eines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serotonergen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Syndroms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SSRIs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und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Patienten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Arzneimittel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einnehmen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durch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Cytochrom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p450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metabolisiert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werden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(z.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Johanniskraut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aktiviert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sz w:val="22"/>
          <w:szCs w:val="22"/>
        </w:rPr>
        <w:t>Cytochrom</w:t>
      </w:r>
      <w:proofErr w:type="spellEnd"/>
      <w:r w:rsidR="00643200" w:rsidRPr="00643200">
        <w:rPr>
          <w:rFonts w:asciiTheme="minorHAnsi" w:hAnsiTheme="minorHAnsi"/>
          <w:b/>
          <w:sz w:val="22"/>
          <w:szCs w:val="22"/>
        </w:rPr>
        <w:t xml:space="preserve"> p450).</w:t>
      </w:r>
    </w:p>
    <w:p w14:paraId="3A140F84" w14:textId="77777777" w:rsidR="00A8214A" w:rsidRPr="00AE15DA" w:rsidRDefault="00A8214A" w:rsidP="0043334F">
      <w:pPr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EA3FB18" w14:textId="4C1C1BBF" w:rsidR="00A8214A" w:rsidRPr="00AE15DA" w:rsidRDefault="00C6392A" w:rsidP="0043334F">
      <w:pPr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#</w:t>
      </w:r>
      <w:r w:rsidR="00552087" w:rsidRPr="00AE15DA">
        <w:rPr>
          <w:rFonts w:asciiTheme="minorHAnsi" w:hAnsiTheme="minorHAnsi"/>
          <w:b/>
          <w:color w:val="000000" w:themeColor="text1"/>
          <w:sz w:val="22"/>
          <w:szCs w:val="22"/>
        </w:rPr>
        <w:t>J3.</w:t>
      </w:r>
      <w:r w:rsidR="006C7F78" w:rsidRPr="00AE15D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Eine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Supplementation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ist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bei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Patienten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Warfarin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einnehmen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nicht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geeignet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aufgrund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des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möglichen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erhöhten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Blutungsrisikos</w:t>
      </w:r>
      <w:proofErr w:type="spellEnd"/>
      <w:r w:rsidR="00643200" w:rsidRPr="00643200">
        <w:rPr>
          <w:rFonts w:asciiTheme="minorHAnsi" w:hAnsiTheme="minorHAnsi"/>
          <w:b/>
          <w:color w:val="000000" w:themeColor="text1"/>
          <w:sz w:val="22"/>
          <w:szCs w:val="22"/>
        </w:rPr>
        <w:t>).</w:t>
      </w:r>
    </w:p>
    <w:p w14:paraId="63E48DC6" w14:textId="02C380B1" w:rsidR="00F613FF" w:rsidRPr="00AE15DA" w:rsidRDefault="00552087" w:rsidP="0043334F">
      <w:pPr>
        <w:contextualSpacing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AE15DA">
        <w:rPr>
          <w:rFonts w:asciiTheme="minorHAnsi" w:hAnsiTheme="minorHAnsi"/>
          <w:color w:val="000000" w:themeColor="text1"/>
          <w:sz w:val="22"/>
          <w:szCs w:val="22"/>
        </w:rPr>
        <w:t>*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Viele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oral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eingenommene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Nahrungsergänzungsmittel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(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zB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Ginseng,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Knoblauch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Kurkuma,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Ingwer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Teufelskralle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Johanniskraut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Coenzym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Q10,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grüner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Tee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usw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.)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können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das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Blutungsrisiko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erhöhen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indem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sie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die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gerinnungshemmende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Wirkung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von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Warfarin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verstärken</w:t>
      </w:r>
      <w:proofErr w:type="spellEnd"/>
      <w:r w:rsidR="00643200" w:rsidRPr="00643200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14:paraId="15625C03" w14:textId="77777777" w:rsidR="00FC26A6" w:rsidRDefault="00FC26A6" w:rsidP="0043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9FD5DA" w14:textId="26AE7820" w:rsidR="00121BFE" w:rsidRPr="000C6676" w:rsidRDefault="00121BFE" w:rsidP="00121BFE">
      <w:pPr>
        <w:contextualSpacing/>
        <w:jc w:val="both"/>
        <w:rPr>
          <w:rFonts w:asciiTheme="minorHAnsi" w:hAnsiTheme="minorHAnsi" w:cstheme="minorHAnsi"/>
          <w:bCs/>
          <w:i/>
        </w:rPr>
        <w:sectPr w:rsidR="00121BFE" w:rsidRPr="000C6676" w:rsidSect="00553AAE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0C6676">
        <w:rPr>
          <w:rFonts w:asciiTheme="minorHAnsi" w:hAnsiTheme="minorHAnsi" w:cstheme="minorHAnsi"/>
          <w:bCs/>
        </w:rPr>
        <w:t>#</w:t>
      </w:r>
      <w:r w:rsidR="00643200" w:rsidRPr="00643200">
        <w:t xml:space="preserve">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Kriterien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für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die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in der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Internationalen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Delphi-Panelstudie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kein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Konsens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erzielt</w:t>
      </w:r>
      <w:proofErr w:type="spellEnd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643200" w:rsidRPr="00643200">
        <w:rPr>
          <w:rFonts w:asciiTheme="minorHAnsi" w:hAnsiTheme="minorHAnsi" w:cstheme="minorHAnsi"/>
          <w:bCs/>
          <w:color w:val="000000"/>
          <w:shd w:val="clear" w:color="auto" w:fill="FFFFFF"/>
        </w:rPr>
        <w:t>wurde</w:t>
      </w:r>
      <w:proofErr w:type="spellEnd"/>
      <w:r w:rsidR="00643200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. </w:t>
      </w:r>
    </w:p>
    <w:tbl>
      <w:tblPr>
        <w:tblW w:w="6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7"/>
      </w:tblGrid>
      <w:tr w:rsidR="00FC26A6" w:rsidRPr="0063161F" w14:paraId="6FF6A4F9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DBDE" w14:textId="1E9587A5" w:rsidR="00FC26A6" w:rsidRDefault="002037E7" w:rsidP="005E4853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lastRenderedPageBreak/>
              <w:t>Abkü</w:t>
            </w:r>
            <w:r w:rsidR="00252C40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zungen</w:t>
            </w:r>
            <w:proofErr w:type="spellEnd"/>
            <w:r w:rsidR="00FC26A6">
              <w:rPr>
                <w:rFonts w:ascii="Calibri" w:hAnsi="Calibri"/>
                <w:b/>
              </w:rPr>
              <w:t>:</w:t>
            </w:r>
          </w:p>
          <w:p w14:paraId="5D42A0E6" w14:textId="77777777" w:rsidR="00FC26A6" w:rsidRDefault="00FC26A6" w:rsidP="005E4853">
            <w:pPr>
              <w:rPr>
                <w:rFonts w:ascii="Calibri" w:hAnsi="Calibri"/>
                <w:b/>
              </w:rPr>
            </w:pPr>
          </w:p>
          <w:p w14:paraId="60237BCF" w14:textId="0F7B9783" w:rsidR="00FC26A6" w:rsidRPr="009C777C" w:rsidRDefault="00FC26A6" w:rsidP="005E4853">
            <w:pPr>
              <w:rPr>
                <w:rFonts w:ascii="Calibri" w:hAnsi="Calibri"/>
                <w:bCs/>
              </w:rPr>
            </w:pPr>
            <w:r w:rsidRPr="009C777C">
              <w:rPr>
                <w:rFonts w:ascii="Calibri" w:hAnsi="Calibri"/>
                <w:bCs/>
              </w:rPr>
              <w:t xml:space="preserve">AF: </w:t>
            </w:r>
            <w:proofErr w:type="spellStart"/>
            <w:r w:rsidR="002037E7" w:rsidRPr="002037E7">
              <w:rPr>
                <w:rFonts w:ascii="Calibri" w:hAnsi="Calibri"/>
                <w:bCs/>
              </w:rPr>
              <w:t>Vorhofflimmern</w:t>
            </w:r>
            <w:proofErr w:type="spellEnd"/>
          </w:p>
          <w:p w14:paraId="4C518F63" w14:textId="09575C9E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ACE</w:t>
            </w:r>
            <w:r>
              <w:rPr>
                <w:rFonts w:ascii="Calibri" w:hAnsi="Calibri"/>
              </w:rPr>
              <w:t>İ:</w:t>
            </w:r>
            <w:r w:rsidRPr="0063161F">
              <w:rPr>
                <w:rFonts w:ascii="Calibri" w:hAnsi="Calibri"/>
              </w:rPr>
              <w:t xml:space="preserve"> </w:t>
            </w:r>
            <w:proofErr w:type="spellStart"/>
            <w:r w:rsidR="002037E7" w:rsidRPr="002037E7">
              <w:rPr>
                <w:rFonts w:ascii="Calibri" w:hAnsi="Calibri"/>
              </w:rPr>
              <w:t>Angiotensin-Converting-Enzym-Hemmer</w:t>
            </w:r>
            <w:proofErr w:type="spellEnd"/>
          </w:p>
        </w:tc>
      </w:tr>
      <w:tr w:rsidR="00FC26A6" w:rsidRPr="0063161F" w14:paraId="50587585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6C1" w14:textId="3E90FB5D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ARB: </w:t>
            </w:r>
            <w:proofErr w:type="spellStart"/>
            <w:r w:rsidR="002037E7" w:rsidRPr="002037E7">
              <w:rPr>
                <w:rFonts w:ascii="Calibri" w:hAnsi="Calibri"/>
              </w:rPr>
              <w:t>Angiotensin-Rezeptor-Blocker</w:t>
            </w:r>
            <w:proofErr w:type="spellEnd"/>
          </w:p>
        </w:tc>
      </w:tr>
      <w:tr w:rsidR="00FC26A6" w:rsidRPr="0063161F" w14:paraId="5125DA48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F5F" w14:textId="4FA01D18" w:rsidR="00FC26A6" w:rsidRDefault="00FC26A6" w:rsidP="005E485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ChEIs</w:t>
            </w:r>
            <w:proofErr w:type="spellEnd"/>
            <w:r w:rsidRPr="0063161F">
              <w:rPr>
                <w:rFonts w:ascii="Calibri" w:hAnsi="Calibri"/>
              </w:rPr>
              <w:t>:</w:t>
            </w:r>
            <w:r w:rsidR="002037E7">
              <w:rPr>
                <w:rFonts w:ascii="Calibri" w:hAnsi="Calibri"/>
              </w:rPr>
              <w:t xml:space="preserve"> </w:t>
            </w:r>
            <w:proofErr w:type="spellStart"/>
            <w:r w:rsidR="002037E7" w:rsidRPr="002037E7">
              <w:rPr>
                <w:rFonts w:ascii="Calibri" w:hAnsi="Calibri"/>
              </w:rPr>
              <w:t>Acetylcholinesterase-Hemmer</w:t>
            </w:r>
            <w:proofErr w:type="spellEnd"/>
          </w:p>
          <w:p w14:paraId="036EEA79" w14:textId="77777777" w:rsidR="00FC26A6" w:rsidRPr="0063161F" w:rsidRDefault="00FC26A6" w:rsidP="005E4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DM: </w:t>
            </w:r>
            <w:proofErr w:type="spellStart"/>
            <w:r>
              <w:rPr>
                <w:rFonts w:ascii="Calibri" w:hAnsi="Calibri"/>
              </w:rPr>
              <w:t>Diabetes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mellitus</w:t>
            </w:r>
            <w:proofErr w:type="spellEnd"/>
          </w:p>
        </w:tc>
      </w:tr>
      <w:tr w:rsidR="00FC26A6" w:rsidRPr="0063161F" w14:paraId="41DC5DDF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A15" w14:textId="17CA47FC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EF: </w:t>
            </w:r>
            <w:proofErr w:type="spellStart"/>
            <w:r w:rsidR="002037E7" w:rsidRPr="002037E7">
              <w:rPr>
                <w:rFonts w:ascii="Calibri" w:hAnsi="Calibri"/>
              </w:rPr>
              <w:t>Ejektionsfraktion</w:t>
            </w:r>
            <w:proofErr w:type="spellEnd"/>
          </w:p>
        </w:tc>
      </w:tr>
      <w:tr w:rsidR="00FC26A6" w:rsidRPr="0063161F" w14:paraId="2326D158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079" w14:textId="7EBDDDDA" w:rsidR="00FC26A6" w:rsidRPr="0063161F" w:rsidRDefault="00FC26A6" w:rsidP="005E485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eGFR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E81C60" w:rsidRPr="00E81C60">
              <w:rPr>
                <w:rFonts w:ascii="Calibri" w:hAnsi="Calibri"/>
              </w:rPr>
              <w:t>Geschätzte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glomeruläre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Filtrationsrate</w:t>
            </w:r>
            <w:proofErr w:type="spellEnd"/>
          </w:p>
        </w:tc>
      </w:tr>
      <w:tr w:rsidR="00FC26A6" w:rsidRPr="0063161F" w14:paraId="7D4EC7F4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937" w14:textId="77777777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FDA: </w:t>
            </w:r>
            <w:proofErr w:type="spellStart"/>
            <w:r w:rsidRPr="0063161F">
              <w:rPr>
                <w:rFonts w:ascii="Calibri" w:hAnsi="Calibri"/>
              </w:rPr>
              <w:t>Food</w:t>
            </w:r>
            <w:proofErr w:type="spellEnd"/>
            <w:r w:rsidRPr="0063161F">
              <w:rPr>
                <w:rFonts w:ascii="Calibri" w:hAnsi="Calibri"/>
              </w:rPr>
              <w:t xml:space="preserve"> </w:t>
            </w:r>
            <w:proofErr w:type="spellStart"/>
            <w:r w:rsidRPr="0063161F">
              <w:rPr>
                <w:rFonts w:ascii="Calibri" w:hAnsi="Calibri"/>
              </w:rPr>
              <w:t>and</w:t>
            </w:r>
            <w:proofErr w:type="spellEnd"/>
            <w:r w:rsidRPr="0063161F">
              <w:rPr>
                <w:rFonts w:ascii="Calibri" w:hAnsi="Calibri"/>
              </w:rPr>
              <w:t xml:space="preserve"> </w:t>
            </w:r>
            <w:proofErr w:type="spellStart"/>
            <w:r w:rsidRPr="0063161F">
              <w:rPr>
                <w:rFonts w:ascii="Calibri" w:hAnsi="Calibri"/>
              </w:rPr>
              <w:t>Drug</w:t>
            </w:r>
            <w:proofErr w:type="spellEnd"/>
            <w:r w:rsidRPr="0063161F">
              <w:rPr>
                <w:rFonts w:ascii="Calibri" w:hAnsi="Calibri"/>
              </w:rPr>
              <w:t xml:space="preserve"> Administration</w:t>
            </w:r>
          </w:p>
        </w:tc>
      </w:tr>
      <w:tr w:rsidR="00FC26A6" w:rsidRPr="0063161F" w14:paraId="58FE05B3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C597" w14:textId="38862B87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GIS: </w:t>
            </w:r>
            <w:proofErr w:type="spellStart"/>
            <w:r w:rsidR="00E81C60" w:rsidRPr="00E81C60">
              <w:rPr>
                <w:rFonts w:ascii="Calibri" w:hAnsi="Calibri"/>
              </w:rPr>
              <w:t>Magen-Darmtrakt</w:t>
            </w:r>
            <w:proofErr w:type="spellEnd"/>
          </w:p>
        </w:tc>
      </w:tr>
      <w:tr w:rsidR="00FC26A6" w:rsidRPr="0063161F" w14:paraId="002375DC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DED" w14:textId="77777777" w:rsidR="00E81C60" w:rsidRDefault="00FC26A6" w:rsidP="005E4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Gİ</w:t>
            </w:r>
            <w:r w:rsidRPr="0063161F">
              <w:rPr>
                <w:rFonts w:ascii="Calibri" w:hAnsi="Calibri"/>
              </w:rPr>
              <w:t xml:space="preserve">A: </w:t>
            </w:r>
            <w:proofErr w:type="spellStart"/>
            <w:r w:rsidR="00E81C60" w:rsidRPr="00E81C60">
              <w:rPr>
                <w:rFonts w:ascii="Calibri" w:hAnsi="Calibri"/>
              </w:rPr>
              <w:t>Transitorische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ischämische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Attacke</w:t>
            </w:r>
            <w:proofErr w:type="spellEnd"/>
          </w:p>
          <w:p w14:paraId="01BB0E62" w14:textId="031C8FD8" w:rsidR="00FC26A6" w:rsidRPr="0063161F" w:rsidRDefault="00FC26A6" w:rsidP="005E4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GÖR: </w:t>
            </w:r>
            <w:proofErr w:type="spellStart"/>
            <w:r w:rsidR="00E81C60" w:rsidRPr="00E81C60">
              <w:rPr>
                <w:rFonts w:ascii="Calibri" w:hAnsi="Calibri"/>
              </w:rPr>
              <w:t>gastroösophagealer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Reflux</w:t>
            </w:r>
            <w:proofErr w:type="spellEnd"/>
          </w:p>
        </w:tc>
      </w:tr>
      <w:tr w:rsidR="00FC26A6" w:rsidRPr="0063161F" w14:paraId="3E930219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2B80" w14:textId="57F50B33" w:rsidR="00FC26A6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H1 </w:t>
            </w:r>
            <w:proofErr w:type="spellStart"/>
            <w:r w:rsidRPr="0063161F">
              <w:rPr>
                <w:rFonts w:ascii="Calibri" w:hAnsi="Calibri"/>
              </w:rPr>
              <w:t>receptor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r w:rsidR="00E81C60" w:rsidRPr="00E81C60">
              <w:rPr>
                <w:rFonts w:ascii="Calibri" w:hAnsi="Calibri"/>
              </w:rPr>
              <w:t>Histamin-1-Rezeptor</w:t>
            </w:r>
          </w:p>
          <w:p w14:paraId="562AAF46" w14:textId="7F67ACEC" w:rsidR="00FC26A6" w:rsidRPr="0063161F" w:rsidRDefault="00FC26A6" w:rsidP="005E4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HT: </w:t>
            </w:r>
            <w:proofErr w:type="spellStart"/>
            <w:r w:rsidR="00E81C60" w:rsidRPr="00E81C60">
              <w:rPr>
                <w:rFonts w:ascii="Calibri" w:hAnsi="Calibri"/>
              </w:rPr>
              <w:t>Hypertonie</w:t>
            </w:r>
            <w:proofErr w:type="spellEnd"/>
          </w:p>
        </w:tc>
      </w:tr>
      <w:tr w:rsidR="00FC26A6" w:rsidRPr="0063161F" w14:paraId="0C15F749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19D" w14:textId="51D4897F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INR: </w:t>
            </w:r>
            <w:proofErr w:type="spellStart"/>
            <w:r w:rsidR="00E81C60" w:rsidRPr="00E81C60">
              <w:rPr>
                <w:rFonts w:ascii="Calibri" w:hAnsi="Calibri"/>
              </w:rPr>
              <w:t>Internationales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normalisiertes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Verhältnis</w:t>
            </w:r>
            <w:proofErr w:type="spellEnd"/>
          </w:p>
        </w:tc>
      </w:tr>
      <w:tr w:rsidR="00FC26A6" w:rsidRPr="0063161F" w14:paraId="7172DB5E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576E" w14:textId="45329CC2" w:rsidR="00FC26A6" w:rsidRPr="0063161F" w:rsidRDefault="00FC26A6" w:rsidP="005E4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KOAH</w:t>
            </w:r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E81C60" w:rsidRPr="00E81C60">
              <w:rPr>
                <w:rFonts w:ascii="Calibri" w:hAnsi="Calibri"/>
              </w:rPr>
              <w:t>Chronisch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obstruktive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Lungenerkrankung</w:t>
            </w:r>
            <w:proofErr w:type="spellEnd"/>
          </w:p>
        </w:tc>
      </w:tr>
      <w:tr w:rsidR="00FC26A6" w:rsidRPr="0063161F" w14:paraId="3C23AA1A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F21" w14:textId="18193884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LUTS: </w:t>
            </w:r>
            <w:proofErr w:type="spellStart"/>
            <w:r w:rsidR="00E81C60" w:rsidRPr="00E81C60">
              <w:rPr>
                <w:rFonts w:ascii="Calibri" w:hAnsi="Calibri"/>
              </w:rPr>
              <w:t>Symptome</w:t>
            </w:r>
            <w:proofErr w:type="spellEnd"/>
            <w:r w:rsidR="00E81C60" w:rsidRPr="00E81C60">
              <w:rPr>
                <w:rFonts w:ascii="Calibri" w:hAnsi="Calibri"/>
              </w:rPr>
              <w:t xml:space="preserve"> der </w:t>
            </w:r>
            <w:proofErr w:type="spellStart"/>
            <w:r w:rsidR="00E81C60" w:rsidRPr="00E81C60">
              <w:rPr>
                <w:rFonts w:ascii="Calibri" w:hAnsi="Calibri"/>
              </w:rPr>
              <w:t>unteren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Harnwege</w:t>
            </w:r>
            <w:proofErr w:type="spellEnd"/>
          </w:p>
        </w:tc>
      </w:tr>
      <w:tr w:rsidR="00FC26A6" w:rsidRPr="0063161F" w14:paraId="23B2AF8D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7D9D" w14:textId="4A7FD1B1" w:rsidR="00FC26A6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İ</w:t>
            </w:r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E81C60" w:rsidRPr="00E81C60">
              <w:rPr>
                <w:rFonts w:ascii="Calibri" w:hAnsi="Calibri"/>
              </w:rPr>
              <w:t>Herzinfarkt</w:t>
            </w:r>
            <w:proofErr w:type="spellEnd"/>
          </w:p>
          <w:p w14:paraId="4E7CC587" w14:textId="4138A74B" w:rsidR="00FC26A6" w:rsidRPr="0063161F" w:rsidRDefault="00FC26A6" w:rsidP="005E4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MSS: </w:t>
            </w:r>
            <w:proofErr w:type="spellStart"/>
            <w:r w:rsidR="00E81C60" w:rsidRPr="00E81C60">
              <w:rPr>
                <w:rFonts w:ascii="Calibri" w:hAnsi="Calibri"/>
              </w:rPr>
              <w:t>zentrales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Nervensystem</w:t>
            </w:r>
            <w:proofErr w:type="spellEnd"/>
          </w:p>
        </w:tc>
      </w:tr>
      <w:tr w:rsidR="00FC26A6" w:rsidRPr="0063161F" w14:paraId="00AA0138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018" w14:textId="36129936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NSA</w:t>
            </w:r>
            <w:r>
              <w:rPr>
                <w:rFonts w:ascii="Calibri" w:hAnsi="Calibri"/>
              </w:rPr>
              <w:t>İİ</w:t>
            </w:r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E81C60" w:rsidRPr="00E81C60">
              <w:rPr>
                <w:rFonts w:ascii="Calibri" w:hAnsi="Calibri"/>
              </w:rPr>
              <w:t>Nicht-steroidale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entzündungshemmende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Medikamente</w:t>
            </w:r>
            <w:proofErr w:type="spellEnd"/>
          </w:p>
        </w:tc>
      </w:tr>
      <w:tr w:rsidR="00FC26A6" w:rsidRPr="0063161F" w14:paraId="5A3830CE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732D" w14:textId="3680D87E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NYHA: </w:t>
            </w:r>
            <w:r w:rsidR="00E81C60" w:rsidRPr="00E81C60">
              <w:rPr>
                <w:rFonts w:ascii="Calibri" w:hAnsi="Calibri"/>
              </w:rPr>
              <w:t xml:space="preserve">New </w:t>
            </w:r>
            <w:proofErr w:type="spellStart"/>
            <w:r w:rsidR="00E81C60" w:rsidRPr="00E81C60">
              <w:rPr>
                <w:rFonts w:ascii="Calibri" w:hAnsi="Calibri"/>
              </w:rPr>
              <w:t>Yorker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Herzverband</w:t>
            </w:r>
            <w:proofErr w:type="spellEnd"/>
          </w:p>
        </w:tc>
      </w:tr>
      <w:tr w:rsidR="00FC26A6" w:rsidRPr="0063161F" w14:paraId="1CA4EB6E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1AA" w14:textId="5D91DF9B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OA</w:t>
            </w:r>
            <w:r>
              <w:rPr>
                <w:rFonts w:ascii="Calibri" w:hAnsi="Calibri"/>
              </w:rPr>
              <w:t>K</w:t>
            </w:r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E81C60" w:rsidRPr="00E81C60">
              <w:rPr>
                <w:rFonts w:ascii="Calibri" w:hAnsi="Calibri"/>
              </w:rPr>
              <w:t>orales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Antikoagulans</w:t>
            </w:r>
            <w:proofErr w:type="spellEnd"/>
          </w:p>
        </w:tc>
      </w:tr>
      <w:tr w:rsidR="00FC26A6" w:rsidRPr="0063161F" w14:paraId="5F22DF8C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82D" w14:textId="349C4B53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M</w:t>
            </w:r>
            <w:r w:rsidRPr="0063161F">
              <w:rPr>
                <w:rFonts w:ascii="Calibri" w:hAnsi="Calibri"/>
              </w:rPr>
              <w:t xml:space="preserve">R: </w:t>
            </w:r>
            <w:proofErr w:type="spellStart"/>
            <w:r w:rsidR="00E81C60" w:rsidRPr="00E81C60">
              <w:rPr>
                <w:rFonts w:ascii="Calibri" w:hAnsi="Calibri"/>
              </w:rPr>
              <w:t>Rückstände</w:t>
            </w:r>
            <w:proofErr w:type="spellEnd"/>
            <w:r w:rsidR="00E81C60" w:rsidRPr="00E81C60">
              <w:rPr>
                <w:rFonts w:ascii="Calibri" w:hAnsi="Calibri"/>
              </w:rPr>
              <w:t xml:space="preserve"> </w:t>
            </w:r>
            <w:proofErr w:type="spellStart"/>
            <w:r w:rsidR="00E81C60" w:rsidRPr="00E81C60">
              <w:rPr>
                <w:rFonts w:ascii="Calibri" w:hAnsi="Calibri"/>
              </w:rPr>
              <w:t>nach</w:t>
            </w:r>
            <w:proofErr w:type="spellEnd"/>
            <w:r w:rsidR="00E81C60" w:rsidRPr="00E81C60">
              <w:rPr>
                <w:rFonts w:ascii="Calibri" w:hAnsi="Calibri"/>
              </w:rPr>
              <w:t xml:space="preserve"> dem </w:t>
            </w:r>
            <w:proofErr w:type="spellStart"/>
            <w:r w:rsidR="00E81C60" w:rsidRPr="00E81C60">
              <w:rPr>
                <w:rFonts w:ascii="Calibri" w:hAnsi="Calibri"/>
              </w:rPr>
              <w:t>Urinieren</w:t>
            </w:r>
            <w:proofErr w:type="spellEnd"/>
          </w:p>
        </w:tc>
      </w:tr>
      <w:tr w:rsidR="00FC26A6" w:rsidRPr="0063161F" w14:paraId="4E103E26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899" w14:textId="344C4FBE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pO2: </w:t>
            </w:r>
            <w:proofErr w:type="spellStart"/>
            <w:r w:rsidR="00E81C60" w:rsidRPr="00E81C60">
              <w:rPr>
                <w:rFonts w:ascii="Calibri" w:hAnsi="Calibri"/>
              </w:rPr>
              <w:t>Sauerstoffpartialdruck</w:t>
            </w:r>
            <w:proofErr w:type="spellEnd"/>
          </w:p>
        </w:tc>
      </w:tr>
      <w:tr w:rsidR="00FC26A6" w:rsidRPr="0063161F" w14:paraId="3A500C88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061A" w14:textId="5516822F" w:rsidR="00FC26A6" w:rsidRPr="0063161F" w:rsidRDefault="00FC26A6" w:rsidP="005E4853">
            <w:pPr>
              <w:rPr>
                <w:rFonts w:ascii="Calibri" w:hAnsi="Calibri"/>
              </w:rPr>
            </w:pPr>
            <w:bookmarkStart w:id="0" w:name="RANGE!A28"/>
            <w:r w:rsidRPr="0063161F">
              <w:rPr>
                <w:rFonts w:ascii="Calibri" w:hAnsi="Calibri"/>
              </w:rPr>
              <w:t>PP</w:t>
            </w:r>
            <w:r>
              <w:rPr>
                <w:rFonts w:ascii="Calibri" w:hAnsi="Calibri"/>
              </w:rPr>
              <w:t>İ</w:t>
            </w:r>
            <w:r w:rsidRPr="0063161F">
              <w:rPr>
                <w:rFonts w:ascii="Calibri" w:hAnsi="Calibri"/>
              </w:rPr>
              <w:t xml:space="preserve">: </w:t>
            </w:r>
            <w:bookmarkEnd w:id="0"/>
            <w:proofErr w:type="spellStart"/>
            <w:r w:rsidR="00E81C60" w:rsidRPr="00E81C60">
              <w:rPr>
                <w:rFonts w:ascii="Calibri" w:hAnsi="Calibri"/>
              </w:rPr>
              <w:t>Protonenpumpenhemmer</w:t>
            </w:r>
            <w:proofErr w:type="spellEnd"/>
          </w:p>
        </w:tc>
      </w:tr>
      <w:tr w:rsidR="00FC26A6" w:rsidRPr="0063161F" w14:paraId="37EE3C99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544" w14:textId="793017BE" w:rsidR="00FC26A6" w:rsidRPr="0063161F" w:rsidRDefault="00FC26A6" w:rsidP="005E485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QTc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E81C60" w:rsidRPr="00E81C60">
              <w:rPr>
                <w:rFonts w:ascii="Calibri" w:hAnsi="Calibri"/>
              </w:rPr>
              <w:t>korrigiertes</w:t>
            </w:r>
            <w:proofErr w:type="spellEnd"/>
            <w:r w:rsidR="00E81C60" w:rsidRPr="00E81C60">
              <w:rPr>
                <w:rFonts w:ascii="Calibri" w:hAnsi="Calibri"/>
              </w:rPr>
              <w:t xml:space="preserve"> QT-</w:t>
            </w:r>
            <w:proofErr w:type="spellStart"/>
            <w:r w:rsidR="00E81C60" w:rsidRPr="00E81C60">
              <w:rPr>
                <w:rFonts w:ascii="Calibri" w:hAnsi="Calibri"/>
              </w:rPr>
              <w:t>Intervall</w:t>
            </w:r>
            <w:proofErr w:type="spellEnd"/>
          </w:p>
        </w:tc>
      </w:tr>
      <w:tr w:rsidR="00FC26A6" w:rsidRPr="0063161F" w14:paraId="55AC372A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8A94" w14:textId="7FF100D8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RAS: </w:t>
            </w:r>
            <w:r w:rsidR="00E81C60" w:rsidRPr="00E81C60">
              <w:rPr>
                <w:rFonts w:ascii="Calibri" w:hAnsi="Calibri"/>
              </w:rPr>
              <w:t>Renin-</w:t>
            </w:r>
            <w:proofErr w:type="spellStart"/>
            <w:r w:rsidR="00E81C60" w:rsidRPr="00E81C60">
              <w:rPr>
                <w:rFonts w:ascii="Calibri" w:hAnsi="Calibri"/>
              </w:rPr>
              <w:t>Angiotensin</w:t>
            </w:r>
            <w:proofErr w:type="spellEnd"/>
            <w:r w:rsidR="00E81C60" w:rsidRPr="00E81C60">
              <w:rPr>
                <w:rFonts w:ascii="Calibri" w:hAnsi="Calibri"/>
              </w:rPr>
              <w:t>-</w:t>
            </w:r>
            <w:proofErr w:type="spellStart"/>
            <w:r w:rsidR="00E81C60" w:rsidRPr="00E81C60">
              <w:rPr>
                <w:rFonts w:ascii="Calibri" w:hAnsi="Calibri"/>
              </w:rPr>
              <w:t>System</w:t>
            </w:r>
            <w:proofErr w:type="spellEnd"/>
          </w:p>
        </w:tc>
      </w:tr>
      <w:tr w:rsidR="00FC26A6" w:rsidRPr="0063161F" w14:paraId="3E2684C9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992" w14:textId="46BED990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SGLT-2: </w:t>
            </w:r>
            <w:r w:rsidR="00E81C60" w:rsidRPr="00E81C60">
              <w:rPr>
                <w:rFonts w:ascii="Calibri" w:hAnsi="Calibri"/>
              </w:rPr>
              <w:t>Natrium-Glukose-Cotransporter-2</w:t>
            </w:r>
          </w:p>
        </w:tc>
      </w:tr>
      <w:tr w:rsidR="00FC26A6" w:rsidRPr="0063161F" w14:paraId="0F37E908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853" w14:textId="6070A1FF" w:rsidR="00FC26A6" w:rsidRPr="0063161F" w:rsidRDefault="00FC26A6" w:rsidP="005E485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SNRIs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E81C60" w:rsidRPr="00E81C60">
              <w:rPr>
                <w:rFonts w:ascii="Calibri" w:hAnsi="Calibri"/>
              </w:rPr>
              <w:t>Serotonin-Noradrenalin-Wiederaufnahmehemmer</w:t>
            </w:r>
            <w:proofErr w:type="spellEnd"/>
          </w:p>
        </w:tc>
      </w:tr>
      <w:tr w:rsidR="00FC26A6" w:rsidRPr="0063161F" w14:paraId="12A3E458" w14:textId="77777777" w:rsidTr="005E4853">
        <w:trPr>
          <w:trHeight w:val="269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B90" w14:textId="6F3DB74F" w:rsidR="00FC26A6" w:rsidRPr="0063161F" w:rsidRDefault="00FC26A6" w:rsidP="005E4853">
            <w:pPr>
              <w:rPr>
                <w:rFonts w:ascii="Calibri" w:hAnsi="Calibri"/>
              </w:rPr>
            </w:pPr>
            <w:proofErr w:type="spellStart"/>
            <w:r w:rsidRPr="0063161F">
              <w:rPr>
                <w:rFonts w:ascii="Calibri" w:hAnsi="Calibri"/>
              </w:rPr>
              <w:t>SSRIs</w:t>
            </w:r>
            <w:proofErr w:type="spellEnd"/>
            <w:r w:rsidRPr="0063161F">
              <w:rPr>
                <w:rFonts w:ascii="Calibri" w:hAnsi="Calibri"/>
              </w:rPr>
              <w:t xml:space="preserve">: </w:t>
            </w:r>
            <w:proofErr w:type="spellStart"/>
            <w:r w:rsidR="0042765D" w:rsidRPr="0042765D">
              <w:rPr>
                <w:rFonts w:ascii="Calibri" w:hAnsi="Calibri"/>
              </w:rPr>
              <w:t>Selektive</w:t>
            </w:r>
            <w:proofErr w:type="spellEnd"/>
            <w:r w:rsidR="0042765D" w:rsidRPr="0042765D">
              <w:rPr>
                <w:rFonts w:ascii="Calibri" w:hAnsi="Calibri"/>
              </w:rPr>
              <w:t xml:space="preserve"> </w:t>
            </w:r>
            <w:proofErr w:type="spellStart"/>
            <w:r w:rsidR="0042765D" w:rsidRPr="0042765D">
              <w:rPr>
                <w:rFonts w:ascii="Calibri" w:hAnsi="Calibri"/>
              </w:rPr>
              <w:t>Serotonin-Wiederaufnahmehemmer</w:t>
            </w:r>
            <w:proofErr w:type="spellEnd"/>
          </w:p>
        </w:tc>
      </w:tr>
      <w:tr w:rsidR="00FC26A6" w:rsidRPr="0063161F" w14:paraId="0802F00F" w14:textId="77777777" w:rsidTr="005E4853">
        <w:trPr>
          <w:trHeight w:val="71"/>
        </w:trPr>
        <w:tc>
          <w:tcPr>
            <w:tcW w:w="6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F5A" w14:textId="415A0D6D" w:rsidR="00FC26A6" w:rsidRPr="0063161F" w:rsidRDefault="00FC26A6" w:rsidP="005E4853">
            <w:pPr>
              <w:rPr>
                <w:rFonts w:ascii="Calibri" w:hAnsi="Calibri"/>
              </w:rPr>
            </w:pPr>
            <w:r w:rsidRPr="0063161F">
              <w:rPr>
                <w:rFonts w:ascii="Calibri" w:hAnsi="Calibri"/>
              </w:rPr>
              <w:t xml:space="preserve">TSH: </w:t>
            </w:r>
            <w:proofErr w:type="spellStart"/>
            <w:r w:rsidR="0042765D" w:rsidRPr="0042765D">
              <w:rPr>
                <w:rFonts w:ascii="Calibri" w:hAnsi="Calibri"/>
              </w:rPr>
              <w:t>Schilddrüsenstimulierendes</w:t>
            </w:r>
            <w:proofErr w:type="spellEnd"/>
            <w:r w:rsidR="0042765D" w:rsidRPr="0042765D">
              <w:rPr>
                <w:rFonts w:ascii="Calibri" w:hAnsi="Calibri"/>
              </w:rPr>
              <w:t xml:space="preserve"> Hormon</w:t>
            </w:r>
          </w:p>
        </w:tc>
      </w:tr>
    </w:tbl>
    <w:p w14:paraId="06848E3F" w14:textId="77777777" w:rsidR="004F6EEC" w:rsidRPr="00181929" w:rsidRDefault="004F6EEC" w:rsidP="0043334F">
      <w:pPr>
        <w:spacing w:after="160"/>
        <w:contextualSpacing/>
        <w:rPr>
          <w:rFonts w:asciiTheme="minorHAnsi" w:hAnsiTheme="minorHAnsi"/>
          <w:color w:val="000000" w:themeColor="text1"/>
          <w:sz w:val="22"/>
          <w:szCs w:val="22"/>
          <w:vertAlign w:val="superscript"/>
        </w:rPr>
      </w:pPr>
    </w:p>
    <w:sectPr w:rsidR="004F6EEC" w:rsidRPr="00181929" w:rsidSect="003E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976"/>
    <w:multiLevelType w:val="multilevel"/>
    <w:tmpl w:val="002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B64D1"/>
    <w:multiLevelType w:val="hybridMultilevel"/>
    <w:tmpl w:val="CD9A3100"/>
    <w:lvl w:ilvl="0" w:tplc="C5BA2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7070F"/>
    <w:multiLevelType w:val="hybridMultilevel"/>
    <w:tmpl w:val="EC4473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56F4"/>
    <w:multiLevelType w:val="hybridMultilevel"/>
    <w:tmpl w:val="E4D8DB2A"/>
    <w:lvl w:ilvl="0" w:tplc="36FE1B8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6E8"/>
    <w:multiLevelType w:val="multilevel"/>
    <w:tmpl w:val="332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24521"/>
    <w:multiLevelType w:val="multilevel"/>
    <w:tmpl w:val="67E0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A1603"/>
    <w:multiLevelType w:val="multilevel"/>
    <w:tmpl w:val="2F2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41A2D"/>
    <w:multiLevelType w:val="hybridMultilevel"/>
    <w:tmpl w:val="ED102BF2"/>
    <w:lvl w:ilvl="0" w:tplc="16A4F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3A2"/>
    <w:multiLevelType w:val="multilevel"/>
    <w:tmpl w:val="20E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F30FB"/>
    <w:multiLevelType w:val="hybridMultilevel"/>
    <w:tmpl w:val="73306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C3D"/>
    <w:multiLevelType w:val="multilevel"/>
    <w:tmpl w:val="6C3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5B02"/>
    <w:multiLevelType w:val="multilevel"/>
    <w:tmpl w:val="43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C1E43"/>
    <w:multiLevelType w:val="multilevel"/>
    <w:tmpl w:val="4E6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00095"/>
    <w:multiLevelType w:val="multilevel"/>
    <w:tmpl w:val="E792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E6178"/>
    <w:multiLevelType w:val="multilevel"/>
    <w:tmpl w:val="E7F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34F2"/>
    <w:multiLevelType w:val="hybridMultilevel"/>
    <w:tmpl w:val="7D688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6123C"/>
    <w:multiLevelType w:val="multilevel"/>
    <w:tmpl w:val="8346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91A2A"/>
    <w:multiLevelType w:val="multilevel"/>
    <w:tmpl w:val="F24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41E0B"/>
    <w:multiLevelType w:val="multilevel"/>
    <w:tmpl w:val="991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E40DB"/>
    <w:multiLevelType w:val="multilevel"/>
    <w:tmpl w:val="99CC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8752C"/>
    <w:multiLevelType w:val="multilevel"/>
    <w:tmpl w:val="D31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72E55"/>
    <w:multiLevelType w:val="multilevel"/>
    <w:tmpl w:val="6B7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30F27"/>
    <w:multiLevelType w:val="hybridMultilevel"/>
    <w:tmpl w:val="F7E6D4B6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E54DA"/>
    <w:multiLevelType w:val="multilevel"/>
    <w:tmpl w:val="EB7A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31156"/>
    <w:multiLevelType w:val="multilevel"/>
    <w:tmpl w:val="A1A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E1825"/>
    <w:multiLevelType w:val="multilevel"/>
    <w:tmpl w:val="043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C465DE"/>
    <w:multiLevelType w:val="hybridMultilevel"/>
    <w:tmpl w:val="382413DE"/>
    <w:lvl w:ilvl="0" w:tplc="000AFE02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3396"/>
    <w:multiLevelType w:val="hybridMultilevel"/>
    <w:tmpl w:val="A2F6568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FE0002"/>
    <w:multiLevelType w:val="hybridMultilevel"/>
    <w:tmpl w:val="2A2E86BE"/>
    <w:lvl w:ilvl="0" w:tplc="D1F07BD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F1B2C"/>
    <w:multiLevelType w:val="multilevel"/>
    <w:tmpl w:val="5DF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384945"/>
    <w:multiLevelType w:val="hybridMultilevel"/>
    <w:tmpl w:val="E5AC8848"/>
    <w:lvl w:ilvl="0" w:tplc="FEA21AC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049EF"/>
    <w:multiLevelType w:val="multilevel"/>
    <w:tmpl w:val="16C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37E79"/>
    <w:multiLevelType w:val="hybridMultilevel"/>
    <w:tmpl w:val="C714D806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622A8"/>
    <w:multiLevelType w:val="hybridMultilevel"/>
    <w:tmpl w:val="BFDE55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0DA"/>
    <w:multiLevelType w:val="hybridMultilevel"/>
    <w:tmpl w:val="12EC5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3D0B"/>
    <w:multiLevelType w:val="hybridMultilevel"/>
    <w:tmpl w:val="936AF2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F2E18"/>
    <w:multiLevelType w:val="multilevel"/>
    <w:tmpl w:val="1EB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A22571"/>
    <w:multiLevelType w:val="multilevel"/>
    <w:tmpl w:val="54B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870A7"/>
    <w:multiLevelType w:val="hybridMultilevel"/>
    <w:tmpl w:val="2A7E90CE"/>
    <w:lvl w:ilvl="0" w:tplc="CC3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E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23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C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0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8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68B32D6"/>
    <w:multiLevelType w:val="multilevel"/>
    <w:tmpl w:val="D88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183197"/>
    <w:multiLevelType w:val="hybridMultilevel"/>
    <w:tmpl w:val="7B26086E"/>
    <w:lvl w:ilvl="0" w:tplc="A0E8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1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6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0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ED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EC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327197"/>
    <w:multiLevelType w:val="hybridMultilevel"/>
    <w:tmpl w:val="6DCA464A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981"/>
    <w:multiLevelType w:val="multilevel"/>
    <w:tmpl w:val="9DD2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505D43"/>
    <w:multiLevelType w:val="hybridMultilevel"/>
    <w:tmpl w:val="319A5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96686"/>
    <w:multiLevelType w:val="multilevel"/>
    <w:tmpl w:val="DFC4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CB0A6A"/>
    <w:multiLevelType w:val="hybridMultilevel"/>
    <w:tmpl w:val="55089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E49F0"/>
    <w:multiLevelType w:val="multilevel"/>
    <w:tmpl w:val="68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1B52C4"/>
    <w:multiLevelType w:val="multilevel"/>
    <w:tmpl w:val="F9B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36184"/>
    <w:multiLevelType w:val="multilevel"/>
    <w:tmpl w:val="A7E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703D7A"/>
    <w:multiLevelType w:val="multilevel"/>
    <w:tmpl w:val="6C3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8"/>
  </w:num>
  <w:num w:numId="3">
    <w:abstractNumId w:val="33"/>
  </w:num>
  <w:num w:numId="4">
    <w:abstractNumId w:val="1"/>
  </w:num>
  <w:num w:numId="5">
    <w:abstractNumId w:val="2"/>
  </w:num>
  <w:num w:numId="6">
    <w:abstractNumId w:val="22"/>
  </w:num>
  <w:num w:numId="7">
    <w:abstractNumId w:val="30"/>
  </w:num>
  <w:num w:numId="8">
    <w:abstractNumId w:val="11"/>
  </w:num>
  <w:num w:numId="9">
    <w:abstractNumId w:val="12"/>
  </w:num>
  <w:num w:numId="10">
    <w:abstractNumId w:val="26"/>
  </w:num>
  <w:num w:numId="11">
    <w:abstractNumId w:val="13"/>
  </w:num>
  <w:num w:numId="12">
    <w:abstractNumId w:val="28"/>
  </w:num>
  <w:num w:numId="13">
    <w:abstractNumId w:val="46"/>
  </w:num>
  <w:num w:numId="14">
    <w:abstractNumId w:val="31"/>
  </w:num>
  <w:num w:numId="15">
    <w:abstractNumId w:val="36"/>
  </w:num>
  <w:num w:numId="16">
    <w:abstractNumId w:val="37"/>
  </w:num>
  <w:num w:numId="17">
    <w:abstractNumId w:val="19"/>
  </w:num>
  <w:num w:numId="18">
    <w:abstractNumId w:val="21"/>
  </w:num>
  <w:num w:numId="19">
    <w:abstractNumId w:val="17"/>
  </w:num>
  <w:num w:numId="20">
    <w:abstractNumId w:val="29"/>
  </w:num>
  <w:num w:numId="21">
    <w:abstractNumId w:val="10"/>
  </w:num>
  <w:num w:numId="22">
    <w:abstractNumId w:val="5"/>
  </w:num>
  <w:num w:numId="23">
    <w:abstractNumId w:val="49"/>
  </w:num>
  <w:num w:numId="24">
    <w:abstractNumId w:val="14"/>
  </w:num>
  <w:num w:numId="25">
    <w:abstractNumId w:val="47"/>
  </w:num>
  <w:num w:numId="26">
    <w:abstractNumId w:val="23"/>
  </w:num>
  <w:num w:numId="27">
    <w:abstractNumId w:val="42"/>
  </w:num>
  <w:num w:numId="28">
    <w:abstractNumId w:val="8"/>
  </w:num>
  <w:num w:numId="29">
    <w:abstractNumId w:val="39"/>
  </w:num>
  <w:num w:numId="30">
    <w:abstractNumId w:val="24"/>
  </w:num>
  <w:num w:numId="31">
    <w:abstractNumId w:val="0"/>
  </w:num>
  <w:num w:numId="32">
    <w:abstractNumId w:val="3"/>
  </w:num>
  <w:num w:numId="33">
    <w:abstractNumId w:val="18"/>
  </w:num>
  <w:num w:numId="34">
    <w:abstractNumId w:val="4"/>
  </w:num>
  <w:num w:numId="35">
    <w:abstractNumId w:val="25"/>
  </w:num>
  <w:num w:numId="36">
    <w:abstractNumId w:val="44"/>
  </w:num>
  <w:num w:numId="37">
    <w:abstractNumId w:val="16"/>
  </w:num>
  <w:num w:numId="38">
    <w:abstractNumId w:val="20"/>
  </w:num>
  <w:num w:numId="39">
    <w:abstractNumId w:val="15"/>
  </w:num>
  <w:num w:numId="40">
    <w:abstractNumId w:val="45"/>
  </w:num>
  <w:num w:numId="41">
    <w:abstractNumId w:val="34"/>
  </w:num>
  <w:num w:numId="42">
    <w:abstractNumId w:val="43"/>
  </w:num>
  <w:num w:numId="43">
    <w:abstractNumId w:val="7"/>
  </w:num>
  <w:num w:numId="44">
    <w:abstractNumId w:val="41"/>
  </w:num>
  <w:num w:numId="45">
    <w:abstractNumId w:val="32"/>
  </w:num>
  <w:num w:numId="46">
    <w:abstractNumId w:val="35"/>
  </w:num>
  <w:num w:numId="47">
    <w:abstractNumId w:val="40"/>
  </w:num>
  <w:num w:numId="48">
    <w:abstractNumId w:val="2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D3"/>
    <w:rsid w:val="0000038C"/>
    <w:rsid w:val="0000160D"/>
    <w:rsid w:val="0000460C"/>
    <w:rsid w:val="00004769"/>
    <w:rsid w:val="00010206"/>
    <w:rsid w:val="00014125"/>
    <w:rsid w:val="00015F50"/>
    <w:rsid w:val="00021609"/>
    <w:rsid w:val="00021804"/>
    <w:rsid w:val="0002415A"/>
    <w:rsid w:val="000257D5"/>
    <w:rsid w:val="00026150"/>
    <w:rsid w:val="0002626B"/>
    <w:rsid w:val="0003479E"/>
    <w:rsid w:val="000355E5"/>
    <w:rsid w:val="000356BF"/>
    <w:rsid w:val="00037FCC"/>
    <w:rsid w:val="000400A8"/>
    <w:rsid w:val="000400D0"/>
    <w:rsid w:val="00040C22"/>
    <w:rsid w:val="0004436F"/>
    <w:rsid w:val="00045B23"/>
    <w:rsid w:val="0004758A"/>
    <w:rsid w:val="00047F5E"/>
    <w:rsid w:val="000510CC"/>
    <w:rsid w:val="00053DE6"/>
    <w:rsid w:val="00054322"/>
    <w:rsid w:val="0005598C"/>
    <w:rsid w:val="00061300"/>
    <w:rsid w:val="000655D0"/>
    <w:rsid w:val="00065B8F"/>
    <w:rsid w:val="00065D94"/>
    <w:rsid w:val="00066BC9"/>
    <w:rsid w:val="00071CA0"/>
    <w:rsid w:val="00073AC4"/>
    <w:rsid w:val="00075F1D"/>
    <w:rsid w:val="00076629"/>
    <w:rsid w:val="00080395"/>
    <w:rsid w:val="000819B7"/>
    <w:rsid w:val="00081D24"/>
    <w:rsid w:val="00083EA3"/>
    <w:rsid w:val="00084794"/>
    <w:rsid w:val="000855F9"/>
    <w:rsid w:val="00085775"/>
    <w:rsid w:val="0008628F"/>
    <w:rsid w:val="00087602"/>
    <w:rsid w:val="00090112"/>
    <w:rsid w:val="00090B84"/>
    <w:rsid w:val="00091AE7"/>
    <w:rsid w:val="00091E32"/>
    <w:rsid w:val="00092318"/>
    <w:rsid w:val="00092759"/>
    <w:rsid w:val="00092C7B"/>
    <w:rsid w:val="00093EC2"/>
    <w:rsid w:val="00095BEE"/>
    <w:rsid w:val="000A0433"/>
    <w:rsid w:val="000B0558"/>
    <w:rsid w:val="000B0A93"/>
    <w:rsid w:val="000C0642"/>
    <w:rsid w:val="000C5534"/>
    <w:rsid w:val="000C7EEB"/>
    <w:rsid w:val="000D4635"/>
    <w:rsid w:val="000E523E"/>
    <w:rsid w:val="000F0A36"/>
    <w:rsid w:val="000F13DE"/>
    <w:rsid w:val="000F3F34"/>
    <w:rsid w:val="00100FB2"/>
    <w:rsid w:val="00104E9A"/>
    <w:rsid w:val="00106EEE"/>
    <w:rsid w:val="001105EC"/>
    <w:rsid w:val="00112690"/>
    <w:rsid w:val="00113006"/>
    <w:rsid w:val="001134EA"/>
    <w:rsid w:val="00114A1E"/>
    <w:rsid w:val="00121BFE"/>
    <w:rsid w:val="00121EBA"/>
    <w:rsid w:val="001324EC"/>
    <w:rsid w:val="00132DE8"/>
    <w:rsid w:val="00151CAF"/>
    <w:rsid w:val="001532DD"/>
    <w:rsid w:val="00154A78"/>
    <w:rsid w:val="00154DDA"/>
    <w:rsid w:val="0015630B"/>
    <w:rsid w:val="001574B3"/>
    <w:rsid w:val="00160C9A"/>
    <w:rsid w:val="001633D3"/>
    <w:rsid w:val="00164AD4"/>
    <w:rsid w:val="00165484"/>
    <w:rsid w:val="00166F4D"/>
    <w:rsid w:val="00172D94"/>
    <w:rsid w:val="00177A33"/>
    <w:rsid w:val="00181929"/>
    <w:rsid w:val="00181A52"/>
    <w:rsid w:val="0018466D"/>
    <w:rsid w:val="0019412F"/>
    <w:rsid w:val="001951A4"/>
    <w:rsid w:val="001978D3"/>
    <w:rsid w:val="001A18FD"/>
    <w:rsid w:val="001A75B0"/>
    <w:rsid w:val="001A7D4B"/>
    <w:rsid w:val="001B0833"/>
    <w:rsid w:val="001B5A5A"/>
    <w:rsid w:val="001B712D"/>
    <w:rsid w:val="001B7711"/>
    <w:rsid w:val="001C05D8"/>
    <w:rsid w:val="001C2259"/>
    <w:rsid w:val="001C4638"/>
    <w:rsid w:val="001C4991"/>
    <w:rsid w:val="001C6B9B"/>
    <w:rsid w:val="001C7AA5"/>
    <w:rsid w:val="001D0784"/>
    <w:rsid w:val="001D0FDF"/>
    <w:rsid w:val="001D2054"/>
    <w:rsid w:val="001D20FD"/>
    <w:rsid w:val="001D3D97"/>
    <w:rsid w:val="001D5654"/>
    <w:rsid w:val="001D620C"/>
    <w:rsid w:val="001D6E33"/>
    <w:rsid w:val="001D77B1"/>
    <w:rsid w:val="001D79D5"/>
    <w:rsid w:val="001E0D99"/>
    <w:rsid w:val="001E21D9"/>
    <w:rsid w:val="001E2534"/>
    <w:rsid w:val="001E43C4"/>
    <w:rsid w:val="001E4863"/>
    <w:rsid w:val="001E53AC"/>
    <w:rsid w:val="001E7A15"/>
    <w:rsid w:val="001F0F26"/>
    <w:rsid w:val="001F1D33"/>
    <w:rsid w:val="001F1E93"/>
    <w:rsid w:val="002037E7"/>
    <w:rsid w:val="00203DA0"/>
    <w:rsid w:val="0020437C"/>
    <w:rsid w:val="00205833"/>
    <w:rsid w:val="00205C46"/>
    <w:rsid w:val="002062D3"/>
    <w:rsid w:val="002126FC"/>
    <w:rsid w:val="002201A8"/>
    <w:rsid w:val="002247CF"/>
    <w:rsid w:val="00226912"/>
    <w:rsid w:val="00227CEA"/>
    <w:rsid w:val="002338D4"/>
    <w:rsid w:val="00234A6B"/>
    <w:rsid w:val="0023565A"/>
    <w:rsid w:val="00236CC7"/>
    <w:rsid w:val="002400AD"/>
    <w:rsid w:val="00243403"/>
    <w:rsid w:val="0024448C"/>
    <w:rsid w:val="00252669"/>
    <w:rsid w:val="00252C40"/>
    <w:rsid w:val="00253673"/>
    <w:rsid w:val="002544BF"/>
    <w:rsid w:val="0025486C"/>
    <w:rsid w:val="00260D35"/>
    <w:rsid w:val="0026221F"/>
    <w:rsid w:val="00262F57"/>
    <w:rsid w:val="00263917"/>
    <w:rsid w:val="00265913"/>
    <w:rsid w:val="00266BFA"/>
    <w:rsid w:val="0027135B"/>
    <w:rsid w:val="00275153"/>
    <w:rsid w:val="00281E45"/>
    <w:rsid w:val="002833F1"/>
    <w:rsid w:val="00283F9B"/>
    <w:rsid w:val="00287A6A"/>
    <w:rsid w:val="00291BC9"/>
    <w:rsid w:val="00291DF5"/>
    <w:rsid w:val="0029488A"/>
    <w:rsid w:val="00297212"/>
    <w:rsid w:val="002A1E62"/>
    <w:rsid w:val="002A1F33"/>
    <w:rsid w:val="002A37BD"/>
    <w:rsid w:val="002A3F28"/>
    <w:rsid w:val="002A4194"/>
    <w:rsid w:val="002A77E2"/>
    <w:rsid w:val="002B1554"/>
    <w:rsid w:val="002B1EED"/>
    <w:rsid w:val="002B34B7"/>
    <w:rsid w:val="002B6451"/>
    <w:rsid w:val="002D0A83"/>
    <w:rsid w:val="002D4714"/>
    <w:rsid w:val="002D5830"/>
    <w:rsid w:val="002E0C44"/>
    <w:rsid w:val="002E6712"/>
    <w:rsid w:val="002F01BF"/>
    <w:rsid w:val="002F1556"/>
    <w:rsid w:val="002F2266"/>
    <w:rsid w:val="002F3D1A"/>
    <w:rsid w:val="002F6F09"/>
    <w:rsid w:val="003006BC"/>
    <w:rsid w:val="00300FF3"/>
    <w:rsid w:val="003065A3"/>
    <w:rsid w:val="00311560"/>
    <w:rsid w:val="003115C2"/>
    <w:rsid w:val="00312242"/>
    <w:rsid w:val="00314F21"/>
    <w:rsid w:val="00315D5C"/>
    <w:rsid w:val="00315FD6"/>
    <w:rsid w:val="00316725"/>
    <w:rsid w:val="00316C80"/>
    <w:rsid w:val="00321099"/>
    <w:rsid w:val="00323A20"/>
    <w:rsid w:val="00325178"/>
    <w:rsid w:val="00325B49"/>
    <w:rsid w:val="00326FBE"/>
    <w:rsid w:val="00331FB6"/>
    <w:rsid w:val="0033221B"/>
    <w:rsid w:val="00335FC3"/>
    <w:rsid w:val="00336868"/>
    <w:rsid w:val="003400E8"/>
    <w:rsid w:val="003401A2"/>
    <w:rsid w:val="00340685"/>
    <w:rsid w:val="00340B16"/>
    <w:rsid w:val="00343FFC"/>
    <w:rsid w:val="003454AA"/>
    <w:rsid w:val="003518AB"/>
    <w:rsid w:val="00352099"/>
    <w:rsid w:val="0035218F"/>
    <w:rsid w:val="0035237C"/>
    <w:rsid w:val="00352CDC"/>
    <w:rsid w:val="00354D28"/>
    <w:rsid w:val="00357F28"/>
    <w:rsid w:val="00362CCD"/>
    <w:rsid w:val="0036490F"/>
    <w:rsid w:val="00364C7E"/>
    <w:rsid w:val="00371D89"/>
    <w:rsid w:val="00371FA1"/>
    <w:rsid w:val="00372860"/>
    <w:rsid w:val="00372E65"/>
    <w:rsid w:val="003745CD"/>
    <w:rsid w:val="003814F4"/>
    <w:rsid w:val="00382998"/>
    <w:rsid w:val="003830D2"/>
    <w:rsid w:val="003866F3"/>
    <w:rsid w:val="00386BD2"/>
    <w:rsid w:val="0039417B"/>
    <w:rsid w:val="00395C74"/>
    <w:rsid w:val="003A095E"/>
    <w:rsid w:val="003A7145"/>
    <w:rsid w:val="003B112F"/>
    <w:rsid w:val="003B2784"/>
    <w:rsid w:val="003B5483"/>
    <w:rsid w:val="003B6019"/>
    <w:rsid w:val="003B60AB"/>
    <w:rsid w:val="003B695E"/>
    <w:rsid w:val="003B7EA1"/>
    <w:rsid w:val="003C1049"/>
    <w:rsid w:val="003C1C0D"/>
    <w:rsid w:val="003C2C5A"/>
    <w:rsid w:val="003C4F47"/>
    <w:rsid w:val="003C6CAB"/>
    <w:rsid w:val="003D11EA"/>
    <w:rsid w:val="003D5980"/>
    <w:rsid w:val="003E168B"/>
    <w:rsid w:val="003E1832"/>
    <w:rsid w:val="003E239B"/>
    <w:rsid w:val="003E55AF"/>
    <w:rsid w:val="003E5FC3"/>
    <w:rsid w:val="003F04C2"/>
    <w:rsid w:val="003F0778"/>
    <w:rsid w:val="003F1247"/>
    <w:rsid w:val="003F196D"/>
    <w:rsid w:val="004004B8"/>
    <w:rsid w:val="004017CC"/>
    <w:rsid w:val="00402869"/>
    <w:rsid w:val="00402F21"/>
    <w:rsid w:val="00405830"/>
    <w:rsid w:val="00411563"/>
    <w:rsid w:val="00413258"/>
    <w:rsid w:val="00415CD8"/>
    <w:rsid w:val="00416085"/>
    <w:rsid w:val="00416A60"/>
    <w:rsid w:val="00416CEA"/>
    <w:rsid w:val="00416F8C"/>
    <w:rsid w:val="0041743C"/>
    <w:rsid w:val="00420902"/>
    <w:rsid w:val="00420E7D"/>
    <w:rsid w:val="004252CE"/>
    <w:rsid w:val="0042725D"/>
    <w:rsid w:val="00427633"/>
    <w:rsid w:val="0042765D"/>
    <w:rsid w:val="00432CB1"/>
    <w:rsid w:val="0043334F"/>
    <w:rsid w:val="00434C71"/>
    <w:rsid w:val="0043549A"/>
    <w:rsid w:val="00435B48"/>
    <w:rsid w:val="00437CBA"/>
    <w:rsid w:val="00440192"/>
    <w:rsid w:val="00440D2F"/>
    <w:rsid w:val="00441B80"/>
    <w:rsid w:val="00441E2C"/>
    <w:rsid w:val="00443C1A"/>
    <w:rsid w:val="004457F5"/>
    <w:rsid w:val="00447AB0"/>
    <w:rsid w:val="00451261"/>
    <w:rsid w:val="00451DB0"/>
    <w:rsid w:val="00456EE1"/>
    <w:rsid w:val="00457080"/>
    <w:rsid w:val="00465DB7"/>
    <w:rsid w:val="0046723F"/>
    <w:rsid w:val="00467FD2"/>
    <w:rsid w:val="004706F6"/>
    <w:rsid w:val="00470968"/>
    <w:rsid w:val="004713FB"/>
    <w:rsid w:val="0047294E"/>
    <w:rsid w:val="00473982"/>
    <w:rsid w:val="00476646"/>
    <w:rsid w:val="00477E26"/>
    <w:rsid w:val="00480788"/>
    <w:rsid w:val="004807A3"/>
    <w:rsid w:val="004816D3"/>
    <w:rsid w:val="00483854"/>
    <w:rsid w:val="00484571"/>
    <w:rsid w:val="00484D6B"/>
    <w:rsid w:val="00487182"/>
    <w:rsid w:val="00490A46"/>
    <w:rsid w:val="0049143D"/>
    <w:rsid w:val="00491855"/>
    <w:rsid w:val="00491B54"/>
    <w:rsid w:val="0049383D"/>
    <w:rsid w:val="004957B4"/>
    <w:rsid w:val="004A1D23"/>
    <w:rsid w:val="004A3626"/>
    <w:rsid w:val="004A3B5D"/>
    <w:rsid w:val="004A7E7F"/>
    <w:rsid w:val="004B1085"/>
    <w:rsid w:val="004B3852"/>
    <w:rsid w:val="004B3E25"/>
    <w:rsid w:val="004B563F"/>
    <w:rsid w:val="004B6FD4"/>
    <w:rsid w:val="004B7EAD"/>
    <w:rsid w:val="004C05A6"/>
    <w:rsid w:val="004C2A0E"/>
    <w:rsid w:val="004C4341"/>
    <w:rsid w:val="004C50B1"/>
    <w:rsid w:val="004D232C"/>
    <w:rsid w:val="004D36A2"/>
    <w:rsid w:val="004D377A"/>
    <w:rsid w:val="004D40A5"/>
    <w:rsid w:val="004D50E2"/>
    <w:rsid w:val="004D5B7B"/>
    <w:rsid w:val="004D7540"/>
    <w:rsid w:val="004E4361"/>
    <w:rsid w:val="004E6DCE"/>
    <w:rsid w:val="004E741B"/>
    <w:rsid w:val="004F0BA3"/>
    <w:rsid w:val="004F3ECE"/>
    <w:rsid w:val="004F6EEC"/>
    <w:rsid w:val="00500348"/>
    <w:rsid w:val="0050241C"/>
    <w:rsid w:val="00502681"/>
    <w:rsid w:val="005058A0"/>
    <w:rsid w:val="00507E8C"/>
    <w:rsid w:val="00511475"/>
    <w:rsid w:val="0051165B"/>
    <w:rsid w:val="005125F1"/>
    <w:rsid w:val="00512F73"/>
    <w:rsid w:val="00514FC7"/>
    <w:rsid w:val="005207E3"/>
    <w:rsid w:val="00522079"/>
    <w:rsid w:val="00522D7C"/>
    <w:rsid w:val="00524390"/>
    <w:rsid w:val="00526743"/>
    <w:rsid w:val="005332E0"/>
    <w:rsid w:val="00534D4C"/>
    <w:rsid w:val="0053570A"/>
    <w:rsid w:val="0053763D"/>
    <w:rsid w:val="00541ADA"/>
    <w:rsid w:val="00543018"/>
    <w:rsid w:val="00550E60"/>
    <w:rsid w:val="00552087"/>
    <w:rsid w:val="00553AAE"/>
    <w:rsid w:val="005542D9"/>
    <w:rsid w:val="0055586D"/>
    <w:rsid w:val="00556579"/>
    <w:rsid w:val="00560C39"/>
    <w:rsid w:val="00560E4D"/>
    <w:rsid w:val="005629AD"/>
    <w:rsid w:val="00562C85"/>
    <w:rsid w:val="005652AF"/>
    <w:rsid w:val="00565CCC"/>
    <w:rsid w:val="00567CAF"/>
    <w:rsid w:val="005712F8"/>
    <w:rsid w:val="00571731"/>
    <w:rsid w:val="00571F4A"/>
    <w:rsid w:val="00572E38"/>
    <w:rsid w:val="00580636"/>
    <w:rsid w:val="005814F7"/>
    <w:rsid w:val="005828E0"/>
    <w:rsid w:val="005851BD"/>
    <w:rsid w:val="0058582C"/>
    <w:rsid w:val="0058769E"/>
    <w:rsid w:val="00593A7C"/>
    <w:rsid w:val="00595B53"/>
    <w:rsid w:val="005A076E"/>
    <w:rsid w:val="005A15B3"/>
    <w:rsid w:val="005A2A45"/>
    <w:rsid w:val="005A3211"/>
    <w:rsid w:val="005A33D2"/>
    <w:rsid w:val="005A3FED"/>
    <w:rsid w:val="005A554D"/>
    <w:rsid w:val="005B0791"/>
    <w:rsid w:val="005B19B5"/>
    <w:rsid w:val="005B1CBB"/>
    <w:rsid w:val="005B2907"/>
    <w:rsid w:val="005B2CC7"/>
    <w:rsid w:val="005B3FA7"/>
    <w:rsid w:val="005B41E5"/>
    <w:rsid w:val="005B6223"/>
    <w:rsid w:val="005C1A55"/>
    <w:rsid w:val="005C2A13"/>
    <w:rsid w:val="005C2DD0"/>
    <w:rsid w:val="005C3BDD"/>
    <w:rsid w:val="005C424D"/>
    <w:rsid w:val="005C5E0A"/>
    <w:rsid w:val="005C7A68"/>
    <w:rsid w:val="005D06E5"/>
    <w:rsid w:val="005D0D90"/>
    <w:rsid w:val="005D0E77"/>
    <w:rsid w:val="005D12E4"/>
    <w:rsid w:val="005D1802"/>
    <w:rsid w:val="005D31DE"/>
    <w:rsid w:val="005D42A0"/>
    <w:rsid w:val="005D43D8"/>
    <w:rsid w:val="005D467C"/>
    <w:rsid w:val="005D469F"/>
    <w:rsid w:val="005D4B6E"/>
    <w:rsid w:val="005D53BA"/>
    <w:rsid w:val="005D6BA3"/>
    <w:rsid w:val="005D7ABC"/>
    <w:rsid w:val="005E1847"/>
    <w:rsid w:val="005E391F"/>
    <w:rsid w:val="005E45E4"/>
    <w:rsid w:val="005E4853"/>
    <w:rsid w:val="005E5EA5"/>
    <w:rsid w:val="005E6936"/>
    <w:rsid w:val="005F1665"/>
    <w:rsid w:val="005F2AAF"/>
    <w:rsid w:val="005F6D0A"/>
    <w:rsid w:val="0060023A"/>
    <w:rsid w:val="00601511"/>
    <w:rsid w:val="006025E9"/>
    <w:rsid w:val="00603F01"/>
    <w:rsid w:val="0061359C"/>
    <w:rsid w:val="006135AC"/>
    <w:rsid w:val="00613818"/>
    <w:rsid w:val="00613C08"/>
    <w:rsid w:val="0061510C"/>
    <w:rsid w:val="00615418"/>
    <w:rsid w:val="00616000"/>
    <w:rsid w:val="006177A8"/>
    <w:rsid w:val="006222BA"/>
    <w:rsid w:val="00624D4B"/>
    <w:rsid w:val="00626192"/>
    <w:rsid w:val="00627EC1"/>
    <w:rsid w:val="00632179"/>
    <w:rsid w:val="00632E6B"/>
    <w:rsid w:val="0063374F"/>
    <w:rsid w:val="006344A9"/>
    <w:rsid w:val="006353C1"/>
    <w:rsid w:val="00636C65"/>
    <w:rsid w:val="006402D3"/>
    <w:rsid w:val="00640D00"/>
    <w:rsid w:val="00640D14"/>
    <w:rsid w:val="00642443"/>
    <w:rsid w:val="006428E7"/>
    <w:rsid w:val="00643200"/>
    <w:rsid w:val="00643FAF"/>
    <w:rsid w:val="00644FDD"/>
    <w:rsid w:val="00645890"/>
    <w:rsid w:val="006465B2"/>
    <w:rsid w:val="00647A9F"/>
    <w:rsid w:val="00647B95"/>
    <w:rsid w:val="0065038A"/>
    <w:rsid w:val="0065161A"/>
    <w:rsid w:val="00651DFE"/>
    <w:rsid w:val="00652972"/>
    <w:rsid w:val="00652A7D"/>
    <w:rsid w:val="00652D0A"/>
    <w:rsid w:val="00653D4A"/>
    <w:rsid w:val="00654832"/>
    <w:rsid w:val="00655A96"/>
    <w:rsid w:val="00655FBB"/>
    <w:rsid w:val="006577F4"/>
    <w:rsid w:val="006637DF"/>
    <w:rsid w:val="006658FF"/>
    <w:rsid w:val="00665CF3"/>
    <w:rsid w:val="00670589"/>
    <w:rsid w:val="00673D3A"/>
    <w:rsid w:val="0067408A"/>
    <w:rsid w:val="00674646"/>
    <w:rsid w:val="00675A2E"/>
    <w:rsid w:val="006765FA"/>
    <w:rsid w:val="00677D79"/>
    <w:rsid w:val="006810CD"/>
    <w:rsid w:val="0068272A"/>
    <w:rsid w:val="0068545B"/>
    <w:rsid w:val="0068645E"/>
    <w:rsid w:val="00690D24"/>
    <w:rsid w:val="006930F9"/>
    <w:rsid w:val="0069365D"/>
    <w:rsid w:val="006947A9"/>
    <w:rsid w:val="006A626D"/>
    <w:rsid w:val="006A79E8"/>
    <w:rsid w:val="006A7A75"/>
    <w:rsid w:val="006B049A"/>
    <w:rsid w:val="006B26D3"/>
    <w:rsid w:val="006B276C"/>
    <w:rsid w:val="006B693B"/>
    <w:rsid w:val="006B6CEF"/>
    <w:rsid w:val="006B7E82"/>
    <w:rsid w:val="006C0B69"/>
    <w:rsid w:val="006C1648"/>
    <w:rsid w:val="006C24B0"/>
    <w:rsid w:val="006C2A94"/>
    <w:rsid w:val="006C53C2"/>
    <w:rsid w:val="006C68CF"/>
    <w:rsid w:val="006C7F78"/>
    <w:rsid w:val="006D5CE8"/>
    <w:rsid w:val="006E1573"/>
    <w:rsid w:val="006E15A9"/>
    <w:rsid w:val="006E1D82"/>
    <w:rsid w:val="006F489E"/>
    <w:rsid w:val="006F7D91"/>
    <w:rsid w:val="00701618"/>
    <w:rsid w:val="00701F80"/>
    <w:rsid w:val="00703591"/>
    <w:rsid w:val="00703B07"/>
    <w:rsid w:val="00703B72"/>
    <w:rsid w:val="00704DC8"/>
    <w:rsid w:val="00706F21"/>
    <w:rsid w:val="007114BF"/>
    <w:rsid w:val="007124A2"/>
    <w:rsid w:val="00715BE6"/>
    <w:rsid w:val="007167E7"/>
    <w:rsid w:val="007171DC"/>
    <w:rsid w:val="00721400"/>
    <w:rsid w:val="00730686"/>
    <w:rsid w:val="007310AE"/>
    <w:rsid w:val="00732C74"/>
    <w:rsid w:val="0073385B"/>
    <w:rsid w:val="00733DA9"/>
    <w:rsid w:val="0073555F"/>
    <w:rsid w:val="00735BD1"/>
    <w:rsid w:val="00736F79"/>
    <w:rsid w:val="00744A29"/>
    <w:rsid w:val="00744B1A"/>
    <w:rsid w:val="007528C0"/>
    <w:rsid w:val="00753B92"/>
    <w:rsid w:val="00753DEC"/>
    <w:rsid w:val="007554D6"/>
    <w:rsid w:val="00755881"/>
    <w:rsid w:val="00755A46"/>
    <w:rsid w:val="00756580"/>
    <w:rsid w:val="00761702"/>
    <w:rsid w:val="007629F3"/>
    <w:rsid w:val="007630CD"/>
    <w:rsid w:val="007662E6"/>
    <w:rsid w:val="00773FC1"/>
    <w:rsid w:val="00774205"/>
    <w:rsid w:val="0077432A"/>
    <w:rsid w:val="00775E7C"/>
    <w:rsid w:val="00775FD3"/>
    <w:rsid w:val="0077695B"/>
    <w:rsid w:val="0077774A"/>
    <w:rsid w:val="007906AE"/>
    <w:rsid w:val="00791269"/>
    <w:rsid w:val="007933ED"/>
    <w:rsid w:val="00793C35"/>
    <w:rsid w:val="00796D4A"/>
    <w:rsid w:val="007975FC"/>
    <w:rsid w:val="007A7455"/>
    <w:rsid w:val="007A7469"/>
    <w:rsid w:val="007B0632"/>
    <w:rsid w:val="007B0AC0"/>
    <w:rsid w:val="007B331A"/>
    <w:rsid w:val="007B4A79"/>
    <w:rsid w:val="007B4B4E"/>
    <w:rsid w:val="007B56F8"/>
    <w:rsid w:val="007B5B2E"/>
    <w:rsid w:val="007B6ECF"/>
    <w:rsid w:val="007C09E9"/>
    <w:rsid w:val="007C2F1C"/>
    <w:rsid w:val="007C49CE"/>
    <w:rsid w:val="007C70E3"/>
    <w:rsid w:val="007C7E27"/>
    <w:rsid w:val="007D40DC"/>
    <w:rsid w:val="007D439E"/>
    <w:rsid w:val="007D5087"/>
    <w:rsid w:val="007E6D24"/>
    <w:rsid w:val="007F3FA2"/>
    <w:rsid w:val="007F5570"/>
    <w:rsid w:val="007F616D"/>
    <w:rsid w:val="007F6A65"/>
    <w:rsid w:val="00800B38"/>
    <w:rsid w:val="008020B5"/>
    <w:rsid w:val="00802E28"/>
    <w:rsid w:val="00805649"/>
    <w:rsid w:val="008073BC"/>
    <w:rsid w:val="00814D2E"/>
    <w:rsid w:val="00815BB0"/>
    <w:rsid w:val="008161CD"/>
    <w:rsid w:val="0081726F"/>
    <w:rsid w:val="008237BC"/>
    <w:rsid w:val="00825F13"/>
    <w:rsid w:val="008276D3"/>
    <w:rsid w:val="0083180B"/>
    <w:rsid w:val="00837426"/>
    <w:rsid w:val="008404DE"/>
    <w:rsid w:val="008407A9"/>
    <w:rsid w:val="00841D7F"/>
    <w:rsid w:val="00841FCD"/>
    <w:rsid w:val="0084265E"/>
    <w:rsid w:val="00842B44"/>
    <w:rsid w:val="00845C98"/>
    <w:rsid w:val="00846115"/>
    <w:rsid w:val="00850F9D"/>
    <w:rsid w:val="0085190E"/>
    <w:rsid w:val="008551B9"/>
    <w:rsid w:val="00857FDB"/>
    <w:rsid w:val="00862440"/>
    <w:rsid w:val="00862E94"/>
    <w:rsid w:val="00863911"/>
    <w:rsid w:val="0086661D"/>
    <w:rsid w:val="00870688"/>
    <w:rsid w:val="008722B2"/>
    <w:rsid w:val="00873A44"/>
    <w:rsid w:val="00876081"/>
    <w:rsid w:val="0087703E"/>
    <w:rsid w:val="00877ED8"/>
    <w:rsid w:val="00880636"/>
    <w:rsid w:val="00884CE4"/>
    <w:rsid w:val="008859A7"/>
    <w:rsid w:val="008859BE"/>
    <w:rsid w:val="0088755E"/>
    <w:rsid w:val="00894B78"/>
    <w:rsid w:val="00896FF8"/>
    <w:rsid w:val="0089729A"/>
    <w:rsid w:val="00897716"/>
    <w:rsid w:val="008A0522"/>
    <w:rsid w:val="008A0E08"/>
    <w:rsid w:val="008A43D3"/>
    <w:rsid w:val="008A4ACE"/>
    <w:rsid w:val="008A66A7"/>
    <w:rsid w:val="008A784E"/>
    <w:rsid w:val="008B346B"/>
    <w:rsid w:val="008B42B7"/>
    <w:rsid w:val="008B50F1"/>
    <w:rsid w:val="008B5D9E"/>
    <w:rsid w:val="008B7591"/>
    <w:rsid w:val="008C1869"/>
    <w:rsid w:val="008C38A7"/>
    <w:rsid w:val="008C6331"/>
    <w:rsid w:val="008C63C1"/>
    <w:rsid w:val="008D27BF"/>
    <w:rsid w:val="008D2E91"/>
    <w:rsid w:val="008D71DC"/>
    <w:rsid w:val="008E2110"/>
    <w:rsid w:val="008E27D5"/>
    <w:rsid w:val="008E28D8"/>
    <w:rsid w:val="008E2DAC"/>
    <w:rsid w:val="008E5301"/>
    <w:rsid w:val="008E682D"/>
    <w:rsid w:val="008F0350"/>
    <w:rsid w:val="008F0B06"/>
    <w:rsid w:val="008F1374"/>
    <w:rsid w:val="008F2AD2"/>
    <w:rsid w:val="008F32F0"/>
    <w:rsid w:val="008F41BE"/>
    <w:rsid w:val="008F48D3"/>
    <w:rsid w:val="008F513F"/>
    <w:rsid w:val="008F5164"/>
    <w:rsid w:val="008F7445"/>
    <w:rsid w:val="0090073D"/>
    <w:rsid w:val="00900E9E"/>
    <w:rsid w:val="00901F3F"/>
    <w:rsid w:val="0090616E"/>
    <w:rsid w:val="0090624B"/>
    <w:rsid w:val="00906816"/>
    <w:rsid w:val="009145A7"/>
    <w:rsid w:val="009148D8"/>
    <w:rsid w:val="00915D35"/>
    <w:rsid w:val="009165BB"/>
    <w:rsid w:val="009174E2"/>
    <w:rsid w:val="009242C8"/>
    <w:rsid w:val="0092466D"/>
    <w:rsid w:val="0092504D"/>
    <w:rsid w:val="0092741D"/>
    <w:rsid w:val="00927A61"/>
    <w:rsid w:val="00930C31"/>
    <w:rsid w:val="009361B0"/>
    <w:rsid w:val="00936BBA"/>
    <w:rsid w:val="00940A4D"/>
    <w:rsid w:val="009460D3"/>
    <w:rsid w:val="00956F54"/>
    <w:rsid w:val="00960A8C"/>
    <w:rsid w:val="0096214E"/>
    <w:rsid w:val="0096255B"/>
    <w:rsid w:val="00962639"/>
    <w:rsid w:val="00962855"/>
    <w:rsid w:val="00962ED0"/>
    <w:rsid w:val="00964679"/>
    <w:rsid w:val="00965815"/>
    <w:rsid w:val="009679B2"/>
    <w:rsid w:val="00967AEF"/>
    <w:rsid w:val="00970755"/>
    <w:rsid w:val="00973CBC"/>
    <w:rsid w:val="00975694"/>
    <w:rsid w:val="00976295"/>
    <w:rsid w:val="00976791"/>
    <w:rsid w:val="00977134"/>
    <w:rsid w:val="00977E8D"/>
    <w:rsid w:val="00984861"/>
    <w:rsid w:val="00984E98"/>
    <w:rsid w:val="0098680F"/>
    <w:rsid w:val="00986E89"/>
    <w:rsid w:val="00987874"/>
    <w:rsid w:val="00987AC3"/>
    <w:rsid w:val="009907C6"/>
    <w:rsid w:val="00990E75"/>
    <w:rsid w:val="00991613"/>
    <w:rsid w:val="009929B6"/>
    <w:rsid w:val="00992E12"/>
    <w:rsid w:val="00993CE5"/>
    <w:rsid w:val="00994461"/>
    <w:rsid w:val="00995A4B"/>
    <w:rsid w:val="00997946"/>
    <w:rsid w:val="009A0355"/>
    <w:rsid w:val="009A1A45"/>
    <w:rsid w:val="009A5B3D"/>
    <w:rsid w:val="009B3752"/>
    <w:rsid w:val="009B489A"/>
    <w:rsid w:val="009B4E92"/>
    <w:rsid w:val="009B7566"/>
    <w:rsid w:val="009C4131"/>
    <w:rsid w:val="009C6541"/>
    <w:rsid w:val="009C6CDB"/>
    <w:rsid w:val="009C777C"/>
    <w:rsid w:val="009D067B"/>
    <w:rsid w:val="009D0E3E"/>
    <w:rsid w:val="009D247E"/>
    <w:rsid w:val="009D2A23"/>
    <w:rsid w:val="009D2C59"/>
    <w:rsid w:val="009D7B07"/>
    <w:rsid w:val="009E0013"/>
    <w:rsid w:val="009E4B52"/>
    <w:rsid w:val="009E7F13"/>
    <w:rsid w:val="009F14E9"/>
    <w:rsid w:val="009F25AA"/>
    <w:rsid w:val="009F2774"/>
    <w:rsid w:val="009F27D4"/>
    <w:rsid w:val="009F4E70"/>
    <w:rsid w:val="009F5934"/>
    <w:rsid w:val="009F6F0A"/>
    <w:rsid w:val="00A029E4"/>
    <w:rsid w:val="00A0353C"/>
    <w:rsid w:val="00A03983"/>
    <w:rsid w:val="00A04EB0"/>
    <w:rsid w:val="00A0667A"/>
    <w:rsid w:val="00A069E4"/>
    <w:rsid w:val="00A074A4"/>
    <w:rsid w:val="00A07A21"/>
    <w:rsid w:val="00A10964"/>
    <w:rsid w:val="00A10A6F"/>
    <w:rsid w:val="00A110EA"/>
    <w:rsid w:val="00A11150"/>
    <w:rsid w:val="00A111FF"/>
    <w:rsid w:val="00A1337F"/>
    <w:rsid w:val="00A142BC"/>
    <w:rsid w:val="00A14566"/>
    <w:rsid w:val="00A14718"/>
    <w:rsid w:val="00A157FE"/>
    <w:rsid w:val="00A15DBA"/>
    <w:rsid w:val="00A15E4A"/>
    <w:rsid w:val="00A24261"/>
    <w:rsid w:val="00A25D28"/>
    <w:rsid w:val="00A25F0E"/>
    <w:rsid w:val="00A267FB"/>
    <w:rsid w:val="00A26C9E"/>
    <w:rsid w:val="00A3021F"/>
    <w:rsid w:val="00A36AA2"/>
    <w:rsid w:val="00A37988"/>
    <w:rsid w:val="00A41CBF"/>
    <w:rsid w:val="00A434C4"/>
    <w:rsid w:val="00A43D2C"/>
    <w:rsid w:val="00A45994"/>
    <w:rsid w:val="00A515A0"/>
    <w:rsid w:val="00A57292"/>
    <w:rsid w:val="00A60CF8"/>
    <w:rsid w:val="00A6365F"/>
    <w:rsid w:val="00A67B6A"/>
    <w:rsid w:val="00A718C6"/>
    <w:rsid w:val="00A728A8"/>
    <w:rsid w:val="00A74E88"/>
    <w:rsid w:val="00A75E05"/>
    <w:rsid w:val="00A77521"/>
    <w:rsid w:val="00A805F3"/>
    <w:rsid w:val="00A8214A"/>
    <w:rsid w:val="00A90924"/>
    <w:rsid w:val="00A91C96"/>
    <w:rsid w:val="00A91EA7"/>
    <w:rsid w:val="00A938DF"/>
    <w:rsid w:val="00A945C2"/>
    <w:rsid w:val="00A964BC"/>
    <w:rsid w:val="00A96620"/>
    <w:rsid w:val="00A97094"/>
    <w:rsid w:val="00AA036C"/>
    <w:rsid w:val="00AB55E5"/>
    <w:rsid w:val="00AB7223"/>
    <w:rsid w:val="00AB77CD"/>
    <w:rsid w:val="00AC03A0"/>
    <w:rsid w:val="00AC2E2F"/>
    <w:rsid w:val="00AC6A21"/>
    <w:rsid w:val="00AC740A"/>
    <w:rsid w:val="00AC755D"/>
    <w:rsid w:val="00AD0552"/>
    <w:rsid w:val="00AD2C8B"/>
    <w:rsid w:val="00AD4496"/>
    <w:rsid w:val="00AD50D2"/>
    <w:rsid w:val="00AD6BB0"/>
    <w:rsid w:val="00AE15DA"/>
    <w:rsid w:val="00AE1A98"/>
    <w:rsid w:val="00AE2BCB"/>
    <w:rsid w:val="00AE48D0"/>
    <w:rsid w:val="00AE67BB"/>
    <w:rsid w:val="00AF09FA"/>
    <w:rsid w:val="00AF251E"/>
    <w:rsid w:val="00AF3B24"/>
    <w:rsid w:val="00AF3B90"/>
    <w:rsid w:val="00AF4E1B"/>
    <w:rsid w:val="00AF5419"/>
    <w:rsid w:val="00B00331"/>
    <w:rsid w:val="00B015E1"/>
    <w:rsid w:val="00B01CDF"/>
    <w:rsid w:val="00B03D16"/>
    <w:rsid w:val="00B042CC"/>
    <w:rsid w:val="00B06245"/>
    <w:rsid w:val="00B07D05"/>
    <w:rsid w:val="00B10D1F"/>
    <w:rsid w:val="00B12447"/>
    <w:rsid w:val="00B125CB"/>
    <w:rsid w:val="00B14389"/>
    <w:rsid w:val="00B144BA"/>
    <w:rsid w:val="00B15071"/>
    <w:rsid w:val="00B17004"/>
    <w:rsid w:val="00B20708"/>
    <w:rsid w:val="00B211EF"/>
    <w:rsid w:val="00B21DA1"/>
    <w:rsid w:val="00B22D0E"/>
    <w:rsid w:val="00B23051"/>
    <w:rsid w:val="00B26120"/>
    <w:rsid w:val="00B30D4B"/>
    <w:rsid w:val="00B30E13"/>
    <w:rsid w:val="00B33217"/>
    <w:rsid w:val="00B33C9D"/>
    <w:rsid w:val="00B3469F"/>
    <w:rsid w:val="00B36A53"/>
    <w:rsid w:val="00B40EEF"/>
    <w:rsid w:val="00B416E8"/>
    <w:rsid w:val="00B42344"/>
    <w:rsid w:val="00B43776"/>
    <w:rsid w:val="00B44C76"/>
    <w:rsid w:val="00B458E9"/>
    <w:rsid w:val="00B45E3D"/>
    <w:rsid w:val="00B45F32"/>
    <w:rsid w:val="00B460F0"/>
    <w:rsid w:val="00B46CF1"/>
    <w:rsid w:val="00B51775"/>
    <w:rsid w:val="00B53907"/>
    <w:rsid w:val="00B54873"/>
    <w:rsid w:val="00B56AF5"/>
    <w:rsid w:val="00B57AB3"/>
    <w:rsid w:val="00B602B7"/>
    <w:rsid w:val="00B616F5"/>
    <w:rsid w:val="00B62358"/>
    <w:rsid w:val="00B63495"/>
    <w:rsid w:val="00B647C5"/>
    <w:rsid w:val="00B64E2C"/>
    <w:rsid w:val="00B65E96"/>
    <w:rsid w:val="00B67D39"/>
    <w:rsid w:val="00B763B1"/>
    <w:rsid w:val="00B81A62"/>
    <w:rsid w:val="00B82E17"/>
    <w:rsid w:val="00B835E2"/>
    <w:rsid w:val="00B83F83"/>
    <w:rsid w:val="00B84A0C"/>
    <w:rsid w:val="00B856BE"/>
    <w:rsid w:val="00B8575B"/>
    <w:rsid w:val="00B86050"/>
    <w:rsid w:val="00B86D00"/>
    <w:rsid w:val="00B9344C"/>
    <w:rsid w:val="00B96D63"/>
    <w:rsid w:val="00BA0FFC"/>
    <w:rsid w:val="00BA481E"/>
    <w:rsid w:val="00BA4ACD"/>
    <w:rsid w:val="00BA7BF0"/>
    <w:rsid w:val="00BB7F73"/>
    <w:rsid w:val="00BC37D2"/>
    <w:rsid w:val="00BC47E4"/>
    <w:rsid w:val="00BD26E6"/>
    <w:rsid w:val="00BD2CD7"/>
    <w:rsid w:val="00BD3262"/>
    <w:rsid w:val="00BD3B4B"/>
    <w:rsid w:val="00BD5653"/>
    <w:rsid w:val="00BE4844"/>
    <w:rsid w:val="00BE60AB"/>
    <w:rsid w:val="00BE78C6"/>
    <w:rsid w:val="00BF1DEA"/>
    <w:rsid w:val="00BF451D"/>
    <w:rsid w:val="00BF5560"/>
    <w:rsid w:val="00BF665D"/>
    <w:rsid w:val="00C017BA"/>
    <w:rsid w:val="00C0545C"/>
    <w:rsid w:val="00C139FE"/>
    <w:rsid w:val="00C1596E"/>
    <w:rsid w:val="00C16EE7"/>
    <w:rsid w:val="00C17E0C"/>
    <w:rsid w:val="00C17E0F"/>
    <w:rsid w:val="00C2062C"/>
    <w:rsid w:val="00C20BAB"/>
    <w:rsid w:val="00C20F97"/>
    <w:rsid w:val="00C237F6"/>
    <w:rsid w:val="00C23A47"/>
    <w:rsid w:val="00C2436C"/>
    <w:rsid w:val="00C24DA9"/>
    <w:rsid w:val="00C27AF4"/>
    <w:rsid w:val="00C27B15"/>
    <w:rsid w:val="00C37EAD"/>
    <w:rsid w:val="00C40172"/>
    <w:rsid w:val="00C477FF"/>
    <w:rsid w:val="00C5147A"/>
    <w:rsid w:val="00C56A3D"/>
    <w:rsid w:val="00C5736E"/>
    <w:rsid w:val="00C60A86"/>
    <w:rsid w:val="00C60B74"/>
    <w:rsid w:val="00C612D4"/>
    <w:rsid w:val="00C631E1"/>
    <w:rsid w:val="00C6392A"/>
    <w:rsid w:val="00C64083"/>
    <w:rsid w:val="00C6518F"/>
    <w:rsid w:val="00C65751"/>
    <w:rsid w:val="00C66256"/>
    <w:rsid w:val="00C662FB"/>
    <w:rsid w:val="00C74272"/>
    <w:rsid w:val="00C74D81"/>
    <w:rsid w:val="00C75B3A"/>
    <w:rsid w:val="00C77496"/>
    <w:rsid w:val="00C80C53"/>
    <w:rsid w:val="00C80F75"/>
    <w:rsid w:val="00C81F01"/>
    <w:rsid w:val="00C8210B"/>
    <w:rsid w:val="00C83642"/>
    <w:rsid w:val="00C845C8"/>
    <w:rsid w:val="00C846A1"/>
    <w:rsid w:val="00C846A5"/>
    <w:rsid w:val="00C923EC"/>
    <w:rsid w:val="00C946DE"/>
    <w:rsid w:val="00C94FD6"/>
    <w:rsid w:val="00CA0B57"/>
    <w:rsid w:val="00CA1DFB"/>
    <w:rsid w:val="00CA3FAF"/>
    <w:rsid w:val="00CA5845"/>
    <w:rsid w:val="00CB15CF"/>
    <w:rsid w:val="00CB17D5"/>
    <w:rsid w:val="00CB2DFA"/>
    <w:rsid w:val="00CB6A6D"/>
    <w:rsid w:val="00CB7419"/>
    <w:rsid w:val="00CB779B"/>
    <w:rsid w:val="00CC0179"/>
    <w:rsid w:val="00CC0B3A"/>
    <w:rsid w:val="00CC3B96"/>
    <w:rsid w:val="00CC5EBB"/>
    <w:rsid w:val="00CC71EB"/>
    <w:rsid w:val="00CD36C1"/>
    <w:rsid w:val="00CE22F0"/>
    <w:rsid w:val="00CE29E6"/>
    <w:rsid w:val="00CE6A6F"/>
    <w:rsid w:val="00CE7E93"/>
    <w:rsid w:val="00CF0F63"/>
    <w:rsid w:val="00CF109A"/>
    <w:rsid w:val="00CF7992"/>
    <w:rsid w:val="00D03264"/>
    <w:rsid w:val="00D03893"/>
    <w:rsid w:val="00D0519F"/>
    <w:rsid w:val="00D05356"/>
    <w:rsid w:val="00D10490"/>
    <w:rsid w:val="00D127F8"/>
    <w:rsid w:val="00D133EE"/>
    <w:rsid w:val="00D16308"/>
    <w:rsid w:val="00D167A3"/>
    <w:rsid w:val="00D173A5"/>
    <w:rsid w:val="00D17D20"/>
    <w:rsid w:val="00D20A4F"/>
    <w:rsid w:val="00D21A73"/>
    <w:rsid w:val="00D328FA"/>
    <w:rsid w:val="00D35B4C"/>
    <w:rsid w:val="00D360FA"/>
    <w:rsid w:val="00D43247"/>
    <w:rsid w:val="00D43767"/>
    <w:rsid w:val="00D43C10"/>
    <w:rsid w:val="00D536CC"/>
    <w:rsid w:val="00D53C0B"/>
    <w:rsid w:val="00D60CD4"/>
    <w:rsid w:val="00D639C7"/>
    <w:rsid w:val="00D65C94"/>
    <w:rsid w:val="00D65F9C"/>
    <w:rsid w:val="00D718ED"/>
    <w:rsid w:val="00D71917"/>
    <w:rsid w:val="00D74B99"/>
    <w:rsid w:val="00D819C7"/>
    <w:rsid w:val="00D82C45"/>
    <w:rsid w:val="00D830DC"/>
    <w:rsid w:val="00D84B2F"/>
    <w:rsid w:val="00D9141C"/>
    <w:rsid w:val="00D929F9"/>
    <w:rsid w:val="00D94A14"/>
    <w:rsid w:val="00D95EEF"/>
    <w:rsid w:val="00D9619B"/>
    <w:rsid w:val="00D97BE1"/>
    <w:rsid w:val="00DA0A4A"/>
    <w:rsid w:val="00DA27BF"/>
    <w:rsid w:val="00DA310F"/>
    <w:rsid w:val="00DA3647"/>
    <w:rsid w:val="00DA6191"/>
    <w:rsid w:val="00DA7BE4"/>
    <w:rsid w:val="00DB001F"/>
    <w:rsid w:val="00DB20DE"/>
    <w:rsid w:val="00DB4994"/>
    <w:rsid w:val="00DB4C21"/>
    <w:rsid w:val="00DB700F"/>
    <w:rsid w:val="00DB7B61"/>
    <w:rsid w:val="00DC01F3"/>
    <w:rsid w:val="00DC2120"/>
    <w:rsid w:val="00DC6D73"/>
    <w:rsid w:val="00DD2B7F"/>
    <w:rsid w:val="00DD44DA"/>
    <w:rsid w:val="00DD5079"/>
    <w:rsid w:val="00DD54A1"/>
    <w:rsid w:val="00DD5A7E"/>
    <w:rsid w:val="00DD5C55"/>
    <w:rsid w:val="00DD61FA"/>
    <w:rsid w:val="00DD6AB8"/>
    <w:rsid w:val="00DE097E"/>
    <w:rsid w:val="00DE32E9"/>
    <w:rsid w:val="00DE6169"/>
    <w:rsid w:val="00DE6315"/>
    <w:rsid w:val="00DE6F80"/>
    <w:rsid w:val="00DF17A4"/>
    <w:rsid w:val="00DF1C70"/>
    <w:rsid w:val="00DF3FF3"/>
    <w:rsid w:val="00DF41DB"/>
    <w:rsid w:val="00DF520F"/>
    <w:rsid w:val="00DF52CF"/>
    <w:rsid w:val="00DF7BC7"/>
    <w:rsid w:val="00E00B93"/>
    <w:rsid w:val="00E0202B"/>
    <w:rsid w:val="00E03B23"/>
    <w:rsid w:val="00E058D3"/>
    <w:rsid w:val="00E05C7C"/>
    <w:rsid w:val="00E07AD0"/>
    <w:rsid w:val="00E1265B"/>
    <w:rsid w:val="00E12F35"/>
    <w:rsid w:val="00E1306E"/>
    <w:rsid w:val="00E13480"/>
    <w:rsid w:val="00E14DB4"/>
    <w:rsid w:val="00E213DD"/>
    <w:rsid w:val="00E22B04"/>
    <w:rsid w:val="00E23750"/>
    <w:rsid w:val="00E23F38"/>
    <w:rsid w:val="00E27F02"/>
    <w:rsid w:val="00E35D89"/>
    <w:rsid w:val="00E375D1"/>
    <w:rsid w:val="00E404D0"/>
    <w:rsid w:val="00E4147F"/>
    <w:rsid w:val="00E43D34"/>
    <w:rsid w:val="00E44BD4"/>
    <w:rsid w:val="00E44EA4"/>
    <w:rsid w:val="00E456DB"/>
    <w:rsid w:val="00E45F6D"/>
    <w:rsid w:val="00E502EF"/>
    <w:rsid w:val="00E55F41"/>
    <w:rsid w:val="00E60D55"/>
    <w:rsid w:val="00E62201"/>
    <w:rsid w:val="00E6236B"/>
    <w:rsid w:val="00E6288D"/>
    <w:rsid w:val="00E629E1"/>
    <w:rsid w:val="00E62CC0"/>
    <w:rsid w:val="00E6501F"/>
    <w:rsid w:val="00E65BB5"/>
    <w:rsid w:val="00E66E29"/>
    <w:rsid w:val="00E67324"/>
    <w:rsid w:val="00E67728"/>
    <w:rsid w:val="00E72FF9"/>
    <w:rsid w:val="00E73841"/>
    <w:rsid w:val="00E74F94"/>
    <w:rsid w:val="00E76AB7"/>
    <w:rsid w:val="00E81912"/>
    <w:rsid w:val="00E81C60"/>
    <w:rsid w:val="00E85274"/>
    <w:rsid w:val="00E8558E"/>
    <w:rsid w:val="00E86B5B"/>
    <w:rsid w:val="00E87D4F"/>
    <w:rsid w:val="00E900C6"/>
    <w:rsid w:val="00E918C6"/>
    <w:rsid w:val="00E940F8"/>
    <w:rsid w:val="00E9520D"/>
    <w:rsid w:val="00E95297"/>
    <w:rsid w:val="00EA06A2"/>
    <w:rsid w:val="00EA2592"/>
    <w:rsid w:val="00EA5A07"/>
    <w:rsid w:val="00EA5F54"/>
    <w:rsid w:val="00EA77B5"/>
    <w:rsid w:val="00EB01A5"/>
    <w:rsid w:val="00EB17C4"/>
    <w:rsid w:val="00EB251E"/>
    <w:rsid w:val="00EB3161"/>
    <w:rsid w:val="00EB3B20"/>
    <w:rsid w:val="00EB4586"/>
    <w:rsid w:val="00EB686B"/>
    <w:rsid w:val="00EB6EE5"/>
    <w:rsid w:val="00EB7C06"/>
    <w:rsid w:val="00EB7D94"/>
    <w:rsid w:val="00EB7D99"/>
    <w:rsid w:val="00EC1F1A"/>
    <w:rsid w:val="00EC3754"/>
    <w:rsid w:val="00EC4745"/>
    <w:rsid w:val="00EC566D"/>
    <w:rsid w:val="00EC68B4"/>
    <w:rsid w:val="00ED0296"/>
    <w:rsid w:val="00ED179E"/>
    <w:rsid w:val="00ED6235"/>
    <w:rsid w:val="00EE065C"/>
    <w:rsid w:val="00EE1790"/>
    <w:rsid w:val="00EE1D35"/>
    <w:rsid w:val="00EE3B0F"/>
    <w:rsid w:val="00EE6325"/>
    <w:rsid w:val="00EE6D91"/>
    <w:rsid w:val="00EF3660"/>
    <w:rsid w:val="00EF419D"/>
    <w:rsid w:val="00EF6B15"/>
    <w:rsid w:val="00EF739C"/>
    <w:rsid w:val="00EF7CC9"/>
    <w:rsid w:val="00F00159"/>
    <w:rsid w:val="00F0094B"/>
    <w:rsid w:val="00F016C7"/>
    <w:rsid w:val="00F01DEC"/>
    <w:rsid w:val="00F02027"/>
    <w:rsid w:val="00F0235F"/>
    <w:rsid w:val="00F02620"/>
    <w:rsid w:val="00F04155"/>
    <w:rsid w:val="00F04982"/>
    <w:rsid w:val="00F05BC8"/>
    <w:rsid w:val="00F0705F"/>
    <w:rsid w:val="00F113B5"/>
    <w:rsid w:val="00F11773"/>
    <w:rsid w:val="00F117E7"/>
    <w:rsid w:val="00F11DEE"/>
    <w:rsid w:val="00F123D7"/>
    <w:rsid w:val="00F15170"/>
    <w:rsid w:val="00F22918"/>
    <w:rsid w:val="00F2318F"/>
    <w:rsid w:val="00F2611F"/>
    <w:rsid w:val="00F305CB"/>
    <w:rsid w:val="00F3119D"/>
    <w:rsid w:val="00F3259D"/>
    <w:rsid w:val="00F327A4"/>
    <w:rsid w:val="00F332AE"/>
    <w:rsid w:val="00F33DB8"/>
    <w:rsid w:val="00F351C1"/>
    <w:rsid w:val="00F36366"/>
    <w:rsid w:val="00F407CC"/>
    <w:rsid w:val="00F40CAF"/>
    <w:rsid w:val="00F412F2"/>
    <w:rsid w:val="00F43794"/>
    <w:rsid w:val="00F45DFF"/>
    <w:rsid w:val="00F461E8"/>
    <w:rsid w:val="00F46988"/>
    <w:rsid w:val="00F510F7"/>
    <w:rsid w:val="00F5594B"/>
    <w:rsid w:val="00F56423"/>
    <w:rsid w:val="00F564FF"/>
    <w:rsid w:val="00F57997"/>
    <w:rsid w:val="00F61358"/>
    <w:rsid w:val="00F613FF"/>
    <w:rsid w:val="00F61EE0"/>
    <w:rsid w:val="00F62A6D"/>
    <w:rsid w:val="00F63F30"/>
    <w:rsid w:val="00F65987"/>
    <w:rsid w:val="00F662CB"/>
    <w:rsid w:val="00F71CAF"/>
    <w:rsid w:val="00F7589A"/>
    <w:rsid w:val="00F76444"/>
    <w:rsid w:val="00F77C2F"/>
    <w:rsid w:val="00F80E7F"/>
    <w:rsid w:val="00F81B5F"/>
    <w:rsid w:val="00F865E6"/>
    <w:rsid w:val="00F8684D"/>
    <w:rsid w:val="00F94046"/>
    <w:rsid w:val="00F94B4C"/>
    <w:rsid w:val="00F95442"/>
    <w:rsid w:val="00FA073F"/>
    <w:rsid w:val="00FA22B8"/>
    <w:rsid w:val="00FA257C"/>
    <w:rsid w:val="00FA412C"/>
    <w:rsid w:val="00FA465E"/>
    <w:rsid w:val="00FA61D9"/>
    <w:rsid w:val="00FA7B48"/>
    <w:rsid w:val="00FB2356"/>
    <w:rsid w:val="00FB24F3"/>
    <w:rsid w:val="00FB2C83"/>
    <w:rsid w:val="00FB30E3"/>
    <w:rsid w:val="00FB3103"/>
    <w:rsid w:val="00FB3255"/>
    <w:rsid w:val="00FB337C"/>
    <w:rsid w:val="00FB33BB"/>
    <w:rsid w:val="00FB34F7"/>
    <w:rsid w:val="00FB3C8A"/>
    <w:rsid w:val="00FB5CFB"/>
    <w:rsid w:val="00FB7B8F"/>
    <w:rsid w:val="00FC13CC"/>
    <w:rsid w:val="00FC26A6"/>
    <w:rsid w:val="00FC3650"/>
    <w:rsid w:val="00FC36D6"/>
    <w:rsid w:val="00FC594C"/>
    <w:rsid w:val="00FC6B3D"/>
    <w:rsid w:val="00FC7A2E"/>
    <w:rsid w:val="00FD43CE"/>
    <w:rsid w:val="00FD5BD7"/>
    <w:rsid w:val="00FE2062"/>
    <w:rsid w:val="00FE2208"/>
    <w:rsid w:val="00FE2891"/>
    <w:rsid w:val="00FE62C6"/>
    <w:rsid w:val="00FF2A7E"/>
    <w:rsid w:val="00FF4066"/>
    <w:rsid w:val="00FF709D"/>
    <w:rsid w:val="00FF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E064"/>
  <w15:docId w15:val="{68A58175-940E-284C-BE28-1855B12E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16D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16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16D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16D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6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16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16D3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16D3"/>
    <w:rPr>
      <w:rFonts w:asciiTheme="majorHAnsi" w:eastAsiaTheme="majorEastAsia" w:hAnsiTheme="majorHAnsi" w:cstheme="majorBidi"/>
      <w:i/>
      <w:iCs/>
      <w:color w:val="2E74B5" w:themeColor="accent1" w:themeShade="BF"/>
      <w:lang w:eastAsia="tr-TR"/>
    </w:rPr>
  </w:style>
  <w:style w:type="paragraph" w:styleId="Listenabsatz">
    <w:name w:val="List Paragraph"/>
    <w:basedOn w:val="Standard"/>
    <w:uiPriority w:val="34"/>
    <w:qFormat/>
    <w:rsid w:val="004816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16D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Titel">
    <w:name w:val="Title"/>
    <w:basedOn w:val="Standard"/>
    <w:next w:val="Standard"/>
    <w:link w:val="TitelZchn"/>
    <w:uiPriority w:val="10"/>
    <w:qFormat/>
    <w:rsid w:val="004816D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16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StandardWeb">
    <w:name w:val="Normal (Web)"/>
    <w:basedOn w:val="Standard"/>
    <w:uiPriority w:val="99"/>
    <w:unhideWhenUsed/>
    <w:rsid w:val="004816D3"/>
    <w:pPr>
      <w:spacing w:before="100" w:beforeAutospacing="1" w:after="100" w:afterAutospacing="1"/>
    </w:pPr>
  </w:style>
  <w:style w:type="character" w:customStyle="1" w:styleId="h1">
    <w:name w:val="h1"/>
    <w:basedOn w:val="Absatz-Standardschriftart"/>
    <w:rsid w:val="004816D3"/>
  </w:style>
  <w:style w:type="character" w:customStyle="1" w:styleId="headingendmark">
    <w:name w:val="headingendmark"/>
    <w:basedOn w:val="Absatz-Standardschriftart"/>
    <w:rsid w:val="004816D3"/>
  </w:style>
  <w:style w:type="character" w:styleId="Hyperlink">
    <w:name w:val="Hyperlink"/>
    <w:basedOn w:val="Absatz-Standardschriftart"/>
    <w:uiPriority w:val="99"/>
    <w:unhideWhenUsed/>
    <w:rsid w:val="004816D3"/>
    <w:rPr>
      <w:color w:val="0000FF"/>
      <w:u w:val="single"/>
    </w:rPr>
  </w:style>
  <w:style w:type="paragraph" w:customStyle="1" w:styleId="bulletndent1">
    <w:name w:val="bulletındent1"/>
    <w:basedOn w:val="Standard"/>
    <w:rsid w:val="004816D3"/>
    <w:pPr>
      <w:spacing w:before="100" w:beforeAutospacing="1" w:after="100" w:afterAutospacing="1"/>
    </w:pPr>
  </w:style>
  <w:style w:type="character" w:customStyle="1" w:styleId="glyph">
    <w:name w:val="glyph"/>
    <w:basedOn w:val="Absatz-Standardschriftart"/>
    <w:rsid w:val="004816D3"/>
  </w:style>
  <w:style w:type="character" w:styleId="Hervorhebung">
    <w:name w:val="Emphasis"/>
    <w:basedOn w:val="Absatz-Standardschriftart"/>
    <w:uiPriority w:val="20"/>
    <w:qFormat/>
    <w:rsid w:val="004816D3"/>
    <w:rPr>
      <w:i/>
      <w:iCs/>
    </w:rPr>
  </w:style>
  <w:style w:type="character" w:customStyle="1" w:styleId="apple-converted-space">
    <w:name w:val="apple-converted-space"/>
    <w:basedOn w:val="Absatz-Standardschriftart"/>
    <w:rsid w:val="004816D3"/>
  </w:style>
  <w:style w:type="character" w:styleId="BesuchterLink">
    <w:name w:val="FollowedHyperlink"/>
    <w:basedOn w:val="Absatz-Standardschriftart"/>
    <w:uiPriority w:val="99"/>
    <w:semiHidden/>
    <w:unhideWhenUsed/>
    <w:rsid w:val="004816D3"/>
    <w:rPr>
      <w:color w:val="954F72" w:themeColor="followedHyperlink"/>
      <w:u w:val="single"/>
    </w:rPr>
  </w:style>
  <w:style w:type="character" w:customStyle="1" w:styleId="nowrap">
    <w:name w:val="nowrap"/>
    <w:basedOn w:val="Absatz-Standardschriftart"/>
    <w:rsid w:val="004816D3"/>
  </w:style>
  <w:style w:type="paragraph" w:customStyle="1" w:styleId="headinganchor">
    <w:name w:val="headinganchor"/>
    <w:basedOn w:val="Standard"/>
    <w:rsid w:val="004816D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816D3"/>
    <w:rPr>
      <w:b/>
      <w:bCs/>
    </w:rPr>
  </w:style>
  <w:style w:type="character" w:customStyle="1" w:styleId="highlighted">
    <w:name w:val="highlighted"/>
    <w:basedOn w:val="Absatz-Standardschriftart"/>
    <w:rsid w:val="004816D3"/>
  </w:style>
  <w:style w:type="character" w:customStyle="1" w:styleId="h2">
    <w:name w:val="h2"/>
    <w:basedOn w:val="Absatz-Standardschriftart"/>
    <w:rsid w:val="004816D3"/>
  </w:style>
  <w:style w:type="paragraph" w:customStyle="1" w:styleId="svarticle">
    <w:name w:val="svarticle"/>
    <w:basedOn w:val="Standard"/>
    <w:rsid w:val="004816D3"/>
    <w:pPr>
      <w:spacing w:before="100" w:beforeAutospacing="1" w:after="100" w:afterAutospacing="1"/>
    </w:pPr>
  </w:style>
  <w:style w:type="character" w:customStyle="1" w:styleId="highlight">
    <w:name w:val="highlight"/>
    <w:basedOn w:val="Absatz-Standardschriftart"/>
    <w:rsid w:val="004816D3"/>
  </w:style>
  <w:style w:type="paragraph" w:customStyle="1" w:styleId="paragraph">
    <w:name w:val="paragraph"/>
    <w:basedOn w:val="Standard"/>
    <w:rsid w:val="004816D3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4816D3"/>
  </w:style>
  <w:style w:type="character" w:customStyle="1" w:styleId="spellingerror">
    <w:name w:val="spellingerror"/>
    <w:basedOn w:val="Absatz-Standardschriftart"/>
    <w:rsid w:val="004816D3"/>
  </w:style>
  <w:style w:type="character" w:customStyle="1" w:styleId="eop">
    <w:name w:val="eop"/>
    <w:basedOn w:val="Absatz-Standardschriftart"/>
    <w:rsid w:val="004816D3"/>
  </w:style>
  <w:style w:type="character" w:styleId="Kommentarzeichen">
    <w:name w:val="annotation reference"/>
    <w:basedOn w:val="Absatz-Standardschriftart"/>
    <w:uiPriority w:val="99"/>
    <w:semiHidden/>
    <w:unhideWhenUsed/>
    <w:rsid w:val="004816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16D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16D3"/>
    <w:rPr>
      <w:rFonts w:eastAsiaTheme="minorEastAsia"/>
      <w:sz w:val="20"/>
      <w:szCs w:val="20"/>
      <w:lang w:eastAsia="tr-T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6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6D3"/>
    <w:rPr>
      <w:rFonts w:eastAsiaTheme="minorEastAsia"/>
      <w:b/>
      <w:bCs/>
      <w:sz w:val="20"/>
      <w:szCs w:val="20"/>
      <w:lang w:eastAsia="tr-T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6D3"/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6D3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medcalcfontcctab">
    <w:name w:val="medcalcfontcctab"/>
    <w:basedOn w:val="Absatz-Standardschriftart"/>
    <w:rsid w:val="004816D3"/>
  </w:style>
  <w:style w:type="paragraph" w:customStyle="1" w:styleId="bulletindent1">
    <w:name w:val="bulletindent1"/>
    <w:basedOn w:val="Standard"/>
    <w:rsid w:val="004816D3"/>
    <w:pPr>
      <w:spacing w:before="100" w:beforeAutospacing="1" w:after="100" w:afterAutospacing="1"/>
    </w:pPr>
  </w:style>
  <w:style w:type="character" w:customStyle="1" w:styleId="cit">
    <w:name w:val="cit"/>
    <w:basedOn w:val="Absatz-Standardschriftart"/>
    <w:rsid w:val="004816D3"/>
  </w:style>
  <w:style w:type="character" w:customStyle="1" w:styleId="fm-vol-iss-date">
    <w:name w:val="fm-vol-iss-date"/>
    <w:basedOn w:val="Absatz-Standardschriftart"/>
    <w:rsid w:val="004816D3"/>
  </w:style>
  <w:style w:type="character" w:customStyle="1" w:styleId="doi">
    <w:name w:val="doi"/>
    <w:basedOn w:val="Absatz-Standardschriftart"/>
    <w:rsid w:val="004816D3"/>
  </w:style>
  <w:style w:type="character" w:customStyle="1" w:styleId="fm-citation-ids-label">
    <w:name w:val="fm-citation-ids-label"/>
    <w:basedOn w:val="Absatz-Standardschriftart"/>
    <w:rsid w:val="004816D3"/>
  </w:style>
  <w:style w:type="character" w:customStyle="1" w:styleId="title-text">
    <w:name w:val="title-text"/>
    <w:basedOn w:val="Absatz-Standardschriftart"/>
    <w:rsid w:val="004816D3"/>
  </w:style>
  <w:style w:type="character" w:customStyle="1" w:styleId="published-date">
    <w:name w:val="published-date"/>
    <w:basedOn w:val="Absatz-Standardschriftart"/>
    <w:rsid w:val="004816D3"/>
  </w:style>
  <w:style w:type="character" w:customStyle="1" w:styleId="subhead-sans">
    <w:name w:val="subhead-sans"/>
    <w:basedOn w:val="Absatz-Standardschriftart"/>
    <w:rsid w:val="004816D3"/>
  </w:style>
  <w:style w:type="character" w:customStyle="1" w:styleId="zmlenmeyenBahsetme1">
    <w:name w:val="Çözümlenmeyen Bahsetme1"/>
    <w:basedOn w:val="Absatz-Standardschriftart"/>
    <w:uiPriority w:val="99"/>
    <w:semiHidden/>
    <w:unhideWhenUsed/>
    <w:rsid w:val="00160C9A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Absatz-Standardschriftart"/>
    <w:uiPriority w:val="99"/>
    <w:semiHidden/>
    <w:unhideWhenUsed/>
    <w:rsid w:val="007B0AC0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08628F"/>
    <w:pPr>
      <w:spacing w:after="0" w:line="240" w:lineRule="auto"/>
    </w:pPr>
    <w:rPr>
      <w:rFonts w:eastAsiaTheme="minorEastAsia"/>
      <w:lang w:eastAsia="tr-TR"/>
    </w:rPr>
  </w:style>
  <w:style w:type="paragraph" w:customStyle="1" w:styleId="title1">
    <w:name w:val="title1"/>
    <w:basedOn w:val="Standard"/>
    <w:rsid w:val="002B1554"/>
    <w:rPr>
      <w:sz w:val="27"/>
      <w:szCs w:val="27"/>
    </w:rPr>
  </w:style>
  <w:style w:type="paragraph" w:customStyle="1" w:styleId="desc2">
    <w:name w:val="desc2"/>
    <w:basedOn w:val="Standard"/>
    <w:rsid w:val="002B1554"/>
    <w:rPr>
      <w:sz w:val="26"/>
      <w:szCs w:val="26"/>
    </w:rPr>
  </w:style>
  <w:style w:type="paragraph" w:customStyle="1" w:styleId="details1">
    <w:name w:val="details1"/>
    <w:basedOn w:val="Standard"/>
    <w:rsid w:val="002B1554"/>
    <w:rPr>
      <w:sz w:val="22"/>
      <w:szCs w:val="22"/>
    </w:rPr>
  </w:style>
  <w:style w:type="character" w:customStyle="1" w:styleId="jrnl">
    <w:name w:val="jrnl"/>
    <w:basedOn w:val="Absatz-Standardschriftart"/>
    <w:rsid w:val="002B1554"/>
  </w:style>
  <w:style w:type="character" w:customStyle="1" w:styleId="reference2">
    <w:name w:val="reference2"/>
    <w:basedOn w:val="Absatz-Standardschriftart"/>
    <w:rsid w:val="00A43D2C"/>
  </w:style>
  <w:style w:type="paragraph" w:customStyle="1" w:styleId="p">
    <w:name w:val="p"/>
    <w:basedOn w:val="Standard"/>
    <w:rsid w:val="00632179"/>
    <w:pPr>
      <w:spacing w:before="100" w:beforeAutospacing="1" w:after="100" w:afterAutospacing="1"/>
    </w:pPr>
  </w:style>
  <w:style w:type="character" w:customStyle="1" w:styleId="element-citation">
    <w:name w:val="element-citation"/>
    <w:basedOn w:val="Absatz-Standardschriftart"/>
    <w:rsid w:val="00632179"/>
  </w:style>
  <w:style w:type="character" w:customStyle="1" w:styleId="ref-journal">
    <w:name w:val="ref-journal"/>
    <w:basedOn w:val="Absatz-Standardschriftart"/>
    <w:rsid w:val="00632179"/>
  </w:style>
  <w:style w:type="character" w:customStyle="1" w:styleId="ref-vol">
    <w:name w:val="ref-vol"/>
    <w:basedOn w:val="Absatz-Standardschriftart"/>
    <w:rsid w:val="00632179"/>
  </w:style>
  <w:style w:type="character" w:customStyle="1" w:styleId="A0">
    <w:name w:val="A0"/>
    <w:uiPriority w:val="99"/>
    <w:rsid w:val="007528C0"/>
    <w:rPr>
      <w:rFonts w:cs="Times"/>
      <w:color w:val="000000"/>
      <w:sz w:val="18"/>
      <w:szCs w:val="18"/>
    </w:rPr>
  </w:style>
  <w:style w:type="paragraph" w:customStyle="1" w:styleId="xydpa63fa9c4yiv7303835055ydpbaf6fb72yiv8453841409ydp3fb8dab1msonormal">
    <w:name w:val="x_ydpa63fa9c4yiv7303835055ydpbaf6fb72yiv8453841409ydp3fb8dab1msonormal"/>
    <w:basedOn w:val="Standard"/>
    <w:rsid w:val="005A33D2"/>
    <w:pPr>
      <w:spacing w:before="100" w:beforeAutospacing="1" w:after="100" w:afterAutospacing="1"/>
    </w:pPr>
  </w:style>
  <w:style w:type="paragraph" w:customStyle="1" w:styleId="Saptanm">
    <w:name w:val="Saptanmış"/>
    <w:rsid w:val="003E5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tr-TR"/>
    </w:rPr>
  </w:style>
  <w:style w:type="paragraph" w:customStyle="1" w:styleId="xydp98b0ef9amsonormal">
    <w:name w:val="x_ydp98b0ef9amsonormal"/>
    <w:basedOn w:val="Standard"/>
    <w:rsid w:val="005712F8"/>
    <w:pPr>
      <w:spacing w:before="100" w:beforeAutospacing="1" w:after="100" w:afterAutospacing="1"/>
    </w:pPr>
  </w:style>
  <w:style w:type="character" w:customStyle="1" w:styleId="xydp98b0ef9amsohyperlink">
    <w:name w:val="x_ydp98b0ef9amsohyperlink"/>
    <w:basedOn w:val="Absatz-Standardschriftart"/>
    <w:rsid w:val="005712F8"/>
  </w:style>
  <w:style w:type="character" w:customStyle="1" w:styleId="user-generated">
    <w:name w:val="user-generated"/>
    <w:basedOn w:val="Absatz-Standardschriftart"/>
    <w:rsid w:val="001D5654"/>
  </w:style>
  <w:style w:type="character" w:customStyle="1" w:styleId="zmlenmeyenBahsetme3">
    <w:name w:val="Çözümlenmeyen Bahsetme3"/>
    <w:basedOn w:val="Absatz-Standardschriftart"/>
    <w:uiPriority w:val="99"/>
    <w:semiHidden/>
    <w:unhideWhenUsed/>
    <w:rsid w:val="001978D3"/>
    <w:rPr>
      <w:color w:val="808080"/>
      <w:shd w:val="clear" w:color="auto" w:fill="E6E6E6"/>
    </w:rPr>
  </w:style>
  <w:style w:type="paragraph" w:customStyle="1" w:styleId="xydpfcd73491msonormal">
    <w:name w:val="x_ydpfcd73491msonormal"/>
    <w:basedOn w:val="Standard"/>
    <w:rsid w:val="001978D3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Absatz-Standardschriftart"/>
    <w:uiPriority w:val="99"/>
    <w:rsid w:val="001978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531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434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5CD2-3167-7649-A5EF-59C99164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5976</Words>
  <Characters>43436</Characters>
  <Application>Microsoft Office Word</Application>
  <DocSecurity>0</DocSecurity>
  <Lines>778</Lines>
  <Paragraphs>291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gulistanbahat</dc:creator>
  <cp:lastModifiedBy>Mehmet Sarioglu</cp:lastModifiedBy>
  <cp:revision>6</cp:revision>
  <dcterms:created xsi:type="dcterms:W3CDTF">2021-11-20T20:30:00Z</dcterms:created>
  <dcterms:modified xsi:type="dcterms:W3CDTF">2021-11-22T01:10:00Z</dcterms:modified>
</cp:coreProperties>
</file>