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0876" w14:textId="4E3AF4D7" w:rsidR="00E9431A" w:rsidRPr="008A3D01" w:rsidRDefault="00E9431A" w:rsidP="00E9431A">
      <w:pPr>
        <w:jc w:val="both"/>
        <w:rPr>
          <w:rFonts w:asciiTheme="minorHAnsi" w:hAnsiTheme="minorHAnsi"/>
          <w:b/>
          <w:color w:val="FF0000"/>
          <w:u w:val="single"/>
          <w:lang w:val="fr-FR"/>
        </w:rPr>
      </w:pPr>
      <w:bookmarkStart w:id="0" w:name="_GoBack"/>
      <w:bookmarkEnd w:id="0"/>
      <w:r w:rsidRPr="008A3D01">
        <w:rPr>
          <w:rFonts w:asciiTheme="minorHAnsi" w:hAnsiTheme="minorHAnsi"/>
          <w:b/>
          <w:color w:val="FF0000"/>
          <w:u w:val="single"/>
          <w:lang w:val="fr-FR"/>
        </w:rPr>
        <w:t xml:space="preserve">TIME to START- </w:t>
      </w:r>
      <w:r w:rsidR="00DD6238" w:rsidRPr="008A3D01">
        <w:rPr>
          <w:rFonts w:asciiTheme="minorHAnsi" w:hAnsiTheme="minorHAnsi"/>
          <w:b/>
          <w:color w:val="FF0000"/>
          <w:u w:val="single"/>
          <w:lang w:val="fr-FR"/>
        </w:rPr>
        <w:t xml:space="preserve">MÉDICAMENTS APPROPRIÉS POUR COMMENCER CHEZ LES PERSONNES ÂGÉES </w:t>
      </w:r>
    </w:p>
    <w:p w14:paraId="501877C0" w14:textId="77777777" w:rsidR="00E9431A" w:rsidRPr="008A3D01" w:rsidRDefault="00E9431A" w:rsidP="00E9431A">
      <w:pPr>
        <w:jc w:val="both"/>
        <w:rPr>
          <w:rFonts w:asciiTheme="minorHAnsi" w:hAnsiTheme="minorHAnsi"/>
          <w:b/>
          <w:color w:val="FF0000"/>
          <w:lang w:val="fr-FR"/>
        </w:rPr>
      </w:pPr>
    </w:p>
    <w:p w14:paraId="2A949084" w14:textId="5BC2D16A" w:rsidR="00DD6238" w:rsidRPr="008A3D01" w:rsidRDefault="00DD6238" w:rsidP="00E9431A">
      <w:pPr>
        <w:rPr>
          <w:rFonts w:asciiTheme="minorHAnsi" w:hAnsiTheme="minorHAnsi"/>
          <w:b/>
          <w:color w:val="FF0000"/>
          <w:lang w:val="fr-FR"/>
        </w:rPr>
      </w:pPr>
      <w:r w:rsidRPr="008A3D01">
        <w:rPr>
          <w:rFonts w:asciiTheme="minorHAnsi" w:hAnsiTheme="minorHAnsi"/>
          <w:b/>
          <w:color w:val="FF0000"/>
          <w:lang w:val="fr-FR"/>
        </w:rPr>
        <w:t>Il existe une indication et un bénéfice potentiel à utiliser ce groupe de médicaments dans les conditions qui sont incluses dans les critères, mais ils peuvent souvent être négligés dans la pratique clinique ou ne sont pas administrés en raison de l'âge avancé, sans raison supplémentaire valable. Le fait de ne pas utiliser ces médicaments dans la situation conforme aux critères est considéré comme un « usage de médicaments potentiellement inapproprié ». Les cliniciens doivent prendre leurs décisions en tenant compte des avantages et des inconvénients potentiels du médicament chez le patient (équilibre avantages-inconvénients), l'espérance de vie attendue et les objectifs de traitement déterminés en fonction des préférences du patient/soignant, avec toutes les caractéristiques du patient. Les cliniciens peuvent juger approprié de ne pas utiliser ce groupe de médicaments dans certains cas.</w:t>
      </w:r>
    </w:p>
    <w:p w14:paraId="5871067B" w14:textId="77777777" w:rsidR="00DD6238" w:rsidRPr="008A3D01" w:rsidRDefault="00DD6238" w:rsidP="00E9431A">
      <w:pPr>
        <w:rPr>
          <w:rFonts w:asciiTheme="minorHAnsi" w:hAnsiTheme="minorHAnsi"/>
          <w:b/>
          <w:color w:val="FF0000"/>
          <w:lang w:val="fr-FR"/>
        </w:rPr>
      </w:pPr>
    </w:p>
    <w:p w14:paraId="7659E233" w14:textId="77777777" w:rsidR="00DD6238" w:rsidRPr="008A3D01" w:rsidRDefault="00DD6238" w:rsidP="00E6620A">
      <w:pPr>
        <w:pStyle w:val="Normal1"/>
        <w:jc w:val="both"/>
        <w:rPr>
          <w:rFonts w:ascii="Calibri" w:eastAsia="Calibri" w:hAnsi="Calibri" w:cs="Calibri"/>
          <w:bCs/>
          <w:i/>
          <w:sz w:val="22"/>
          <w:szCs w:val="22"/>
          <w:lang w:val="fr-FR"/>
        </w:rPr>
      </w:pPr>
      <w:r w:rsidRPr="008A3D01">
        <w:rPr>
          <w:rFonts w:ascii="Calibri" w:eastAsia="Calibri" w:hAnsi="Calibri" w:cs="Calibri"/>
          <w:bCs/>
          <w:i/>
          <w:sz w:val="22"/>
          <w:szCs w:val="22"/>
          <w:lang w:val="fr-FR"/>
        </w:rPr>
        <w:t xml:space="preserve">Pour faciliter l'utilisation clinique, les explications ajoutées à certains critères sont données en italique et avec le préfixe * immédiatement après les critères. </w:t>
      </w:r>
    </w:p>
    <w:p w14:paraId="67CEC4B7" w14:textId="77777777" w:rsidR="00DD6238" w:rsidRPr="008A3D01" w:rsidRDefault="00DD6238" w:rsidP="00E6620A">
      <w:pPr>
        <w:pStyle w:val="Normal1"/>
        <w:jc w:val="both"/>
        <w:rPr>
          <w:rFonts w:ascii="Calibri" w:eastAsia="Calibri" w:hAnsi="Calibri" w:cs="Calibri"/>
          <w:bCs/>
          <w:i/>
          <w:sz w:val="22"/>
          <w:szCs w:val="22"/>
          <w:lang w:val="fr-FR"/>
        </w:rPr>
      </w:pPr>
    </w:p>
    <w:p w14:paraId="11529D77" w14:textId="24F365C2" w:rsidR="00E6620A" w:rsidRPr="008A3D01" w:rsidRDefault="00DD6238" w:rsidP="00DD6238">
      <w:pPr>
        <w:pStyle w:val="Balk3"/>
        <w:pBdr>
          <w:bottom w:val="single" w:sz="6" w:space="1" w:color="000000"/>
        </w:pBdr>
        <w:jc w:val="both"/>
        <w:rPr>
          <w:rFonts w:ascii="Calibri" w:eastAsia="Calibri" w:hAnsi="Calibri" w:cs="Calibri"/>
          <w:b w:val="0"/>
          <w:i/>
          <w:color w:val="auto"/>
          <w:lang w:val="fr-FR"/>
        </w:rPr>
      </w:pPr>
      <w:r w:rsidRPr="008A3D01">
        <w:rPr>
          <w:rFonts w:ascii="Calibri" w:eastAsia="Calibri" w:hAnsi="Calibri" w:cs="Calibri"/>
          <w:b w:val="0"/>
          <w:i/>
          <w:color w:val="auto"/>
          <w:lang w:val="fr-FR"/>
        </w:rPr>
        <w:t xml:space="preserve">Les références; contiennent les références concernant les critères et, le cas échéant, celles sur les explications. </w:t>
      </w:r>
    </w:p>
    <w:p w14:paraId="28939A18" w14:textId="77777777" w:rsidR="00DD6238" w:rsidRPr="008A3D01" w:rsidRDefault="00DD6238" w:rsidP="00DD6238">
      <w:pPr>
        <w:rPr>
          <w:lang w:val="fr-FR"/>
        </w:rPr>
      </w:pPr>
    </w:p>
    <w:p w14:paraId="15E94A33" w14:textId="77777777" w:rsidR="00E9431A" w:rsidRPr="008A3D01" w:rsidRDefault="00E9431A" w:rsidP="0087687F">
      <w:pPr>
        <w:jc w:val="both"/>
        <w:rPr>
          <w:rFonts w:asciiTheme="minorHAnsi" w:hAnsiTheme="minorHAnsi"/>
          <w:b/>
          <w:color w:val="FF0000"/>
          <w:sz w:val="22"/>
          <w:szCs w:val="22"/>
          <w:u w:val="single"/>
          <w:lang w:val="fr-FR"/>
        </w:rPr>
      </w:pPr>
    </w:p>
    <w:p w14:paraId="31D03A27" w14:textId="77777777" w:rsidR="0087687F" w:rsidRPr="008A3D01" w:rsidRDefault="0087687F" w:rsidP="0087687F">
      <w:pPr>
        <w:jc w:val="both"/>
        <w:rPr>
          <w:rFonts w:asciiTheme="minorHAnsi" w:hAnsiTheme="minorHAnsi"/>
          <w:sz w:val="22"/>
          <w:szCs w:val="22"/>
          <w:lang w:val="fr-FR"/>
        </w:rPr>
      </w:pPr>
    </w:p>
    <w:p w14:paraId="1C53C9C7" w14:textId="43E04B1B" w:rsidR="00E9431A" w:rsidRPr="008A3D01" w:rsidRDefault="00DD6238" w:rsidP="00E9431A">
      <w:pPr>
        <w:rPr>
          <w:rFonts w:asciiTheme="minorHAnsi" w:hAnsiTheme="minorHAnsi" w:cstheme="minorHAnsi"/>
          <w:b/>
          <w:bCs/>
          <w:sz w:val="28"/>
          <w:szCs w:val="28"/>
          <w:u w:val="single"/>
          <w:lang w:val="fr-FR" w:eastAsia="en-GB"/>
        </w:rPr>
      </w:pPr>
      <w:r w:rsidRPr="008A3D01">
        <w:rPr>
          <w:rFonts w:asciiTheme="minorHAnsi" w:hAnsiTheme="minorHAnsi" w:cstheme="minorHAnsi"/>
          <w:b/>
          <w:bCs/>
          <w:sz w:val="28"/>
          <w:szCs w:val="28"/>
          <w:u w:val="single"/>
          <w:lang w:val="fr-FR" w:eastAsia="en-GB"/>
        </w:rPr>
        <w:t xml:space="preserve">Les critères de </w:t>
      </w:r>
      <w:r w:rsidR="00E9431A" w:rsidRPr="008A3D01">
        <w:rPr>
          <w:rFonts w:asciiTheme="minorHAnsi" w:hAnsiTheme="minorHAnsi" w:cstheme="minorHAnsi"/>
          <w:b/>
          <w:bCs/>
          <w:sz w:val="28"/>
          <w:szCs w:val="28"/>
          <w:u w:val="single"/>
          <w:lang w:val="fr-FR" w:eastAsia="en-GB"/>
        </w:rPr>
        <w:t>TIME-to-START (</w:t>
      </w:r>
      <w:r w:rsidRPr="008A3D01">
        <w:rPr>
          <w:rFonts w:asciiTheme="minorHAnsi" w:hAnsiTheme="minorHAnsi" w:cstheme="minorHAnsi"/>
          <w:b/>
          <w:bCs/>
          <w:sz w:val="28"/>
          <w:szCs w:val="28"/>
          <w:u w:val="single"/>
          <w:lang w:val="fr-FR" w:eastAsia="en-GB"/>
        </w:rPr>
        <w:t>avec référence et explication</w:t>
      </w:r>
      <w:r w:rsidR="00E9431A" w:rsidRPr="008A3D01">
        <w:rPr>
          <w:rFonts w:asciiTheme="minorHAnsi" w:hAnsiTheme="minorHAnsi" w:cstheme="minorHAnsi"/>
          <w:b/>
          <w:bCs/>
          <w:sz w:val="28"/>
          <w:szCs w:val="28"/>
          <w:u w:val="single"/>
          <w:lang w:val="fr-FR" w:eastAsia="en-GB"/>
        </w:rPr>
        <w:t>)</w:t>
      </w:r>
    </w:p>
    <w:p w14:paraId="5570A870" w14:textId="77777777" w:rsidR="00E9431A" w:rsidRPr="008A3D01" w:rsidRDefault="00E9431A" w:rsidP="00E9431A">
      <w:pPr>
        <w:rPr>
          <w:rFonts w:asciiTheme="minorHAnsi" w:hAnsiTheme="minorHAnsi" w:cstheme="minorHAnsi"/>
          <w:b/>
          <w:bCs/>
          <w:sz w:val="28"/>
          <w:szCs w:val="28"/>
          <w:lang w:val="fr-FR" w:eastAsia="en-GB"/>
        </w:rPr>
      </w:pPr>
    </w:p>
    <w:p w14:paraId="5DFAC606" w14:textId="77777777" w:rsidR="00E9431A" w:rsidRPr="008A3D01" w:rsidRDefault="00E9431A" w:rsidP="00E9431A">
      <w:pPr>
        <w:rPr>
          <w:rFonts w:asciiTheme="minorHAnsi" w:hAnsiTheme="minorHAnsi" w:cstheme="minorHAnsi"/>
          <w:b/>
          <w:bCs/>
          <w:sz w:val="28"/>
          <w:szCs w:val="28"/>
          <w:lang w:val="fr-FR" w:eastAsia="en-GB"/>
        </w:rPr>
      </w:pPr>
    </w:p>
    <w:p w14:paraId="788BBF40" w14:textId="3E323FDB" w:rsidR="00E9431A" w:rsidRPr="008A3D01" w:rsidRDefault="00E9431A" w:rsidP="00E9431A">
      <w:pPr>
        <w:pStyle w:val="paragraph"/>
        <w:spacing w:before="0" w:beforeAutospacing="0" w:after="0" w:afterAutospacing="0" w:line="360" w:lineRule="auto"/>
        <w:jc w:val="both"/>
        <w:textAlignment w:val="baseline"/>
        <w:rPr>
          <w:rStyle w:val="normaltextrun"/>
          <w:rFonts w:asciiTheme="minorHAnsi" w:eastAsiaTheme="majorEastAsia" w:hAnsiTheme="minorHAnsi"/>
          <w:b/>
          <w:bCs/>
          <w:sz w:val="28"/>
          <w:szCs w:val="28"/>
          <w:lang w:val="fr-FR"/>
        </w:rPr>
      </w:pPr>
      <w:r w:rsidRPr="008A3D01">
        <w:rPr>
          <w:rStyle w:val="normaltextrun"/>
          <w:rFonts w:asciiTheme="minorHAnsi" w:eastAsiaTheme="majorEastAsia" w:hAnsiTheme="minorHAnsi"/>
          <w:b/>
          <w:bCs/>
          <w:sz w:val="28"/>
          <w:szCs w:val="28"/>
          <w:lang w:val="fr-FR"/>
        </w:rPr>
        <w:t xml:space="preserve">A: </w:t>
      </w:r>
      <w:r w:rsidR="00DD6238" w:rsidRPr="008A3D01">
        <w:rPr>
          <w:rStyle w:val="normaltextrun"/>
          <w:rFonts w:asciiTheme="minorHAnsi" w:eastAsiaTheme="majorEastAsia" w:hAnsiTheme="minorHAnsi"/>
          <w:b/>
          <w:bCs/>
          <w:sz w:val="28"/>
          <w:szCs w:val="28"/>
          <w:lang w:val="fr-FR"/>
        </w:rPr>
        <w:t xml:space="preserve">Les critères du système cardiovasculaire. </w:t>
      </w:r>
    </w:p>
    <w:p w14:paraId="2434E9BF" w14:textId="77777777" w:rsidR="0087687F" w:rsidRPr="008A3D01" w:rsidRDefault="0087687F" w:rsidP="0087687F">
      <w:pPr>
        <w:jc w:val="both"/>
        <w:rPr>
          <w:rFonts w:asciiTheme="minorHAnsi" w:hAnsiTheme="minorHAnsi"/>
          <w:b/>
          <w:i/>
          <w:color w:val="5B9BD5" w:themeColor="accent5"/>
          <w:sz w:val="22"/>
          <w:szCs w:val="22"/>
          <w:u w:val="single"/>
          <w:lang w:val="fr-FR"/>
        </w:rPr>
      </w:pPr>
    </w:p>
    <w:p w14:paraId="1CF802A8" w14:textId="77777777" w:rsidR="00E9431A" w:rsidRPr="008A3D01" w:rsidRDefault="00E9431A" w:rsidP="0087687F">
      <w:pPr>
        <w:jc w:val="both"/>
        <w:rPr>
          <w:rFonts w:asciiTheme="minorHAnsi" w:hAnsiTheme="minorHAnsi"/>
          <w:b/>
          <w:i/>
          <w:color w:val="5B9BD5" w:themeColor="accent5"/>
          <w:sz w:val="22"/>
          <w:szCs w:val="22"/>
          <w:u w:val="single"/>
          <w:lang w:val="fr-FR"/>
        </w:rPr>
      </w:pPr>
    </w:p>
    <w:p w14:paraId="718A9855" w14:textId="77777777" w:rsidR="00E9431A" w:rsidRPr="008A3D01" w:rsidRDefault="00E9431A" w:rsidP="0087687F">
      <w:pPr>
        <w:jc w:val="both"/>
        <w:rPr>
          <w:rFonts w:asciiTheme="minorHAnsi" w:hAnsiTheme="minorHAnsi"/>
          <w:b/>
          <w:i/>
          <w:color w:val="5B9BD5" w:themeColor="accent5"/>
          <w:sz w:val="22"/>
          <w:szCs w:val="22"/>
          <w:u w:val="single"/>
          <w:lang w:val="fr-FR"/>
        </w:rPr>
      </w:pPr>
    </w:p>
    <w:p w14:paraId="023AAF00" w14:textId="1FB152F3" w:rsidR="00DD6238" w:rsidRPr="008A3D01" w:rsidRDefault="0087687F" w:rsidP="0087687F">
      <w:pPr>
        <w:spacing w:before="100" w:beforeAutospacing="1" w:after="100" w:afterAutospacing="1" w:line="360" w:lineRule="auto"/>
        <w:contextualSpacing/>
        <w:jc w:val="both"/>
        <w:rPr>
          <w:rFonts w:asciiTheme="minorHAnsi" w:hAnsiTheme="minorHAnsi"/>
          <w:b/>
          <w:sz w:val="22"/>
          <w:szCs w:val="22"/>
          <w:lang w:val="fr-FR"/>
        </w:rPr>
      </w:pPr>
      <w:r w:rsidRPr="008A3D01">
        <w:rPr>
          <w:rFonts w:asciiTheme="minorHAnsi" w:hAnsiTheme="minorHAnsi"/>
          <w:b/>
          <w:sz w:val="22"/>
          <w:szCs w:val="22"/>
          <w:lang w:val="fr-FR"/>
        </w:rPr>
        <w:t xml:space="preserve">A1. </w:t>
      </w:r>
      <w:r w:rsidR="00DD6238" w:rsidRPr="008A3D01">
        <w:rPr>
          <w:rFonts w:asciiTheme="minorHAnsi" w:hAnsiTheme="minorHAnsi"/>
          <w:b/>
          <w:sz w:val="22"/>
          <w:szCs w:val="22"/>
          <w:lang w:val="fr-FR"/>
        </w:rPr>
        <w:t xml:space="preserve">Il convient de débuter un traitement antiplaquettaire (aspirine ou clopidogrel) en prévention secondaire chez les patients atteints de maladie coronarienne athéroscléreuse documentée (antécédents de syndrome coronarien aigu/angioplastie coronaire ou stenting/pontage aorto-coronarien/anévrisme de l'aorte abdominale), de maladie cérébrovasculaire athéroscléreuse documentée (antécédents d'AVC ischémique/AIT/antécédent d'endartériectomie carotidienne ou </w:t>
      </w:r>
      <w:r w:rsidR="007A6515" w:rsidRPr="008A3D01">
        <w:rPr>
          <w:rFonts w:asciiTheme="minorHAnsi" w:hAnsiTheme="minorHAnsi"/>
          <w:b/>
          <w:sz w:val="22"/>
          <w:szCs w:val="22"/>
          <w:lang w:val="fr-FR"/>
        </w:rPr>
        <w:t xml:space="preserve">pose d'un stent) et </w:t>
      </w:r>
      <w:r w:rsidR="00DD6238" w:rsidRPr="008A3D01">
        <w:rPr>
          <w:rFonts w:asciiTheme="minorHAnsi" w:hAnsiTheme="minorHAnsi"/>
          <w:b/>
          <w:sz w:val="22"/>
          <w:szCs w:val="22"/>
          <w:lang w:val="fr-FR"/>
        </w:rPr>
        <w:t xml:space="preserve">de </w:t>
      </w:r>
      <w:r w:rsidR="007A6515" w:rsidRPr="008A3D01">
        <w:rPr>
          <w:rFonts w:asciiTheme="minorHAnsi" w:hAnsiTheme="minorHAnsi"/>
          <w:b/>
          <w:sz w:val="22"/>
          <w:szCs w:val="22"/>
          <w:lang w:val="fr-FR"/>
        </w:rPr>
        <w:t>maladie artérielle symptomatique des membres inférieurs.</w:t>
      </w:r>
    </w:p>
    <w:p w14:paraId="22BDD831" w14:textId="461AD312" w:rsidR="0087687F" w:rsidRPr="008A3D01" w:rsidRDefault="007A6515" w:rsidP="0087687F">
      <w:pPr>
        <w:spacing w:before="100" w:beforeAutospacing="1" w:after="100" w:afterAutospacing="1" w:line="360" w:lineRule="auto"/>
        <w:contextualSpacing/>
        <w:jc w:val="both"/>
        <w:rPr>
          <w:rFonts w:asciiTheme="minorHAnsi" w:hAnsiTheme="minorHAnsi"/>
          <w:b/>
          <w:sz w:val="22"/>
          <w:szCs w:val="22"/>
          <w:lang w:val="fr-FR"/>
        </w:rPr>
      </w:pPr>
      <w:r w:rsidRPr="008A3D01">
        <w:rPr>
          <w:rFonts w:asciiTheme="minorHAnsi" w:hAnsiTheme="minorHAnsi"/>
          <w:bCs/>
          <w:i/>
          <w:sz w:val="22"/>
          <w:szCs w:val="22"/>
          <w:lang w:val="fr-FR"/>
        </w:rPr>
        <w:t xml:space="preserve">*L'initiation d'aspirine pour la prévention cardiovasculaire primaire n'est pas appropriée dans la plupart des cas (en raison du risque accru de saignement intracrânien et gastro-intestinal et du bénéfice limité). </w:t>
      </w:r>
    </w:p>
    <w:p w14:paraId="681B9A34" w14:textId="77777777" w:rsidR="0087687F" w:rsidRPr="008A3D01"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lang w:val="fr-FR"/>
        </w:rPr>
      </w:pPr>
    </w:p>
    <w:p w14:paraId="703454B2" w14:textId="77777777" w:rsidR="0087687F" w:rsidRPr="008A3D01"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
          <w:i/>
          <w:sz w:val="22"/>
          <w:szCs w:val="22"/>
          <w:lang w:val="fr-FR"/>
        </w:rPr>
      </w:pPr>
    </w:p>
    <w:p w14:paraId="16494726" w14:textId="35EB9FA9" w:rsidR="007A6515" w:rsidRPr="008A3D01" w:rsidRDefault="0087687F" w:rsidP="0087687F">
      <w:pPr>
        <w:spacing w:after="100" w:afterAutospacing="1" w:line="360" w:lineRule="auto"/>
        <w:contextualSpacing/>
        <w:jc w:val="both"/>
        <w:rPr>
          <w:rFonts w:asciiTheme="minorHAnsi" w:hAnsiTheme="minorHAnsi"/>
          <w:b/>
          <w:sz w:val="22"/>
          <w:szCs w:val="22"/>
          <w:lang w:val="fr-FR"/>
        </w:rPr>
      </w:pPr>
      <w:r w:rsidRPr="008A3D01">
        <w:rPr>
          <w:rFonts w:asciiTheme="minorHAnsi" w:hAnsiTheme="minorHAnsi"/>
          <w:b/>
          <w:sz w:val="22"/>
          <w:szCs w:val="22"/>
          <w:lang w:val="fr-FR"/>
        </w:rPr>
        <w:lastRenderedPageBreak/>
        <w:t xml:space="preserve">A2. </w:t>
      </w:r>
      <w:r w:rsidR="007A6515" w:rsidRPr="008A3D01">
        <w:rPr>
          <w:rFonts w:asciiTheme="minorHAnsi" w:hAnsiTheme="minorHAnsi"/>
          <w:b/>
          <w:sz w:val="22"/>
          <w:szCs w:val="22"/>
          <w:lang w:val="fr-FR"/>
        </w:rPr>
        <w:t>Il est approprié d'initier un traitement par statine par prévention chez les patients présentant une coronaropathie athéroscléreuse documentée (antécédents de syndrome coronarien aigu/angioplastie coronaire ou stenting/pontage aortocoronarien/anévrisme de l'aorte abdominale), maladie cérébrovasculaire documentée (antécédents d'accident vasculaire cérébral ischémique/AIT/antécédent d'endartériectomie carotidienne ou de stenting) et chez les pateints atteints de maladie artérielle périphérique.</w:t>
      </w:r>
    </w:p>
    <w:p w14:paraId="5A47CC98" w14:textId="5A1557BF" w:rsidR="007A6515" w:rsidRPr="008A3D01" w:rsidRDefault="0087687F" w:rsidP="0087687F">
      <w:pPr>
        <w:spacing w:after="100" w:afterAutospacing="1" w:line="360" w:lineRule="auto"/>
        <w:contextualSpacing/>
        <w:jc w:val="both"/>
        <w:rPr>
          <w:rFonts w:asciiTheme="minorHAnsi" w:hAnsiTheme="minorHAnsi"/>
          <w:bCs/>
          <w:i/>
          <w:sz w:val="22"/>
          <w:szCs w:val="22"/>
          <w:lang w:val="fr-FR"/>
        </w:rPr>
      </w:pPr>
      <w:r w:rsidRPr="008A3D01">
        <w:rPr>
          <w:rFonts w:asciiTheme="minorHAnsi" w:hAnsiTheme="minorHAnsi"/>
          <w:b/>
          <w:sz w:val="22"/>
          <w:szCs w:val="22"/>
          <w:lang w:val="fr-FR"/>
        </w:rPr>
        <w:t>*</w:t>
      </w:r>
      <w:r w:rsidR="007A6515" w:rsidRPr="008A3D01">
        <w:rPr>
          <w:rFonts w:asciiTheme="minorHAnsi" w:hAnsiTheme="minorHAnsi"/>
          <w:bCs/>
          <w:i/>
          <w:sz w:val="22"/>
          <w:szCs w:val="22"/>
          <w:lang w:val="fr-FR"/>
        </w:rPr>
        <w:t xml:space="preserve">Le bénéfice attendu d'une statine est faible chez les patients ayant une espérance de vie &lt; 2 ans, ceux atteints de démence terminale et ceux âgés de &gt; 85 ans; Les effets secondaires des statines (myopathie, toxicité hépatique, etc.) sont plus fréquents. </w:t>
      </w:r>
    </w:p>
    <w:p w14:paraId="3F3FF42D" w14:textId="36A17B62" w:rsidR="0087687F" w:rsidRPr="008A3D01" w:rsidRDefault="007A6515" w:rsidP="0087687F">
      <w:pPr>
        <w:spacing w:after="100" w:afterAutospacing="1" w:line="360" w:lineRule="auto"/>
        <w:contextualSpacing/>
        <w:jc w:val="both"/>
        <w:rPr>
          <w:rFonts w:asciiTheme="minorHAnsi" w:hAnsiTheme="minorHAnsi"/>
          <w:bCs/>
          <w:i/>
          <w:sz w:val="22"/>
          <w:szCs w:val="22"/>
          <w:lang w:val="fr-FR"/>
        </w:rPr>
      </w:pPr>
      <w:r w:rsidRPr="008A3D01">
        <w:rPr>
          <w:rFonts w:asciiTheme="minorHAnsi" w:hAnsiTheme="minorHAnsi"/>
          <w:bCs/>
          <w:i/>
          <w:sz w:val="22"/>
          <w:szCs w:val="22"/>
          <w:lang w:val="fr-FR"/>
        </w:rPr>
        <w:t xml:space="preserve">*Dans ces cas, la décision de traitement par statine doit être déterminée en informant le patient/proche du patient et par le principe de la prise de décision conjointe. </w:t>
      </w:r>
    </w:p>
    <w:p w14:paraId="12AAE422" w14:textId="3DA82C84" w:rsidR="0087687F" w:rsidRPr="008A3D01" w:rsidRDefault="0087687F" w:rsidP="004613B7">
      <w:pPr>
        <w:spacing w:after="100" w:afterAutospacing="1"/>
        <w:contextualSpacing/>
        <w:jc w:val="both"/>
        <w:rPr>
          <w:rFonts w:asciiTheme="minorHAnsi" w:hAnsiTheme="minorHAnsi"/>
          <w:b/>
          <w:sz w:val="22"/>
          <w:szCs w:val="22"/>
          <w:lang w:val="fr-FR"/>
        </w:rPr>
      </w:pPr>
      <w:r w:rsidRPr="008A3D01">
        <w:rPr>
          <w:rFonts w:asciiTheme="minorHAnsi" w:hAnsiTheme="minorHAnsi"/>
          <w:bCs/>
          <w:sz w:val="22"/>
          <w:szCs w:val="22"/>
          <w:lang w:val="fr-FR"/>
        </w:rPr>
        <w:t xml:space="preserve"> </w:t>
      </w:r>
    </w:p>
    <w:p w14:paraId="40FEA825" w14:textId="77777777" w:rsidR="003C46C7" w:rsidRPr="008A3D01" w:rsidRDefault="003C46C7" w:rsidP="005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asciiTheme="minorHAnsi" w:hAnsiTheme="minorHAnsi"/>
          <w:color w:val="000000"/>
          <w:sz w:val="22"/>
          <w:szCs w:val="22"/>
          <w:lang w:val="fr-FR"/>
        </w:rPr>
      </w:pPr>
    </w:p>
    <w:p w14:paraId="0D737832" w14:textId="3728D27A" w:rsidR="003C46C7" w:rsidRPr="008A3D01" w:rsidRDefault="0087687F" w:rsidP="007A6515">
      <w:pPr>
        <w:spacing w:before="100" w:beforeAutospacing="1" w:after="100" w:afterAutospacing="1" w:line="360" w:lineRule="auto"/>
        <w:contextualSpacing/>
        <w:jc w:val="both"/>
        <w:rPr>
          <w:rFonts w:asciiTheme="minorHAnsi" w:hAnsiTheme="minorHAnsi"/>
          <w:sz w:val="22"/>
          <w:szCs w:val="22"/>
          <w:lang w:val="fr-FR"/>
        </w:rPr>
      </w:pPr>
      <w:r w:rsidRPr="008A3D01">
        <w:rPr>
          <w:rFonts w:asciiTheme="minorHAnsi" w:hAnsiTheme="minorHAnsi"/>
          <w:b/>
          <w:sz w:val="22"/>
          <w:szCs w:val="22"/>
          <w:lang w:val="fr-FR"/>
        </w:rPr>
        <w:t xml:space="preserve">A3. </w:t>
      </w:r>
      <w:r w:rsidR="007A6515" w:rsidRPr="008A3D01">
        <w:rPr>
          <w:rFonts w:asciiTheme="minorHAnsi" w:hAnsiTheme="minorHAnsi"/>
          <w:b/>
          <w:sz w:val="22"/>
          <w:szCs w:val="22"/>
          <w:lang w:val="fr-FR"/>
        </w:rPr>
        <w:t xml:space="preserve">Il est approprié d'initier un traitement antihypertenseur chez les patients dont la pression artérielle systolique est constamment &gt; 160 mmHg et/ou la pression artérielle diastolique est constamment &gt; 90 mmHg. </w:t>
      </w:r>
    </w:p>
    <w:p w14:paraId="27ECAC8C" w14:textId="77777777" w:rsidR="00D43402" w:rsidRPr="008A3D01" w:rsidRDefault="00D43402" w:rsidP="00D43402">
      <w:pPr>
        <w:spacing w:before="100" w:beforeAutospacing="1" w:after="100" w:afterAutospacing="1"/>
        <w:contextualSpacing/>
        <w:jc w:val="both"/>
        <w:rPr>
          <w:rFonts w:asciiTheme="minorHAnsi" w:hAnsiTheme="minorHAnsi"/>
          <w:i/>
          <w:sz w:val="22"/>
          <w:szCs w:val="22"/>
          <w:lang w:val="fr-FR"/>
        </w:rPr>
      </w:pPr>
    </w:p>
    <w:p w14:paraId="3DA44B14" w14:textId="77777777" w:rsidR="00D43402" w:rsidRPr="008A3D01" w:rsidRDefault="00D43402" w:rsidP="00D43402">
      <w:pPr>
        <w:spacing w:before="100" w:beforeAutospacing="1" w:after="100" w:afterAutospacing="1"/>
        <w:contextualSpacing/>
        <w:jc w:val="both"/>
        <w:rPr>
          <w:rFonts w:asciiTheme="minorHAnsi" w:hAnsiTheme="minorHAnsi"/>
          <w:i/>
          <w:sz w:val="22"/>
          <w:szCs w:val="22"/>
          <w:lang w:val="fr-FR"/>
        </w:rPr>
      </w:pPr>
    </w:p>
    <w:p w14:paraId="62E11E66" w14:textId="65FF33E2" w:rsidR="0087687F" w:rsidRPr="008A3D01" w:rsidRDefault="0087687F" w:rsidP="00D43402">
      <w:pPr>
        <w:spacing w:before="100" w:beforeAutospacing="1" w:after="100" w:afterAutospacing="1" w:line="360" w:lineRule="auto"/>
        <w:contextualSpacing/>
        <w:jc w:val="both"/>
        <w:rPr>
          <w:rFonts w:asciiTheme="minorHAnsi" w:hAnsiTheme="minorHAnsi"/>
          <w:b/>
          <w:sz w:val="22"/>
          <w:szCs w:val="22"/>
          <w:lang w:val="fr-FR"/>
        </w:rPr>
      </w:pPr>
      <w:r w:rsidRPr="008A3D01">
        <w:rPr>
          <w:rFonts w:asciiTheme="minorHAnsi" w:hAnsiTheme="minorHAnsi"/>
          <w:b/>
          <w:sz w:val="22"/>
          <w:szCs w:val="22"/>
          <w:lang w:val="fr-FR"/>
        </w:rPr>
        <w:t xml:space="preserve">A4. </w:t>
      </w:r>
      <w:r w:rsidR="007A6515" w:rsidRPr="008A3D01">
        <w:rPr>
          <w:rFonts w:asciiTheme="minorHAnsi" w:hAnsiTheme="minorHAnsi"/>
          <w:b/>
          <w:sz w:val="22"/>
          <w:szCs w:val="22"/>
          <w:lang w:val="fr-FR"/>
        </w:rPr>
        <w:t>En présence de FA chronique non valvulaire, il convient d'initier des OAC (antagonistes de la vitamine K, inhibiteurs directs de la thrombine ou inhibiteurs du facteur Xa) compte tenu du score CHA</w:t>
      </w:r>
      <w:r w:rsidR="007A6515" w:rsidRPr="008A3D01">
        <w:rPr>
          <w:rFonts w:asciiTheme="minorHAnsi" w:hAnsiTheme="minorHAnsi"/>
          <w:b/>
          <w:sz w:val="22"/>
          <w:szCs w:val="22"/>
          <w:vertAlign w:val="subscript"/>
          <w:lang w:val="fr-FR"/>
        </w:rPr>
        <w:t>2</w:t>
      </w:r>
      <w:r w:rsidR="007A6515" w:rsidRPr="008A3D01">
        <w:rPr>
          <w:rFonts w:asciiTheme="minorHAnsi" w:hAnsiTheme="minorHAnsi"/>
          <w:b/>
          <w:sz w:val="22"/>
          <w:szCs w:val="22"/>
          <w:lang w:val="fr-FR"/>
        </w:rPr>
        <w:t>DS</w:t>
      </w:r>
      <w:r w:rsidR="007A6515" w:rsidRPr="008A3D01">
        <w:rPr>
          <w:rFonts w:asciiTheme="minorHAnsi" w:hAnsiTheme="minorHAnsi"/>
          <w:b/>
          <w:sz w:val="22"/>
          <w:szCs w:val="22"/>
          <w:vertAlign w:val="subscript"/>
          <w:lang w:val="fr-FR"/>
        </w:rPr>
        <w:t>2</w:t>
      </w:r>
      <w:r w:rsidR="007A6515" w:rsidRPr="008A3D01">
        <w:rPr>
          <w:rFonts w:asciiTheme="minorHAnsi" w:hAnsiTheme="minorHAnsi"/>
          <w:b/>
          <w:sz w:val="22"/>
          <w:szCs w:val="22"/>
          <w:lang w:val="fr-FR"/>
        </w:rPr>
        <w:t xml:space="preserve">-VASc.  </w:t>
      </w:r>
    </w:p>
    <w:p w14:paraId="71580A9D" w14:textId="593E99BB" w:rsidR="0087687F" w:rsidRPr="008A3D01" w:rsidRDefault="0087687F" w:rsidP="0087687F">
      <w:pPr>
        <w:spacing w:before="100" w:beforeAutospacing="1" w:after="100" w:afterAutospacing="1" w:line="360" w:lineRule="auto"/>
        <w:contextualSpacing/>
        <w:jc w:val="both"/>
        <w:rPr>
          <w:rFonts w:asciiTheme="minorHAnsi" w:hAnsiTheme="minorHAnsi"/>
          <w:bCs/>
          <w:i/>
          <w:iCs/>
          <w:color w:val="000000" w:themeColor="text1"/>
          <w:sz w:val="22"/>
          <w:szCs w:val="22"/>
          <w:lang w:val="fr-FR"/>
        </w:rPr>
      </w:pPr>
      <w:r w:rsidRPr="008A3D01">
        <w:rPr>
          <w:rFonts w:asciiTheme="minorHAnsi" w:hAnsiTheme="minorHAnsi"/>
          <w:bCs/>
          <w:i/>
          <w:iCs/>
          <w:sz w:val="22"/>
          <w:szCs w:val="22"/>
          <w:lang w:val="fr-FR"/>
        </w:rPr>
        <w:t>*</w:t>
      </w:r>
      <w:r w:rsidR="007A6515" w:rsidRPr="008A3D01">
        <w:rPr>
          <w:lang w:val="fr-FR"/>
        </w:rPr>
        <w:t xml:space="preserve"> </w:t>
      </w:r>
      <w:r w:rsidR="007A6515" w:rsidRPr="008A3D01">
        <w:rPr>
          <w:rFonts w:asciiTheme="minorHAnsi" w:hAnsiTheme="minorHAnsi"/>
          <w:bCs/>
          <w:i/>
          <w:iCs/>
          <w:sz w:val="22"/>
          <w:szCs w:val="22"/>
          <w:lang w:val="fr-FR"/>
        </w:rPr>
        <w:t xml:space="preserve">Il est recommandé de privilégier les anti-vitamines K (NOAC) aux anti-vitamines K. </w:t>
      </w:r>
    </w:p>
    <w:p w14:paraId="3463BB8E" w14:textId="77777777" w:rsidR="004613B7" w:rsidRPr="008A3D01" w:rsidRDefault="004613B7"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lang w:val="fr-FR"/>
        </w:rPr>
      </w:pPr>
    </w:p>
    <w:p w14:paraId="59C8B06C" w14:textId="77777777" w:rsidR="00D43402" w:rsidRPr="008A3D01" w:rsidRDefault="00D43402"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lang w:val="fr-FR"/>
        </w:rPr>
      </w:pPr>
    </w:p>
    <w:p w14:paraId="032514A7" w14:textId="7FB5D5BA" w:rsidR="0087687F" w:rsidRPr="008A3D01" w:rsidRDefault="0087687F"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lang w:val="fr-FR"/>
        </w:rPr>
      </w:pPr>
      <w:r w:rsidRPr="008A3D01">
        <w:rPr>
          <w:rFonts w:asciiTheme="minorHAnsi" w:hAnsiTheme="minorHAnsi"/>
          <w:b/>
          <w:sz w:val="22"/>
          <w:szCs w:val="22"/>
          <w:lang w:val="fr-FR"/>
        </w:rPr>
        <w:t xml:space="preserve">A5. </w:t>
      </w:r>
      <w:r w:rsidR="007A6515" w:rsidRPr="008A3D01">
        <w:rPr>
          <w:rFonts w:asciiTheme="minorHAnsi" w:hAnsiTheme="minorHAnsi"/>
          <w:b/>
          <w:sz w:val="22"/>
          <w:szCs w:val="22"/>
          <w:lang w:val="fr-FR"/>
        </w:rPr>
        <w:t xml:space="preserve">En présence d'une insuffisance cardiaque systolique (FE &lt;= 40 %) ou d'un IM avec élévation du segment ST, il convient d'initier un traitement par inhibiteur de l'ECA.  </w:t>
      </w:r>
    </w:p>
    <w:p w14:paraId="4095EFFC" w14:textId="77777777" w:rsidR="00D43402" w:rsidRPr="008A3D01" w:rsidRDefault="00D43402"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b/>
          <w:sz w:val="22"/>
          <w:szCs w:val="22"/>
          <w:lang w:val="fr-FR"/>
        </w:rPr>
      </w:pPr>
    </w:p>
    <w:p w14:paraId="0368180C" w14:textId="77777777" w:rsidR="00D43402" w:rsidRPr="008A3D01" w:rsidRDefault="00D43402" w:rsidP="00D43402">
      <w:pPr>
        <w:contextualSpacing/>
        <w:jc w:val="both"/>
        <w:rPr>
          <w:rFonts w:asciiTheme="minorHAnsi" w:hAnsiTheme="minorHAnsi"/>
          <w:b/>
          <w:sz w:val="22"/>
          <w:szCs w:val="22"/>
          <w:lang w:val="fr-FR"/>
        </w:rPr>
      </w:pPr>
    </w:p>
    <w:p w14:paraId="4B6F3EE1" w14:textId="77777777" w:rsidR="00D43402" w:rsidRPr="008A3D01" w:rsidRDefault="00D43402" w:rsidP="00D43402">
      <w:pPr>
        <w:contextualSpacing/>
        <w:jc w:val="both"/>
        <w:rPr>
          <w:rFonts w:asciiTheme="minorHAnsi" w:hAnsiTheme="minorHAnsi"/>
          <w:b/>
          <w:sz w:val="22"/>
          <w:szCs w:val="22"/>
          <w:lang w:val="fr-FR"/>
        </w:rPr>
      </w:pPr>
    </w:p>
    <w:p w14:paraId="69FAB2D6" w14:textId="62BBCFAA" w:rsidR="00D47AD0" w:rsidRPr="008A3D01" w:rsidRDefault="0087687F" w:rsidP="0087687F">
      <w:pPr>
        <w:spacing w:line="360" w:lineRule="auto"/>
        <w:contextualSpacing/>
        <w:jc w:val="both"/>
        <w:rPr>
          <w:rFonts w:asciiTheme="minorHAnsi" w:hAnsiTheme="minorHAnsi"/>
          <w:b/>
          <w:sz w:val="22"/>
          <w:szCs w:val="22"/>
          <w:lang w:val="fr-FR"/>
        </w:rPr>
      </w:pPr>
      <w:r w:rsidRPr="008A3D01">
        <w:rPr>
          <w:rFonts w:asciiTheme="minorHAnsi" w:hAnsiTheme="minorHAnsi"/>
          <w:b/>
          <w:sz w:val="22"/>
          <w:szCs w:val="22"/>
          <w:lang w:val="fr-FR"/>
        </w:rPr>
        <w:t xml:space="preserve">A6. </w:t>
      </w:r>
      <w:r w:rsidR="00D47AD0" w:rsidRPr="008A3D01">
        <w:rPr>
          <w:rFonts w:asciiTheme="minorHAnsi" w:hAnsiTheme="minorHAnsi"/>
          <w:b/>
          <w:sz w:val="22"/>
          <w:szCs w:val="22"/>
          <w:lang w:val="fr-FR"/>
        </w:rPr>
        <w:t xml:space="preserve">En présence d'insuffisance cardiaque systolique (FE&lt;= 40 %) ou de cardiopathie ischémique (due à l'effet anti-angineux dans la cardiopathie ischémique chronique/effet de réduction de la mortalité dans la période post-IM), </w:t>
      </w:r>
      <w:r w:rsidR="009D2636" w:rsidRPr="008A3D01">
        <w:rPr>
          <w:rFonts w:asciiTheme="minorHAnsi" w:hAnsiTheme="minorHAnsi"/>
          <w:b/>
          <w:sz w:val="22"/>
          <w:szCs w:val="22"/>
          <w:lang w:val="fr-FR"/>
        </w:rPr>
        <w:t xml:space="preserve">il convient de commencer un </w:t>
      </w:r>
      <w:r w:rsidR="00D47AD0" w:rsidRPr="008A3D01">
        <w:rPr>
          <w:rFonts w:asciiTheme="minorHAnsi" w:hAnsiTheme="minorHAnsi"/>
          <w:b/>
          <w:sz w:val="22"/>
          <w:szCs w:val="22"/>
          <w:lang w:val="fr-FR"/>
        </w:rPr>
        <w:t xml:space="preserve">traitement par bêta-bloquant (bisoprolol/libération prolongée succinate de métoprolol/carvédilol/nébivolol dans l'IC systolique) ; </w:t>
      </w:r>
      <w:r w:rsidR="009D2636" w:rsidRPr="008A3D01">
        <w:rPr>
          <w:rFonts w:asciiTheme="minorHAnsi" w:hAnsiTheme="minorHAnsi"/>
          <w:b/>
          <w:sz w:val="22"/>
          <w:szCs w:val="22"/>
          <w:lang w:val="fr-FR"/>
        </w:rPr>
        <w:t xml:space="preserve">tout bêta-bloquant </w:t>
      </w:r>
      <w:r w:rsidR="00D47AD0" w:rsidRPr="008A3D01">
        <w:rPr>
          <w:rFonts w:asciiTheme="minorHAnsi" w:hAnsiTheme="minorHAnsi"/>
          <w:b/>
          <w:sz w:val="22"/>
          <w:szCs w:val="22"/>
          <w:lang w:val="fr-FR"/>
        </w:rPr>
        <w:t xml:space="preserve">dans les cardiopathies ischémiques)  </w:t>
      </w:r>
    </w:p>
    <w:p w14:paraId="3679C730" w14:textId="1D2195ED" w:rsidR="0087687F" w:rsidRPr="008A3D01" w:rsidRDefault="009D2636" w:rsidP="004613B7">
      <w:pPr>
        <w:spacing w:before="100" w:beforeAutospacing="1" w:after="100" w:afterAutospacing="1" w:line="360" w:lineRule="auto"/>
        <w:contextualSpacing/>
        <w:jc w:val="both"/>
        <w:rPr>
          <w:rFonts w:asciiTheme="minorHAnsi" w:hAnsiTheme="minorHAnsi"/>
          <w:bCs/>
          <w:i/>
          <w:color w:val="000000"/>
          <w:sz w:val="22"/>
          <w:szCs w:val="22"/>
          <w:shd w:val="clear" w:color="auto" w:fill="FFFFFF"/>
          <w:lang w:val="fr-FR"/>
        </w:rPr>
      </w:pPr>
      <w:r w:rsidRPr="008A3D01">
        <w:rPr>
          <w:rFonts w:asciiTheme="minorHAnsi" w:hAnsiTheme="minorHAnsi"/>
          <w:bCs/>
          <w:i/>
          <w:sz w:val="22"/>
          <w:szCs w:val="22"/>
          <w:lang w:val="fr-FR"/>
        </w:rPr>
        <w:t xml:space="preserve">*Le traitement par bêtabloquants peut être interrompu 3 ans après un infarctus du myocarde, compte tenu du rapport avantage-inconvénient potentiel. </w:t>
      </w:r>
    </w:p>
    <w:p w14:paraId="78DB50A7" w14:textId="77777777" w:rsidR="0087687F" w:rsidRPr="008A3D01" w:rsidRDefault="0087687F" w:rsidP="0087687F">
      <w:pPr>
        <w:contextualSpacing/>
        <w:jc w:val="both"/>
        <w:rPr>
          <w:rFonts w:asciiTheme="minorHAnsi" w:hAnsiTheme="minorHAnsi"/>
          <w:b/>
          <w:i/>
          <w:sz w:val="22"/>
          <w:szCs w:val="22"/>
          <w:u w:val="single"/>
          <w:lang w:val="fr-FR"/>
        </w:rPr>
      </w:pPr>
    </w:p>
    <w:p w14:paraId="10B21D2B" w14:textId="77777777" w:rsidR="003C46C7" w:rsidRPr="008A3D01" w:rsidRDefault="003C46C7" w:rsidP="0087687F">
      <w:pPr>
        <w:contextualSpacing/>
        <w:jc w:val="both"/>
        <w:rPr>
          <w:rFonts w:asciiTheme="minorHAnsi" w:hAnsiTheme="minorHAnsi"/>
          <w:b/>
          <w:i/>
          <w:sz w:val="22"/>
          <w:szCs w:val="22"/>
          <w:u w:val="single"/>
          <w:lang w:val="fr-FR"/>
        </w:rPr>
      </w:pPr>
    </w:p>
    <w:p w14:paraId="1C15AFE6" w14:textId="124D1B43" w:rsidR="00D43402" w:rsidRPr="008A3D01" w:rsidRDefault="003C46C7" w:rsidP="00D43402">
      <w:pPr>
        <w:jc w:val="both"/>
        <w:rPr>
          <w:rFonts w:asciiTheme="minorHAnsi" w:hAnsiTheme="minorHAnsi"/>
          <w:b/>
          <w:sz w:val="28"/>
          <w:szCs w:val="28"/>
          <w:lang w:val="fr-FR"/>
        </w:rPr>
      </w:pPr>
      <w:r w:rsidRPr="008A3D01">
        <w:rPr>
          <w:rFonts w:asciiTheme="minorHAnsi" w:hAnsiTheme="minorHAnsi"/>
          <w:b/>
          <w:sz w:val="28"/>
          <w:szCs w:val="28"/>
          <w:lang w:val="fr-FR"/>
        </w:rPr>
        <w:t xml:space="preserve">B </w:t>
      </w:r>
      <w:r w:rsidR="009D2636" w:rsidRPr="008A3D01">
        <w:rPr>
          <w:rFonts w:asciiTheme="minorHAnsi" w:hAnsiTheme="minorHAnsi"/>
          <w:b/>
          <w:sz w:val="28"/>
          <w:szCs w:val="28"/>
          <w:lang w:val="fr-FR"/>
        </w:rPr>
        <w:t xml:space="preserve">Les critères du système central nerveux. </w:t>
      </w:r>
    </w:p>
    <w:p w14:paraId="0709C3A7" w14:textId="77777777" w:rsidR="00D43402" w:rsidRPr="008A3D01" w:rsidRDefault="00D43402" w:rsidP="00D43402">
      <w:pPr>
        <w:jc w:val="both"/>
        <w:rPr>
          <w:rFonts w:asciiTheme="minorHAnsi" w:hAnsiTheme="minorHAnsi"/>
          <w:b/>
          <w:sz w:val="28"/>
          <w:szCs w:val="28"/>
          <w:lang w:val="fr-FR"/>
        </w:rPr>
      </w:pPr>
    </w:p>
    <w:p w14:paraId="4C5FAEF4" w14:textId="77777777" w:rsidR="00D43402" w:rsidRPr="008A3D01" w:rsidRDefault="003C46C7" w:rsidP="00D43402">
      <w:pPr>
        <w:jc w:val="both"/>
        <w:rPr>
          <w:rFonts w:asciiTheme="minorHAnsi" w:hAnsiTheme="minorHAnsi"/>
          <w:b/>
          <w:sz w:val="28"/>
          <w:szCs w:val="28"/>
          <w:lang w:val="fr-FR"/>
        </w:rPr>
      </w:pPr>
      <w:r w:rsidRPr="008A3D01">
        <w:rPr>
          <w:rFonts w:asciiTheme="minorHAnsi" w:hAnsiTheme="minorHAnsi"/>
          <w:b/>
          <w:sz w:val="28"/>
          <w:szCs w:val="28"/>
          <w:lang w:val="fr-FR"/>
        </w:rPr>
        <w:t xml:space="preserve"> </w:t>
      </w:r>
    </w:p>
    <w:p w14:paraId="0DC7B0F8" w14:textId="7F1F3FE6" w:rsidR="0087687F" w:rsidRPr="008A3D01" w:rsidRDefault="0087687F" w:rsidP="00D43402">
      <w:pPr>
        <w:contextualSpacing/>
        <w:jc w:val="both"/>
        <w:rPr>
          <w:rFonts w:asciiTheme="minorHAnsi" w:hAnsiTheme="minorHAnsi"/>
          <w:b/>
          <w:sz w:val="28"/>
          <w:szCs w:val="28"/>
          <w:lang w:val="fr-FR"/>
        </w:rPr>
      </w:pPr>
      <w:r w:rsidRPr="008A3D01">
        <w:rPr>
          <w:rFonts w:asciiTheme="minorHAnsi" w:hAnsiTheme="minorHAnsi"/>
          <w:b/>
          <w:sz w:val="22"/>
          <w:szCs w:val="22"/>
          <w:lang w:val="fr-FR"/>
        </w:rPr>
        <w:t xml:space="preserve">B1. </w:t>
      </w:r>
      <w:r w:rsidR="009D2636" w:rsidRPr="008A3D01">
        <w:rPr>
          <w:rFonts w:asciiTheme="minorHAnsi" w:hAnsiTheme="minorHAnsi"/>
          <w:b/>
          <w:sz w:val="22"/>
          <w:szCs w:val="22"/>
          <w:lang w:val="fr-FR"/>
        </w:rPr>
        <w:t>Il convient de débuter un traitement antidépresseur en présence d'un trouble dépressif majeur.</w:t>
      </w:r>
    </w:p>
    <w:p w14:paraId="40DCC3E7" w14:textId="77777777" w:rsidR="003C46C7" w:rsidRPr="008A3D01" w:rsidRDefault="003C46C7"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sz w:val="22"/>
          <w:szCs w:val="22"/>
          <w:lang w:val="fr-FR" w:eastAsia="en-GB"/>
        </w:rPr>
      </w:pPr>
    </w:p>
    <w:p w14:paraId="6074A61B" w14:textId="77777777" w:rsidR="00D43402" w:rsidRPr="008A3D01" w:rsidRDefault="00D43402" w:rsidP="00D43402">
      <w:pPr>
        <w:jc w:val="both"/>
        <w:rPr>
          <w:rFonts w:asciiTheme="minorHAnsi" w:eastAsia="LiberationSerif" w:hAnsiTheme="minorHAnsi"/>
          <w:sz w:val="22"/>
          <w:szCs w:val="22"/>
          <w:lang w:val="fr-FR"/>
        </w:rPr>
      </w:pPr>
    </w:p>
    <w:p w14:paraId="76155177" w14:textId="77777777" w:rsidR="00D43402" w:rsidRPr="008A3D01" w:rsidRDefault="00D43402" w:rsidP="00D43402">
      <w:pPr>
        <w:jc w:val="both"/>
        <w:rPr>
          <w:rFonts w:asciiTheme="minorHAnsi" w:eastAsia="LiberationSerif" w:hAnsiTheme="minorHAnsi"/>
          <w:sz w:val="22"/>
          <w:szCs w:val="22"/>
          <w:lang w:val="fr-FR"/>
        </w:rPr>
      </w:pPr>
    </w:p>
    <w:p w14:paraId="2AE34582" w14:textId="6178B16E" w:rsidR="0087687F" w:rsidRPr="008A3D01" w:rsidRDefault="0087687F" w:rsidP="00D43402">
      <w:pPr>
        <w:spacing w:line="360" w:lineRule="auto"/>
        <w:jc w:val="both"/>
        <w:rPr>
          <w:rFonts w:asciiTheme="minorHAnsi" w:eastAsia="LiberationSerif" w:hAnsiTheme="minorHAnsi"/>
          <w:sz w:val="22"/>
          <w:szCs w:val="22"/>
          <w:lang w:val="fr-FR"/>
        </w:rPr>
      </w:pPr>
      <w:r w:rsidRPr="008A3D01">
        <w:rPr>
          <w:rFonts w:asciiTheme="minorHAnsi" w:hAnsiTheme="minorHAnsi"/>
          <w:b/>
          <w:sz w:val="22"/>
          <w:szCs w:val="22"/>
          <w:lang w:val="fr-FR"/>
        </w:rPr>
        <w:t xml:space="preserve">B2. </w:t>
      </w:r>
      <w:r w:rsidR="009D2636" w:rsidRPr="008A3D01">
        <w:rPr>
          <w:rFonts w:asciiTheme="minorHAnsi" w:hAnsiTheme="minorHAnsi"/>
          <w:b/>
          <w:sz w:val="22"/>
          <w:szCs w:val="22"/>
          <w:lang w:val="fr-FR"/>
        </w:rPr>
        <w:t>En présence d'une anxiété persistante et sévère affectant la fonctionnalité, il est approprié d'initier un traitement par ISRS (IRSN ou prégabaline si l'ISRS est contre-indiqué).</w:t>
      </w:r>
    </w:p>
    <w:p w14:paraId="41B5723A" w14:textId="389A03FA" w:rsidR="004613B7" w:rsidRPr="008A3D01" w:rsidRDefault="009D2636" w:rsidP="0087687F">
      <w:pPr>
        <w:spacing w:before="100" w:beforeAutospacing="1" w:after="100" w:afterAutospacing="1" w:line="360" w:lineRule="auto"/>
        <w:contextualSpacing/>
        <w:jc w:val="both"/>
        <w:rPr>
          <w:rFonts w:asciiTheme="minorHAnsi" w:hAnsiTheme="minorHAnsi"/>
          <w:bCs/>
          <w:i/>
          <w:color w:val="212121"/>
          <w:sz w:val="22"/>
          <w:szCs w:val="22"/>
          <w:shd w:val="clear" w:color="auto" w:fill="FFFFFF"/>
          <w:lang w:val="fr-FR"/>
        </w:rPr>
      </w:pPr>
      <w:r w:rsidRPr="008A3D01">
        <w:rPr>
          <w:rFonts w:asciiTheme="minorHAnsi" w:hAnsiTheme="minorHAnsi"/>
          <w:bCs/>
          <w:i/>
          <w:color w:val="212121"/>
          <w:sz w:val="22"/>
          <w:szCs w:val="22"/>
          <w:shd w:val="clear" w:color="auto" w:fill="FFFFFF"/>
          <w:lang w:val="fr-FR"/>
        </w:rPr>
        <w:t>*La buspirone en monothérapie peut être utilisée dans le traitement de l'anxiété chez les patients qui ne bénéficient pas des ISRS ou qui ne tolèrent pas les ISRS, s'il n'y a pas de dépression associée.</w:t>
      </w:r>
    </w:p>
    <w:p w14:paraId="07975409" w14:textId="77777777" w:rsidR="009D2636" w:rsidRPr="008A3D01" w:rsidRDefault="009D2636" w:rsidP="0087687F">
      <w:pPr>
        <w:spacing w:before="100" w:beforeAutospacing="1" w:after="100" w:afterAutospacing="1" w:line="360" w:lineRule="auto"/>
        <w:contextualSpacing/>
        <w:jc w:val="both"/>
        <w:rPr>
          <w:rFonts w:asciiTheme="minorHAnsi" w:hAnsiTheme="minorHAnsi"/>
          <w:sz w:val="22"/>
          <w:szCs w:val="22"/>
          <w:lang w:val="fr-FR"/>
        </w:rPr>
      </w:pPr>
    </w:p>
    <w:p w14:paraId="2E8512F8" w14:textId="50080B8F" w:rsidR="0087687F" w:rsidRPr="008A3D01" w:rsidRDefault="008A4F48" w:rsidP="0087687F">
      <w:pPr>
        <w:spacing w:before="100" w:beforeAutospacing="1" w:after="100" w:afterAutospacing="1" w:line="360" w:lineRule="auto"/>
        <w:contextualSpacing/>
        <w:jc w:val="both"/>
        <w:rPr>
          <w:rFonts w:asciiTheme="minorHAnsi" w:hAnsiTheme="minorHAnsi"/>
          <w:b/>
          <w:color w:val="000000"/>
          <w:sz w:val="22"/>
          <w:szCs w:val="22"/>
          <w:lang w:val="fr-FR"/>
        </w:rPr>
      </w:pPr>
      <w:r w:rsidRPr="008A3D01">
        <w:rPr>
          <w:rFonts w:ascii="Calibri" w:hAnsi="Calibri" w:cs="Calibri"/>
          <w:b/>
          <w:sz w:val="22"/>
          <w:szCs w:val="22"/>
          <w:lang w:val="fr-FR"/>
        </w:rPr>
        <w:t>#</w:t>
      </w:r>
      <w:r w:rsidR="0087687F" w:rsidRPr="008A3D01">
        <w:rPr>
          <w:rFonts w:asciiTheme="minorHAnsi" w:hAnsiTheme="minorHAnsi"/>
          <w:b/>
          <w:sz w:val="22"/>
          <w:szCs w:val="22"/>
          <w:lang w:val="fr-FR"/>
        </w:rPr>
        <w:t xml:space="preserve">B3. </w:t>
      </w:r>
      <w:r w:rsidR="009D2636" w:rsidRPr="008A3D01">
        <w:rPr>
          <w:rFonts w:asciiTheme="minorHAnsi" w:hAnsiTheme="minorHAnsi"/>
          <w:b/>
          <w:color w:val="000000"/>
          <w:sz w:val="22"/>
          <w:szCs w:val="22"/>
          <w:lang w:val="fr-FR"/>
        </w:rPr>
        <w:t>Il est approprié de commencer le traitement par ChEi au stade précoce et moyen de la maladie d'Alzheimer.</w:t>
      </w:r>
    </w:p>
    <w:p w14:paraId="59FEFC3F"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*Il existe des preuves pour commencer un traitement par ChEi dans la maladie d'Alzheimer. </w:t>
      </w:r>
    </w:p>
    <w:p w14:paraId="2F6C0482"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*Il existe des preuves et l'approbation de la FDA pour les 3 inhibiteurs de la cholinestérase (donépézil, galantamine, rivastigmine) dans la maladie d'Alzheimer précoce à modérée </w:t>
      </w:r>
    </w:p>
    <w:p w14:paraId="3999BE10"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*Il existe des preuves et une approbation de la FDA pour le donépézil dans le traitement de la maladie d'Alzheimer à un stade avancé. </w:t>
      </w:r>
    </w:p>
    <w:p w14:paraId="301A0870"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*Il existe des preuves et l'approbation de la FDA pour l'initiation de la rivastigmine dans la démence de la maladie de Parkinson. Il existe des études montrant que le donépézil peut être bénéfique dans la démence de la maladie de Parkinson. </w:t>
      </w:r>
    </w:p>
    <w:p w14:paraId="4AE54148"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*Il n'existe aucune preuve définitive de l'utilisation du ChEi dans la démence à corps de Lewy et la démence vasculaire, mais son utilisation peut être recommandée. </w:t>
      </w:r>
    </w:p>
    <w:p w14:paraId="02ECC8D4"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*Des études montrent que le donépézil et la rivastigmine peuvent être bénéfiques dans la démence à corps de Lewy. L'approbation de la FDA n'est disponible pour aucun des ChEi dans la démence à corps de Lewy </w:t>
      </w:r>
    </w:p>
    <w:p w14:paraId="56D6CD7D" w14:textId="580640B2"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*Des études montrent que les inhibiteurs de la cholinestérase peuvent être bénéfiques dans la démence vasculaire. L'approbation de la FDA pour la démence vasculaire n'est disponible pour aucun de leurs ChEi.</w:t>
      </w:r>
    </w:p>
    <w:p w14:paraId="5B93CB98" w14:textId="77777777" w:rsidR="009D2636" w:rsidRPr="008A3D01" w:rsidRDefault="009D2636" w:rsidP="0087687F">
      <w:pPr>
        <w:spacing w:before="100" w:beforeAutospacing="1" w:after="100" w:afterAutospacing="1" w:line="360" w:lineRule="auto"/>
        <w:contextualSpacing/>
        <w:jc w:val="both"/>
        <w:rPr>
          <w:rFonts w:asciiTheme="minorHAnsi" w:hAnsiTheme="minorHAnsi"/>
          <w:bCs/>
          <w:i/>
          <w:color w:val="000000"/>
          <w:sz w:val="22"/>
          <w:szCs w:val="22"/>
          <w:lang w:val="fr-FR"/>
        </w:rPr>
      </w:pPr>
    </w:p>
    <w:p w14:paraId="0B548E8F" w14:textId="1F4A8DC1" w:rsidR="0087687F" w:rsidRPr="008A3D01" w:rsidRDefault="008A4F48" w:rsidP="0087687F">
      <w:pPr>
        <w:shd w:val="clear" w:color="auto" w:fill="FFFFFF"/>
        <w:spacing w:before="100" w:beforeAutospacing="1" w:after="100" w:afterAutospacing="1" w:line="360" w:lineRule="auto"/>
        <w:contextualSpacing/>
        <w:jc w:val="both"/>
        <w:rPr>
          <w:rFonts w:asciiTheme="minorHAnsi" w:hAnsiTheme="minorHAnsi"/>
          <w:bCs/>
          <w:color w:val="000000"/>
          <w:sz w:val="22"/>
          <w:szCs w:val="22"/>
          <w:lang w:val="fr-FR"/>
        </w:rPr>
      </w:pPr>
      <w:r w:rsidRPr="008A3D01">
        <w:rPr>
          <w:rFonts w:ascii="Calibri" w:hAnsi="Calibri" w:cs="Calibri"/>
          <w:b/>
          <w:sz w:val="22"/>
          <w:szCs w:val="22"/>
          <w:lang w:val="fr-FR"/>
        </w:rPr>
        <w:t>#</w:t>
      </w:r>
      <w:r w:rsidR="0087687F" w:rsidRPr="008A3D01">
        <w:rPr>
          <w:rFonts w:asciiTheme="minorHAnsi" w:hAnsiTheme="minorHAnsi"/>
          <w:b/>
          <w:color w:val="000000"/>
          <w:sz w:val="22"/>
          <w:szCs w:val="22"/>
          <w:lang w:val="fr-FR"/>
        </w:rPr>
        <w:t xml:space="preserve">B4. </w:t>
      </w:r>
      <w:r w:rsidR="009D2636" w:rsidRPr="008A3D01">
        <w:rPr>
          <w:rFonts w:asciiTheme="minorHAnsi" w:hAnsiTheme="minorHAnsi"/>
          <w:b/>
          <w:color w:val="000000"/>
          <w:sz w:val="22"/>
          <w:szCs w:val="22"/>
          <w:lang w:val="fr-FR"/>
        </w:rPr>
        <w:t>Il est approprié de commencer un traitement à la mémantine dans la maladie d'Alzheimer modérée à avancée.</w:t>
      </w:r>
    </w:p>
    <w:p w14:paraId="6A3CF42D" w14:textId="77777777" w:rsidR="009D2636" w:rsidRPr="008A3D01" w:rsidRDefault="009D2636" w:rsidP="0087687F">
      <w:pPr>
        <w:shd w:val="clear" w:color="auto" w:fill="FFFFFF"/>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 xml:space="preserve">*La mémantine peut également être efficace dans la démence vasculaire. </w:t>
      </w:r>
    </w:p>
    <w:p w14:paraId="16324A62" w14:textId="2418E604" w:rsidR="009D2636" w:rsidRPr="008A3D01" w:rsidRDefault="009D2636" w:rsidP="0087687F">
      <w:pPr>
        <w:shd w:val="clear" w:color="auto" w:fill="FFFFFF"/>
        <w:spacing w:before="100" w:beforeAutospacing="1" w:after="100" w:afterAutospacing="1" w:line="360" w:lineRule="auto"/>
        <w:contextualSpacing/>
        <w:jc w:val="both"/>
        <w:rPr>
          <w:rFonts w:asciiTheme="minorHAnsi" w:hAnsiTheme="minorHAnsi"/>
          <w:bCs/>
          <w:i/>
          <w:color w:val="000000"/>
          <w:sz w:val="22"/>
          <w:szCs w:val="22"/>
          <w:lang w:val="fr-FR"/>
        </w:rPr>
      </w:pPr>
      <w:r w:rsidRPr="008A3D01">
        <w:rPr>
          <w:rFonts w:asciiTheme="minorHAnsi" w:hAnsiTheme="minorHAnsi"/>
          <w:bCs/>
          <w:i/>
          <w:color w:val="000000"/>
          <w:sz w:val="22"/>
          <w:szCs w:val="22"/>
          <w:lang w:val="fr-FR"/>
        </w:rPr>
        <w:t>*La mémantine peut être bénéfique dans les symptômes comportementaux et psychiatriques de la démence (SCPD).</w:t>
      </w:r>
    </w:p>
    <w:p w14:paraId="671A19EB" w14:textId="77777777" w:rsidR="00D43402" w:rsidRPr="008A3D01" w:rsidRDefault="00D43402" w:rsidP="00D43402">
      <w:pPr>
        <w:shd w:val="clear" w:color="auto" w:fill="FFFFFF"/>
        <w:spacing w:before="100" w:beforeAutospacing="1" w:after="100" w:afterAutospacing="1"/>
        <w:contextualSpacing/>
        <w:rPr>
          <w:rFonts w:asciiTheme="minorHAnsi" w:hAnsiTheme="minorHAnsi"/>
          <w:color w:val="000000"/>
          <w:sz w:val="22"/>
          <w:szCs w:val="22"/>
          <w:lang w:val="fr-FR"/>
        </w:rPr>
      </w:pPr>
    </w:p>
    <w:p w14:paraId="6F613C63" w14:textId="77777777" w:rsidR="00D23A56" w:rsidRPr="008A3D01" w:rsidRDefault="00D23A56" w:rsidP="00D43402">
      <w:pPr>
        <w:shd w:val="clear" w:color="auto" w:fill="FFFFFF"/>
        <w:spacing w:before="100" w:beforeAutospacing="1" w:after="100" w:afterAutospacing="1"/>
        <w:contextualSpacing/>
        <w:rPr>
          <w:rFonts w:asciiTheme="minorHAnsi" w:hAnsiTheme="minorHAnsi"/>
          <w:color w:val="000000"/>
          <w:sz w:val="22"/>
          <w:szCs w:val="22"/>
          <w:lang w:val="fr-FR"/>
        </w:rPr>
      </w:pPr>
    </w:p>
    <w:p w14:paraId="181785B7" w14:textId="77777777" w:rsidR="009D2636" w:rsidRPr="008A3D01" w:rsidRDefault="008A4F48" w:rsidP="00D43402">
      <w:pPr>
        <w:shd w:val="clear" w:color="auto" w:fill="FFFFFF"/>
        <w:spacing w:before="100" w:beforeAutospacing="1" w:after="100" w:afterAutospacing="1" w:line="360" w:lineRule="auto"/>
        <w:contextualSpacing/>
        <w:rPr>
          <w:rFonts w:asciiTheme="minorHAnsi" w:hAnsiTheme="minorHAnsi"/>
          <w:b/>
          <w:sz w:val="22"/>
          <w:szCs w:val="22"/>
          <w:lang w:val="fr-FR"/>
        </w:rPr>
      </w:pPr>
      <w:r w:rsidRPr="008A3D01">
        <w:rPr>
          <w:rFonts w:ascii="Calibri" w:hAnsi="Calibri" w:cs="Calibri"/>
          <w:b/>
          <w:sz w:val="22"/>
          <w:szCs w:val="22"/>
          <w:lang w:val="fr-FR"/>
        </w:rPr>
        <w:lastRenderedPageBreak/>
        <w:t>#</w:t>
      </w:r>
      <w:r w:rsidR="0087687F" w:rsidRPr="008A3D01">
        <w:rPr>
          <w:rFonts w:asciiTheme="minorHAnsi" w:hAnsiTheme="minorHAnsi"/>
          <w:b/>
          <w:sz w:val="22"/>
          <w:szCs w:val="22"/>
          <w:lang w:val="fr-FR"/>
        </w:rPr>
        <w:t xml:space="preserve">B5. </w:t>
      </w:r>
      <w:r w:rsidR="009D2636" w:rsidRPr="008A3D01">
        <w:rPr>
          <w:rFonts w:asciiTheme="minorHAnsi" w:hAnsiTheme="minorHAnsi"/>
          <w:b/>
          <w:sz w:val="22"/>
          <w:szCs w:val="22"/>
          <w:lang w:val="fr-FR"/>
        </w:rPr>
        <w:t xml:space="preserve">Il est approprié d'initier un traitement au propranolol ou à la pyrimidone chez les patients présentant un tremblement essentiel affectant la fonctionnalité. </w:t>
      </w:r>
    </w:p>
    <w:p w14:paraId="3065E787" w14:textId="77777777" w:rsidR="009D2636" w:rsidRPr="008A3D01" w:rsidRDefault="009D2636" w:rsidP="00D43402">
      <w:pPr>
        <w:spacing w:line="360" w:lineRule="auto"/>
        <w:jc w:val="both"/>
        <w:rPr>
          <w:rFonts w:asciiTheme="minorHAnsi" w:hAnsiTheme="minorHAnsi"/>
          <w:i/>
          <w:sz w:val="22"/>
          <w:szCs w:val="22"/>
          <w:lang w:val="fr-FR"/>
        </w:rPr>
      </w:pPr>
      <w:r w:rsidRPr="008A3D01">
        <w:rPr>
          <w:rFonts w:asciiTheme="minorHAnsi" w:hAnsiTheme="minorHAnsi"/>
          <w:i/>
          <w:sz w:val="22"/>
          <w:szCs w:val="22"/>
          <w:lang w:val="fr-FR"/>
        </w:rPr>
        <w:t xml:space="preserve">*Pyrimidon n'est pas approuvé par la FDA. </w:t>
      </w:r>
    </w:p>
    <w:p w14:paraId="127436D5" w14:textId="0F6853DC" w:rsidR="009D2636" w:rsidRPr="008A3D01" w:rsidRDefault="009D2636" w:rsidP="00D43402">
      <w:pPr>
        <w:spacing w:line="360" w:lineRule="auto"/>
        <w:jc w:val="both"/>
        <w:rPr>
          <w:rFonts w:asciiTheme="minorHAnsi" w:hAnsiTheme="minorHAnsi"/>
          <w:i/>
          <w:sz w:val="22"/>
          <w:szCs w:val="22"/>
          <w:lang w:val="fr-FR"/>
        </w:rPr>
      </w:pPr>
      <w:r w:rsidRPr="008A3D01">
        <w:rPr>
          <w:rFonts w:asciiTheme="minorHAnsi" w:hAnsiTheme="minorHAnsi"/>
          <w:i/>
          <w:sz w:val="22"/>
          <w:szCs w:val="22"/>
          <w:lang w:val="fr-FR"/>
        </w:rPr>
        <w:t>*Les effets secondaires de la pyrimidone (sédation, vertiges et nausées) sont fréquents. Lorsqu'il est utilisé, il doit être démarré à faible dose et augmenté lentement.</w:t>
      </w:r>
    </w:p>
    <w:p w14:paraId="1D4A2228" w14:textId="77777777" w:rsidR="0087687F" w:rsidRPr="008A3D01" w:rsidRDefault="0087687F" w:rsidP="0087687F">
      <w:pPr>
        <w:jc w:val="both"/>
        <w:rPr>
          <w:rFonts w:asciiTheme="minorHAnsi" w:hAnsiTheme="minorHAnsi"/>
          <w:b/>
          <w:i/>
          <w:sz w:val="22"/>
          <w:szCs w:val="22"/>
          <w:lang w:val="fr-FR"/>
        </w:rPr>
      </w:pPr>
    </w:p>
    <w:p w14:paraId="692904D6" w14:textId="23895519" w:rsidR="009D2636" w:rsidRPr="008A3D01" w:rsidRDefault="0087687F" w:rsidP="00D43402">
      <w:pPr>
        <w:jc w:val="both"/>
        <w:rPr>
          <w:rFonts w:asciiTheme="minorHAnsi" w:hAnsiTheme="minorHAnsi"/>
          <w:b/>
          <w:sz w:val="22"/>
          <w:szCs w:val="22"/>
          <w:lang w:val="fr-FR"/>
        </w:rPr>
      </w:pPr>
      <w:r w:rsidRPr="008A3D01">
        <w:rPr>
          <w:rFonts w:asciiTheme="minorHAnsi" w:hAnsiTheme="minorHAnsi"/>
          <w:b/>
          <w:sz w:val="22"/>
          <w:szCs w:val="22"/>
          <w:lang w:val="fr-FR"/>
        </w:rPr>
        <w:t xml:space="preserve">B6. </w:t>
      </w:r>
      <w:r w:rsidR="009D2636" w:rsidRPr="008A3D01">
        <w:rPr>
          <w:rFonts w:asciiTheme="minorHAnsi" w:hAnsiTheme="minorHAnsi"/>
          <w:b/>
          <w:sz w:val="22"/>
          <w:szCs w:val="22"/>
          <w:lang w:val="fr-FR"/>
        </w:rPr>
        <w:t xml:space="preserve">Le traitement par L-dopa est approprié en présence de la maladie de Parkinson idiopathique qui provoque un trouble fonctionnel et une invalidité.  </w:t>
      </w:r>
    </w:p>
    <w:p w14:paraId="68C87009" w14:textId="77777777" w:rsidR="0087687F" w:rsidRPr="008A3D01" w:rsidRDefault="0087687F" w:rsidP="0087687F">
      <w:pPr>
        <w:spacing w:before="100" w:beforeAutospacing="1" w:after="100" w:afterAutospacing="1"/>
        <w:contextualSpacing/>
        <w:jc w:val="both"/>
        <w:rPr>
          <w:rFonts w:asciiTheme="minorHAnsi" w:hAnsiTheme="minorHAnsi"/>
          <w:sz w:val="22"/>
          <w:szCs w:val="22"/>
          <w:lang w:val="fr-FR"/>
        </w:rPr>
      </w:pPr>
    </w:p>
    <w:p w14:paraId="6C7F062C" w14:textId="77777777" w:rsidR="00B4173A" w:rsidRPr="008A3D01" w:rsidRDefault="00B4173A" w:rsidP="0087687F">
      <w:pPr>
        <w:spacing w:before="100" w:beforeAutospacing="1" w:after="100" w:afterAutospacing="1"/>
        <w:contextualSpacing/>
        <w:jc w:val="both"/>
        <w:rPr>
          <w:rFonts w:asciiTheme="minorHAnsi" w:hAnsiTheme="minorHAnsi"/>
          <w:sz w:val="22"/>
          <w:szCs w:val="22"/>
          <w:lang w:val="fr-FR"/>
        </w:rPr>
      </w:pPr>
    </w:p>
    <w:p w14:paraId="601CBE51" w14:textId="1FEC1FBA" w:rsidR="0087687F" w:rsidRPr="008A3D01" w:rsidRDefault="0087687F" w:rsidP="00D43402">
      <w:pPr>
        <w:spacing w:line="360" w:lineRule="auto"/>
        <w:jc w:val="both"/>
        <w:rPr>
          <w:rFonts w:asciiTheme="minorHAnsi" w:hAnsiTheme="minorHAnsi"/>
          <w:b/>
          <w:sz w:val="22"/>
          <w:szCs w:val="22"/>
          <w:lang w:val="fr-FR"/>
        </w:rPr>
      </w:pPr>
      <w:r w:rsidRPr="008A3D01">
        <w:rPr>
          <w:rFonts w:asciiTheme="minorHAnsi" w:hAnsiTheme="minorHAnsi"/>
          <w:b/>
          <w:sz w:val="22"/>
          <w:szCs w:val="22"/>
          <w:lang w:val="fr-FR"/>
        </w:rPr>
        <w:t xml:space="preserve">B7. </w:t>
      </w:r>
      <w:r w:rsidR="009D2636" w:rsidRPr="008A3D01">
        <w:rPr>
          <w:rFonts w:asciiTheme="minorHAnsi" w:hAnsiTheme="minorHAnsi"/>
          <w:b/>
          <w:sz w:val="22"/>
          <w:szCs w:val="22"/>
          <w:lang w:val="fr-FR"/>
        </w:rPr>
        <w:t>Lorsque les fluctuations motrices on-off commencent chez les patients atteints de la maladie de Parkinson idiopathique, il est approprié d'ajouter un inhibiteur de la MAO-B ou un inhibiteur de la COMT au traitement par L-dopa.</w:t>
      </w:r>
    </w:p>
    <w:p w14:paraId="397AED01" w14:textId="77777777" w:rsidR="00F33FC1" w:rsidRPr="008A3D01" w:rsidRDefault="00F33FC1" w:rsidP="00D43402">
      <w:pPr>
        <w:shd w:val="clear" w:color="auto" w:fill="FFFFFF"/>
        <w:spacing w:before="100" w:beforeAutospacing="1" w:after="100" w:afterAutospacing="1"/>
        <w:contextualSpacing/>
        <w:jc w:val="both"/>
        <w:rPr>
          <w:rFonts w:asciiTheme="minorHAnsi" w:hAnsiTheme="minorHAnsi"/>
          <w:b/>
          <w:color w:val="000000"/>
          <w:sz w:val="22"/>
          <w:szCs w:val="22"/>
          <w:lang w:val="fr-FR"/>
        </w:rPr>
      </w:pPr>
    </w:p>
    <w:p w14:paraId="3BE31887" w14:textId="77777777" w:rsidR="00F33FC1" w:rsidRPr="008A3D01" w:rsidRDefault="00F33FC1" w:rsidP="00D43402">
      <w:pPr>
        <w:shd w:val="clear" w:color="auto" w:fill="FFFFFF"/>
        <w:spacing w:before="100" w:beforeAutospacing="1" w:after="100" w:afterAutospacing="1"/>
        <w:contextualSpacing/>
        <w:jc w:val="both"/>
        <w:rPr>
          <w:rFonts w:asciiTheme="minorHAnsi" w:hAnsiTheme="minorHAnsi"/>
          <w:b/>
          <w:color w:val="000000"/>
          <w:sz w:val="22"/>
          <w:szCs w:val="22"/>
          <w:lang w:val="fr-FR"/>
        </w:rPr>
      </w:pPr>
    </w:p>
    <w:p w14:paraId="1230D2BB" w14:textId="131A3985" w:rsidR="0087687F" w:rsidRPr="008A3D01" w:rsidRDefault="0087687F" w:rsidP="0087687F">
      <w:pPr>
        <w:shd w:val="clear" w:color="auto" w:fill="FFFFFF"/>
        <w:spacing w:before="100" w:beforeAutospacing="1" w:after="100" w:afterAutospacing="1" w:line="360" w:lineRule="auto"/>
        <w:contextualSpacing/>
        <w:jc w:val="both"/>
        <w:rPr>
          <w:rFonts w:asciiTheme="minorHAnsi" w:hAnsiTheme="minorHAnsi"/>
          <w:b/>
          <w:color w:val="000000"/>
          <w:sz w:val="22"/>
          <w:szCs w:val="22"/>
          <w:lang w:val="fr-FR"/>
        </w:rPr>
      </w:pPr>
      <w:r w:rsidRPr="008A3D01">
        <w:rPr>
          <w:rFonts w:asciiTheme="minorHAnsi" w:hAnsiTheme="minorHAnsi"/>
          <w:b/>
          <w:color w:val="000000"/>
          <w:sz w:val="22"/>
          <w:szCs w:val="22"/>
          <w:lang w:val="fr-FR"/>
        </w:rPr>
        <w:t xml:space="preserve">B8. </w:t>
      </w:r>
      <w:r w:rsidR="009D2636" w:rsidRPr="008A3D01">
        <w:rPr>
          <w:rFonts w:asciiTheme="minorHAnsi" w:hAnsiTheme="minorHAnsi"/>
          <w:b/>
          <w:color w:val="000000"/>
          <w:sz w:val="22"/>
          <w:szCs w:val="22"/>
          <w:lang w:val="fr-FR"/>
        </w:rPr>
        <w:t>Chez les patients atteints du syndrome des jambes sans repos chez lesquels une carence en fer et une insuffisance rénale chronique ont été exclus, des inhibiteurs calciques alpha-2-delta (prégabaline, gabapentine) ou des agonistes dopaminergiques (pramipexole/ropinirole/rotigotine) doivent être administrés si les symptômes affectent négativement la qualité de la vie.</w:t>
      </w:r>
    </w:p>
    <w:p w14:paraId="79E60F3F" w14:textId="0ADC8D33" w:rsidR="004613B7" w:rsidRPr="008A3D01" w:rsidRDefault="009D2636" w:rsidP="00D43402">
      <w:pPr>
        <w:contextualSpacing/>
        <w:jc w:val="both"/>
        <w:rPr>
          <w:rFonts w:asciiTheme="minorHAnsi" w:hAnsiTheme="minorHAnsi"/>
          <w:b/>
          <w:i/>
          <w:color w:val="5B9BD5" w:themeColor="accent5"/>
          <w:sz w:val="22"/>
          <w:szCs w:val="22"/>
          <w:u w:val="single"/>
          <w:lang w:val="fr-FR"/>
        </w:rPr>
      </w:pPr>
      <w:r w:rsidRPr="008A3D01">
        <w:rPr>
          <w:rFonts w:asciiTheme="minorHAnsi" w:hAnsiTheme="minorHAnsi"/>
          <w:bCs/>
          <w:i/>
          <w:color w:val="000000"/>
          <w:sz w:val="22"/>
          <w:szCs w:val="22"/>
          <w:lang w:val="fr-FR"/>
        </w:rPr>
        <w:t>*Un traitement par L-dopa (50-200 mg) peut être approprié, en particulier en cas de symptômes intermittents. Il peut également être préféré dans les cas symptomatiques d'insuffisance rénale.</w:t>
      </w:r>
    </w:p>
    <w:p w14:paraId="01B07368" w14:textId="77777777" w:rsidR="0087687F" w:rsidRPr="008A3D01" w:rsidRDefault="0087687F" w:rsidP="00D43402">
      <w:pPr>
        <w:contextualSpacing/>
        <w:jc w:val="both"/>
        <w:rPr>
          <w:rFonts w:asciiTheme="minorHAnsi" w:hAnsiTheme="minorHAnsi"/>
          <w:b/>
          <w:i/>
          <w:color w:val="5B9BD5" w:themeColor="accent5"/>
          <w:sz w:val="22"/>
          <w:szCs w:val="22"/>
          <w:u w:val="single"/>
          <w:lang w:val="fr-FR"/>
        </w:rPr>
      </w:pPr>
    </w:p>
    <w:p w14:paraId="69481546" w14:textId="77777777" w:rsidR="00F33FC1" w:rsidRPr="008A3D01" w:rsidRDefault="00F33FC1" w:rsidP="00D43402">
      <w:pPr>
        <w:contextualSpacing/>
        <w:jc w:val="both"/>
        <w:rPr>
          <w:rFonts w:asciiTheme="minorHAnsi" w:hAnsiTheme="minorHAnsi"/>
          <w:b/>
          <w:i/>
          <w:color w:val="5B9BD5" w:themeColor="accent5"/>
          <w:sz w:val="22"/>
          <w:szCs w:val="22"/>
          <w:u w:val="single"/>
          <w:lang w:val="fr-FR"/>
        </w:rPr>
      </w:pPr>
    </w:p>
    <w:p w14:paraId="0D651CFD" w14:textId="38756614" w:rsidR="00F33FC1" w:rsidRPr="008A3D01" w:rsidRDefault="00F33FC1" w:rsidP="00D43402">
      <w:pPr>
        <w:spacing w:before="100" w:beforeAutospacing="1" w:after="100" w:afterAutospacing="1"/>
        <w:contextualSpacing/>
        <w:jc w:val="both"/>
        <w:rPr>
          <w:rFonts w:asciiTheme="minorHAnsi" w:hAnsiTheme="minorHAnsi"/>
          <w:b/>
          <w:sz w:val="28"/>
          <w:szCs w:val="28"/>
          <w:lang w:val="fr-FR"/>
        </w:rPr>
      </w:pPr>
      <w:r w:rsidRPr="008A3D01">
        <w:rPr>
          <w:rFonts w:asciiTheme="minorHAnsi" w:hAnsiTheme="minorHAnsi"/>
          <w:b/>
          <w:sz w:val="28"/>
          <w:szCs w:val="28"/>
          <w:lang w:val="fr-FR"/>
        </w:rPr>
        <w:t xml:space="preserve">C: </w:t>
      </w:r>
      <w:r w:rsidR="009D2636" w:rsidRPr="008A3D01">
        <w:rPr>
          <w:rFonts w:asciiTheme="minorHAnsi" w:hAnsiTheme="minorHAnsi"/>
          <w:b/>
          <w:sz w:val="28"/>
          <w:szCs w:val="28"/>
          <w:lang w:val="fr-FR"/>
        </w:rPr>
        <w:t>Les critères du système gastrointestinal</w:t>
      </w:r>
      <w:r w:rsidR="008A3D01" w:rsidRPr="008A3D01">
        <w:rPr>
          <w:rFonts w:asciiTheme="minorHAnsi" w:hAnsiTheme="minorHAnsi"/>
          <w:b/>
          <w:sz w:val="28"/>
          <w:szCs w:val="28"/>
          <w:lang w:val="fr-FR"/>
        </w:rPr>
        <w:t>e</w:t>
      </w:r>
      <w:r w:rsidR="008A3D01">
        <w:rPr>
          <w:rFonts w:asciiTheme="minorHAnsi" w:hAnsiTheme="minorHAnsi"/>
          <w:b/>
          <w:sz w:val="28"/>
          <w:szCs w:val="28"/>
          <w:lang w:val="fr-FR"/>
        </w:rPr>
        <w:t>.</w:t>
      </w:r>
    </w:p>
    <w:p w14:paraId="7B15D85E" w14:textId="77777777" w:rsidR="00F33FC1" w:rsidRPr="008A3D01" w:rsidRDefault="00F33FC1" w:rsidP="00D43402">
      <w:pPr>
        <w:spacing w:before="100" w:beforeAutospacing="1" w:after="100" w:afterAutospacing="1"/>
        <w:contextualSpacing/>
        <w:jc w:val="both"/>
        <w:rPr>
          <w:rFonts w:asciiTheme="minorHAnsi" w:hAnsiTheme="minorHAnsi"/>
          <w:b/>
          <w:sz w:val="28"/>
          <w:szCs w:val="28"/>
          <w:lang w:val="fr-FR"/>
        </w:rPr>
      </w:pPr>
    </w:p>
    <w:p w14:paraId="101A92C6" w14:textId="77777777" w:rsidR="0087687F" w:rsidRPr="008A3D01" w:rsidRDefault="0087687F" w:rsidP="00D43402">
      <w:pPr>
        <w:ind w:left="360"/>
        <w:contextualSpacing/>
        <w:jc w:val="both"/>
        <w:rPr>
          <w:rFonts w:asciiTheme="minorHAnsi" w:hAnsiTheme="minorHAnsi"/>
          <w:sz w:val="22"/>
          <w:szCs w:val="22"/>
          <w:lang w:val="fr-FR"/>
        </w:rPr>
      </w:pPr>
    </w:p>
    <w:p w14:paraId="667D7CE2" w14:textId="77777777" w:rsidR="00D43402" w:rsidRPr="008A3D01" w:rsidRDefault="00D43402" w:rsidP="00D43402">
      <w:pPr>
        <w:ind w:left="360"/>
        <w:contextualSpacing/>
        <w:jc w:val="both"/>
        <w:rPr>
          <w:rFonts w:asciiTheme="minorHAnsi" w:hAnsiTheme="minorHAnsi"/>
          <w:sz w:val="22"/>
          <w:szCs w:val="22"/>
          <w:lang w:val="fr-FR"/>
        </w:rPr>
      </w:pPr>
    </w:p>
    <w:p w14:paraId="144D6251" w14:textId="2A512622" w:rsidR="0087687F" w:rsidRPr="008A3D01" w:rsidRDefault="0087687F" w:rsidP="008A3D01">
      <w:pPr>
        <w:pStyle w:val="HTMLncedenBiimlendirilmi"/>
        <w:contextualSpacing/>
        <w:jc w:val="both"/>
        <w:rPr>
          <w:rFonts w:asciiTheme="minorHAnsi" w:hAnsiTheme="minorHAnsi"/>
          <w:b/>
          <w:iCs/>
          <w:color w:val="000000" w:themeColor="text1"/>
          <w:sz w:val="22"/>
          <w:szCs w:val="22"/>
          <w:lang w:val="fr-FR"/>
        </w:rPr>
      </w:pPr>
      <w:r w:rsidRPr="008A3D01">
        <w:rPr>
          <w:rFonts w:asciiTheme="minorHAnsi" w:hAnsiTheme="minorHAnsi" w:cs="Times New Roman"/>
          <w:b/>
          <w:sz w:val="22"/>
          <w:szCs w:val="22"/>
          <w:lang w:val="fr-FR"/>
        </w:rPr>
        <w:t xml:space="preserve">C1. </w:t>
      </w:r>
      <w:r w:rsidR="008A3D01" w:rsidRPr="008A3D01">
        <w:rPr>
          <w:rFonts w:asciiTheme="minorHAnsi" w:hAnsiTheme="minorHAnsi" w:cs="Times New Roman"/>
          <w:b/>
          <w:sz w:val="22"/>
          <w:szCs w:val="22"/>
          <w:lang w:val="fr-FR"/>
        </w:rPr>
        <w:t>En cas de constipation symptomatique ne répondant pas aux changements de mode de vie (régime-exercice), il convient d'exclure le bouchon fécal et de commencer le support en fibres (psyllium, méthylcellulose, polycarbophile, dextrine de blé) ou en polyéthylèneglycol.</w:t>
      </w:r>
    </w:p>
    <w:p w14:paraId="77C1752B" w14:textId="77777777" w:rsidR="0087687F" w:rsidRPr="008A3D01" w:rsidRDefault="0087687F" w:rsidP="0087687F">
      <w:pPr>
        <w:tabs>
          <w:tab w:val="center" w:pos="4536"/>
        </w:tabs>
        <w:jc w:val="both"/>
        <w:rPr>
          <w:rFonts w:asciiTheme="minorHAnsi" w:hAnsiTheme="minorHAnsi"/>
          <w:b/>
          <w:iCs/>
          <w:color w:val="000000" w:themeColor="text1"/>
          <w:sz w:val="22"/>
          <w:szCs w:val="22"/>
          <w:lang w:val="fr-FR"/>
        </w:rPr>
      </w:pPr>
    </w:p>
    <w:p w14:paraId="53B8F838" w14:textId="77777777" w:rsidR="00F33FC1" w:rsidRPr="008A3D01" w:rsidRDefault="00F33FC1" w:rsidP="0087687F">
      <w:pPr>
        <w:tabs>
          <w:tab w:val="center" w:pos="4536"/>
        </w:tabs>
        <w:jc w:val="both"/>
        <w:rPr>
          <w:rFonts w:asciiTheme="minorHAnsi" w:hAnsiTheme="minorHAnsi"/>
          <w:b/>
          <w:iCs/>
          <w:color w:val="000000" w:themeColor="text1"/>
          <w:sz w:val="22"/>
          <w:szCs w:val="22"/>
          <w:lang w:val="fr-FR"/>
        </w:rPr>
      </w:pPr>
    </w:p>
    <w:p w14:paraId="7A175116" w14:textId="228B2820" w:rsidR="00F33FC1" w:rsidRPr="008A3D01" w:rsidRDefault="00F33FC1" w:rsidP="009B6E20">
      <w:pPr>
        <w:contextualSpacing/>
        <w:jc w:val="both"/>
        <w:rPr>
          <w:rFonts w:asciiTheme="minorHAnsi" w:hAnsiTheme="minorHAnsi"/>
          <w:b/>
          <w:sz w:val="28"/>
          <w:szCs w:val="28"/>
          <w:lang w:val="fr-FR"/>
        </w:rPr>
      </w:pPr>
      <w:r w:rsidRPr="008A3D01">
        <w:rPr>
          <w:rFonts w:asciiTheme="minorHAnsi" w:hAnsiTheme="minorHAnsi"/>
          <w:b/>
          <w:sz w:val="28"/>
          <w:szCs w:val="28"/>
          <w:lang w:val="fr-FR"/>
        </w:rPr>
        <w:t xml:space="preserve">D: </w:t>
      </w:r>
      <w:r w:rsidR="008A3D01">
        <w:rPr>
          <w:rFonts w:asciiTheme="minorHAnsi" w:hAnsiTheme="minorHAnsi"/>
          <w:b/>
          <w:sz w:val="28"/>
          <w:szCs w:val="28"/>
          <w:lang w:val="fr-FR"/>
        </w:rPr>
        <w:t xml:space="preserve">Les critères du système respiratoire. </w:t>
      </w:r>
    </w:p>
    <w:p w14:paraId="6B8EA38A" w14:textId="77777777" w:rsidR="00F33FC1" w:rsidRPr="008A3D01" w:rsidRDefault="00F33FC1" w:rsidP="009B6E20">
      <w:pPr>
        <w:contextualSpacing/>
        <w:jc w:val="both"/>
        <w:rPr>
          <w:rFonts w:asciiTheme="minorHAnsi" w:hAnsiTheme="minorHAnsi"/>
          <w:b/>
          <w:sz w:val="22"/>
          <w:szCs w:val="22"/>
          <w:lang w:val="fr-FR"/>
        </w:rPr>
      </w:pPr>
    </w:p>
    <w:p w14:paraId="5A24CA5C" w14:textId="77777777" w:rsidR="00F33FC1" w:rsidRPr="008A3D01" w:rsidRDefault="00F33FC1" w:rsidP="009B6E20">
      <w:pPr>
        <w:contextualSpacing/>
        <w:jc w:val="both"/>
        <w:rPr>
          <w:rFonts w:asciiTheme="minorHAnsi" w:hAnsiTheme="minorHAnsi"/>
          <w:b/>
          <w:sz w:val="22"/>
          <w:szCs w:val="22"/>
          <w:lang w:val="fr-FR"/>
        </w:rPr>
      </w:pPr>
    </w:p>
    <w:p w14:paraId="5074148C" w14:textId="77777777" w:rsidR="009B6E20" w:rsidRPr="008A3D01" w:rsidRDefault="009B6E20" w:rsidP="009B6E20">
      <w:pPr>
        <w:spacing w:before="100" w:beforeAutospacing="1" w:after="100" w:afterAutospacing="1"/>
        <w:contextualSpacing/>
        <w:jc w:val="both"/>
        <w:rPr>
          <w:rFonts w:asciiTheme="minorHAnsi" w:hAnsiTheme="minorHAnsi"/>
          <w:b/>
          <w:sz w:val="22"/>
          <w:szCs w:val="22"/>
          <w:lang w:val="fr-FR"/>
        </w:rPr>
      </w:pPr>
    </w:p>
    <w:p w14:paraId="44E8872D" w14:textId="53450491" w:rsidR="00F33FC1" w:rsidRPr="008A3D01" w:rsidRDefault="0087687F" w:rsidP="008A3D01">
      <w:pPr>
        <w:spacing w:before="100" w:beforeAutospacing="1" w:after="100" w:afterAutospacing="1"/>
        <w:contextualSpacing/>
        <w:jc w:val="both"/>
        <w:rPr>
          <w:rFonts w:asciiTheme="minorHAnsi" w:hAnsiTheme="minorHAnsi"/>
          <w:color w:val="000000" w:themeColor="text1"/>
          <w:sz w:val="22"/>
          <w:szCs w:val="22"/>
          <w:lang w:val="fr-FR" w:eastAsia="en-GB"/>
        </w:rPr>
      </w:pPr>
      <w:r w:rsidRPr="008A3D01">
        <w:rPr>
          <w:rFonts w:asciiTheme="minorHAnsi" w:hAnsiTheme="minorHAnsi"/>
          <w:b/>
          <w:sz w:val="22"/>
          <w:szCs w:val="22"/>
          <w:lang w:val="fr-FR"/>
        </w:rPr>
        <w:t xml:space="preserve">D1. </w:t>
      </w:r>
      <w:r w:rsidR="008A3D01" w:rsidRPr="008A3D01">
        <w:rPr>
          <w:rFonts w:asciiTheme="minorHAnsi" w:hAnsiTheme="minorHAnsi"/>
          <w:b/>
          <w:sz w:val="22"/>
          <w:szCs w:val="22"/>
          <w:lang w:val="fr-FR"/>
        </w:rPr>
        <w:t>Il est approprié d'initier un traitement par agoniste bêta2 inhalé ou anticholinergique régulier chez les patients souffrant d'asthme léger à modéré ou de BPCO.</w:t>
      </w:r>
    </w:p>
    <w:p w14:paraId="45BB95A6" w14:textId="77777777" w:rsidR="00787C15" w:rsidRPr="008A3D01" w:rsidRDefault="00787C15" w:rsidP="009B6E20">
      <w:pPr>
        <w:spacing w:before="100" w:beforeAutospacing="1" w:after="100" w:afterAutospacing="1"/>
        <w:contextualSpacing/>
        <w:jc w:val="both"/>
        <w:rPr>
          <w:rFonts w:asciiTheme="minorHAnsi" w:hAnsiTheme="minorHAnsi"/>
          <w:b/>
          <w:sz w:val="22"/>
          <w:szCs w:val="22"/>
          <w:lang w:val="fr-FR"/>
        </w:rPr>
      </w:pPr>
    </w:p>
    <w:p w14:paraId="5396D43C" w14:textId="77777777" w:rsidR="008A3D01" w:rsidRDefault="0087687F" w:rsidP="009B6E20">
      <w:pPr>
        <w:spacing w:before="100" w:beforeAutospacing="1" w:after="100" w:afterAutospacing="1"/>
        <w:contextualSpacing/>
        <w:jc w:val="both"/>
        <w:rPr>
          <w:rFonts w:asciiTheme="minorHAnsi" w:hAnsiTheme="minorHAnsi"/>
          <w:b/>
          <w:color w:val="212121"/>
          <w:sz w:val="22"/>
          <w:szCs w:val="22"/>
          <w:shd w:val="clear" w:color="auto" w:fill="FFFFFF"/>
          <w:lang w:val="fr-FR"/>
        </w:rPr>
      </w:pPr>
      <w:r w:rsidRPr="008A3D01">
        <w:rPr>
          <w:rFonts w:asciiTheme="minorHAnsi" w:hAnsiTheme="minorHAnsi"/>
          <w:b/>
          <w:color w:val="212121"/>
          <w:sz w:val="22"/>
          <w:szCs w:val="22"/>
          <w:shd w:val="clear" w:color="auto" w:fill="FFFFFF"/>
          <w:lang w:val="fr-FR"/>
        </w:rPr>
        <w:t xml:space="preserve">D2. </w:t>
      </w:r>
      <w:r w:rsidR="008A3D01" w:rsidRPr="008A3D01">
        <w:rPr>
          <w:rFonts w:asciiTheme="minorHAnsi" w:hAnsiTheme="minorHAnsi"/>
          <w:b/>
          <w:color w:val="212121"/>
          <w:sz w:val="22"/>
          <w:szCs w:val="22"/>
          <w:shd w:val="clear" w:color="auto" w:fill="FFFFFF"/>
          <w:lang w:val="fr-FR"/>
        </w:rPr>
        <w:t xml:space="preserve">Il est approprié d'initier une corticothérapie inhalée régulière chez les patients souffrant d'asthme modéré à sévère ou de BPCO avec un VEMS &lt; 50 % et des exacerbations récurrentes nécessitant une corticothérapie orale. </w:t>
      </w:r>
    </w:p>
    <w:p w14:paraId="56CC7AF3" w14:textId="77777777" w:rsidR="008A3D01" w:rsidRDefault="008A3D01" w:rsidP="009B6E20">
      <w:pPr>
        <w:spacing w:before="100" w:beforeAutospacing="1" w:after="100" w:afterAutospacing="1"/>
        <w:contextualSpacing/>
        <w:jc w:val="both"/>
        <w:rPr>
          <w:rFonts w:asciiTheme="minorHAnsi" w:hAnsiTheme="minorHAnsi"/>
          <w:b/>
          <w:color w:val="212121"/>
          <w:sz w:val="22"/>
          <w:szCs w:val="22"/>
          <w:shd w:val="clear" w:color="auto" w:fill="FFFFFF"/>
          <w:lang w:val="fr-FR"/>
        </w:rPr>
      </w:pPr>
    </w:p>
    <w:p w14:paraId="4D0D911D"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themeColor="text1"/>
          <w:sz w:val="22"/>
          <w:szCs w:val="22"/>
          <w:lang w:val="fr-FR"/>
        </w:rPr>
      </w:pPr>
    </w:p>
    <w:p w14:paraId="1C84F64E"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themeColor="text1"/>
          <w:sz w:val="22"/>
          <w:szCs w:val="22"/>
          <w:lang w:val="fr-FR"/>
        </w:rPr>
      </w:pPr>
    </w:p>
    <w:p w14:paraId="267AC987" w14:textId="77777777" w:rsidR="008A3D01" w:rsidRDefault="0087687F"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sz w:val="22"/>
          <w:szCs w:val="22"/>
          <w:lang w:val="fr-FR"/>
        </w:rPr>
      </w:pPr>
      <w:r w:rsidRPr="008A3D01">
        <w:rPr>
          <w:rFonts w:asciiTheme="minorHAnsi" w:hAnsiTheme="minorHAnsi"/>
          <w:b/>
          <w:sz w:val="22"/>
          <w:szCs w:val="22"/>
          <w:lang w:val="fr-FR"/>
        </w:rPr>
        <w:lastRenderedPageBreak/>
        <w:t xml:space="preserve">D3. </w:t>
      </w:r>
      <w:r w:rsidR="008A3D01" w:rsidRPr="008A3D01">
        <w:rPr>
          <w:rFonts w:asciiTheme="minorHAnsi" w:hAnsiTheme="minorHAnsi"/>
          <w:b/>
          <w:sz w:val="22"/>
          <w:szCs w:val="22"/>
          <w:lang w:val="fr-FR"/>
        </w:rPr>
        <w:t>Il est approprié de commencer une oxygénothérapie continue à domicile chez les patients souffrant d'hypoxémie chronique (pO</w:t>
      </w:r>
      <w:r w:rsidR="008A3D01" w:rsidRPr="008A3D01">
        <w:rPr>
          <w:rFonts w:asciiTheme="minorHAnsi" w:hAnsiTheme="minorHAnsi"/>
          <w:b/>
          <w:sz w:val="22"/>
          <w:szCs w:val="22"/>
          <w:vertAlign w:val="subscript"/>
          <w:lang w:val="fr-FR"/>
        </w:rPr>
        <w:t>2</w:t>
      </w:r>
      <w:r w:rsidR="008A3D01" w:rsidRPr="008A3D01">
        <w:rPr>
          <w:rFonts w:asciiTheme="minorHAnsi" w:hAnsiTheme="minorHAnsi"/>
          <w:b/>
          <w:sz w:val="22"/>
          <w:szCs w:val="22"/>
          <w:lang w:val="fr-FR"/>
        </w:rPr>
        <w:t xml:space="preserve">&lt;= 55 mmHg ou SO2&lt;= 88%) </w:t>
      </w:r>
    </w:p>
    <w:p w14:paraId="2EF59E72" w14:textId="77777777" w:rsidR="008A3D01" w:rsidRDefault="008A3D01"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sz w:val="22"/>
          <w:szCs w:val="22"/>
          <w:lang w:val="fr-FR"/>
        </w:rPr>
      </w:pPr>
    </w:p>
    <w:p w14:paraId="617EEDEF" w14:textId="77777777" w:rsidR="0087687F" w:rsidRPr="008A3D01" w:rsidRDefault="0087687F" w:rsidP="0087687F">
      <w:pPr>
        <w:jc w:val="both"/>
        <w:rPr>
          <w:rFonts w:asciiTheme="minorHAnsi" w:hAnsiTheme="minorHAnsi"/>
          <w:sz w:val="22"/>
          <w:szCs w:val="22"/>
          <w:lang w:val="fr-FR"/>
        </w:rPr>
      </w:pPr>
    </w:p>
    <w:p w14:paraId="5D7AD01A" w14:textId="77777777" w:rsidR="00851AFB" w:rsidRPr="008A3D01" w:rsidRDefault="00851AFB" w:rsidP="0087687F">
      <w:pPr>
        <w:jc w:val="both"/>
        <w:rPr>
          <w:rFonts w:asciiTheme="minorHAnsi" w:hAnsiTheme="minorHAnsi"/>
          <w:sz w:val="22"/>
          <w:szCs w:val="22"/>
          <w:lang w:val="fr-FR"/>
        </w:rPr>
      </w:pPr>
    </w:p>
    <w:p w14:paraId="4B8E4CF6" w14:textId="77777777" w:rsidR="00851AFB" w:rsidRPr="008A3D01" w:rsidRDefault="00851AFB" w:rsidP="0087687F">
      <w:pPr>
        <w:jc w:val="both"/>
        <w:rPr>
          <w:rFonts w:asciiTheme="minorHAnsi" w:hAnsiTheme="minorHAnsi"/>
          <w:sz w:val="22"/>
          <w:szCs w:val="22"/>
          <w:lang w:val="fr-FR"/>
        </w:rPr>
      </w:pPr>
    </w:p>
    <w:p w14:paraId="2D2B5934" w14:textId="3AC0F236" w:rsidR="00851AFB" w:rsidRPr="008A3D01" w:rsidRDefault="00851AFB" w:rsidP="009B6E20">
      <w:pPr>
        <w:contextualSpacing/>
        <w:jc w:val="both"/>
        <w:rPr>
          <w:rFonts w:asciiTheme="minorHAnsi" w:hAnsiTheme="minorHAnsi"/>
          <w:b/>
          <w:sz w:val="28"/>
          <w:szCs w:val="28"/>
          <w:lang w:val="fr-FR"/>
        </w:rPr>
      </w:pPr>
      <w:r w:rsidRPr="008A3D01">
        <w:rPr>
          <w:rFonts w:asciiTheme="minorHAnsi" w:hAnsiTheme="minorHAnsi"/>
          <w:b/>
          <w:sz w:val="28"/>
          <w:szCs w:val="28"/>
          <w:lang w:val="fr-FR"/>
        </w:rPr>
        <w:t xml:space="preserve">E: </w:t>
      </w:r>
      <w:r w:rsidR="008A3D01" w:rsidRPr="008A3D01">
        <w:rPr>
          <w:rFonts w:asciiTheme="minorHAnsi" w:hAnsiTheme="minorHAnsi"/>
          <w:b/>
          <w:sz w:val="28"/>
          <w:szCs w:val="28"/>
          <w:lang w:val="fr-FR"/>
        </w:rPr>
        <w:t>Critères musculo-squelettiques et médicaments analgésiques</w:t>
      </w:r>
      <w:r w:rsidRPr="008A3D01">
        <w:rPr>
          <w:rFonts w:asciiTheme="minorHAnsi" w:hAnsiTheme="minorHAnsi"/>
          <w:b/>
          <w:sz w:val="28"/>
          <w:szCs w:val="28"/>
          <w:lang w:val="fr-FR"/>
        </w:rPr>
        <w:t>.</w:t>
      </w:r>
    </w:p>
    <w:p w14:paraId="7309DF94" w14:textId="77777777" w:rsidR="00851AFB" w:rsidRPr="008A3D01" w:rsidRDefault="00851AFB" w:rsidP="009B6E20">
      <w:pPr>
        <w:spacing w:before="100" w:beforeAutospacing="1" w:after="100" w:afterAutospacing="1"/>
        <w:contextualSpacing/>
        <w:jc w:val="both"/>
        <w:rPr>
          <w:rFonts w:asciiTheme="minorHAnsi" w:hAnsiTheme="minorHAnsi"/>
          <w:b/>
          <w:color w:val="000000"/>
          <w:sz w:val="22"/>
          <w:szCs w:val="22"/>
          <w:lang w:val="fr-FR"/>
        </w:rPr>
      </w:pPr>
    </w:p>
    <w:p w14:paraId="5CD319BD" w14:textId="77777777" w:rsidR="00851AFB" w:rsidRPr="008A3D01" w:rsidRDefault="00851AFB" w:rsidP="009B6E20">
      <w:pPr>
        <w:spacing w:before="100" w:beforeAutospacing="1" w:after="100" w:afterAutospacing="1"/>
        <w:contextualSpacing/>
        <w:jc w:val="both"/>
        <w:rPr>
          <w:rFonts w:asciiTheme="minorHAnsi" w:hAnsiTheme="minorHAnsi"/>
          <w:b/>
          <w:color w:val="000000"/>
          <w:sz w:val="22"/>
          <w:szCs w:val="22"/>
          <w:lang w:val="fr-FR"/>
        </w:rPr>
      </w:pPr>
    </w:p>
    <w:p w14:paraId="298F53EF" w14:textId="77777777" w:rsidR="009B6E20" w:rsidRPr="008A3D01" w:rsidRDefault="009B6E20" w:rsidP="009B6E20">
      <w:pPr>
        <w:spacing w:before="100" w:beforeAutospacing="1" w:after="100" w:afterAutospacing="1"/>
        <w:contextualSpacing/>
        <w:jc w:val="both"/>
        <w:rPr>
          <w:rFonts w:asciiTheme="minorHAnsi" w:hAnsiTheme="minorHAnsi"/>
          <w:b/>
          <w:color w:val="000000"/>
          <w:sz w:val="22"/>
          <w:szCs w:val="22"/>
          <w:lang w:val="fr-FR"/>
        </w:rPr>
      </w:pPr>
    </w:p>
    <w:p w14:paraId="79DFD063" w14:textId="77777777" w:rsidR="008A3D01" w:rsidRDefault="008A4F48" w:rsidP="009B6E20">
      <w:pPr>
        <w:spacing w:before="100" w:beforeAutospacing="1" w:after="100" w:afterAutospacing="1" w:line="360" w:lineRule="auto"/>
        <w:contextualSpacing/>
        <w:jc w:val="both"/>
        <w:rPr>
          <w:rFonts w:asciiTheme="minorHAnsi" w:hAnsiTheme="minorHAnsi"/>
          <w:b/>
          <w:color w:val="000000"/>
          <w:sz w:val="22"/>
          <w:szCs w:val="22"/>
          <w:lang w:val="fr-FR"/>
        </w:rPr>
      </w:pPr>
      <w:r w:rsidRPr="008A3D01">
        <w:rPr>
          <w:rFonts w:ascii="Calibri" w:hAnsi="Calibri" w:cs="Calibri"/>
          <w:b/>
          <w:sz w:val="22"/>
          <w:szCs w:val="22"/>
          <w:lang w:val="fr-FR"/>
        </w:rPr>
        <w:t>#</w:t>
      </w:r>
      <w:r w:rsidR="0087687F" w:rsidRPr="008A3D01">
        <w:rPr>
          <w:rFonts w:asciiTheme="minorHAnsi" w:hAnsiTheme="minorHAnsi"/>
          <w:b/>
          <w:color w:val="000000"/>
          <w:sz w:val="22"/>
          <w:szCs w:val="22"/>
          <w:lang w:val="fr-FR"/>
        </w:rPr>
        <w:t xml:space="preserve">E1. </w:t>
      </w:r>
      <w:r w:rsidR="008A3D01" w:rsidRPr="008A3D01">
        <w:rPr>
          <w:rFonts w:asciiTheme="minorHAnsi" w:hAnsiTheme="minorHAnsi"/>
          <w:b/>
          <w:color w:val="000000"/>
          <w:sz w:val="22"/>
          <w:szCs w:val="22"/>
          <w:lang w:val="fr-FR"/>
        </w:rPr>
        <w:t xml:space="preserve">Il convient d'initier un traitement substitutif chez les patients dont l'apport alimentaire quotidien en vitamine D est inférieur à 800-1000 UI ou l'apport en calcium élémentaire &lt;1000-1200 mg. </w:t>
      </w:r>
    </w:p>
    <w:p w14:paraId="31D9E168" w14:textId="77777777" w:rsidR="008A3D01" w:rsidRDefault="008A3D01" w:rsidP="009B6E20">
      <w:pPr>
        <w:spacing w:before="100" w:beforeAutospacing="1" w:after="100" w:afterAutospacing="1" w:line="360" w:lineRule="auto"/>
        <w:contextualSpacing/>
        <w:jc w:val="both"/>
        <w:rPr>
          <w:rFonts w:asciiTheme="minorHAnsi" w:hAnsiTheme="minorHAnsi"/>
          <w:b/>
          <w:color w:val="000000"/>
          <w:sz w:val="22"/>
          <w:szCs w:val="22"/>
          <w:lang w:val="fr-FR"/>
        </w:rPr>
      </w:pPr>
    </w:p>
    <w:p w14:paraId="6706B9C1" w14:textId="77777777" w:rsidR="009B6E20" w:rsidRPr="008A3D01" w:rsidRDefault="009B6E20" w:rsidP="009B6E20">
      <w:pPr>
        <w:spacing w:before="100" w:beforeAutospacing="1" w:after="100" w:afterAutospacing="1"/>
        <w:contextualSpacing/>
        <w:jc w:val="both"/>
        <w:rPr>
          <w:rFonts w:asciiTheme="minorHAnsi" w:hAnsiTheme="minorHAnsi"/>
          <w:color w:val="000000"/>
          <w:sz w:val="22"/>
          <w:szCs w:val="22"/>
          <w:lang w:val="fr-FR"/>
        </w:rPr>
      </w:pPr>
    </w:p>
    <w:p w14:paraId="51A6B343" w14:textId="5809CF57" w:rsidR="008A3D01" w:rsidRDefault="0087687F" w:rsidP="0087687F">
      <w:pPr>
        <w:spacing w:before="100" w:beforeAutospacing="1" w:after="100" w:afterAutospacing="1" w:line="360" w:lineRule="auto"/>
        <w:contextualSpacing/>
        <w:jc w:val="both"/>
        <w:rPr>
          <w:rFonts w:asciiTheme="minorHAnsi" w:hAnsiTheme="minorHAnsi"/>
          <w:b/>
          <w:color w:val="000000" w:themeColor="text1"/>
          <w:sz w:val="22"/>
          <w:szCs w:val="22"/>
          <w:lang w:val="fr-FR"/>
        </w:rPr>
      </w:pPr>
      <w:r w:rsidRPr="008A3D01">
        <w:rPr>
          <w:rFonts w:asciiTheme="minorHAnsi" w:hAnsiTheme="minorHAnsi"/>
          <w:b/>
          <w:color w:val="000000" w:themeColor="text1"/>
          <w:sz w:val="22"/>
          <w:szCs w:val="22"/>
          <w:lang w:val="fr-FR"/>
        </w:rPr>
        <w:t xml:space="preserve">E2. </w:t>
      </w:r>
      <w:r w:rsidR="008A3D01" w:rsidRPr="008A3D01">
        <w:rPr>
          <w:rFonts w:asciiTheme="minorHAnsi" w:hAnsiTheme="minorHAnsi"/>
          <w:b/>
          <w:color w:val="000000" w:themeColor="text1"/>
          <w:sz w:val="22"/>
          <w:szCs w:val="22"/>
          <w:lang w:val="fr-FR"/>
        </w:rPr>
        <w:t xml:space="preserve">Il est approprié d'initier un anti-résorptif (bisphosphonate, denosumab) ou un anabolisant (analogue de la parathormone) chez les patients présentant une ostéoporose documentée </w:t>
      </w:r>
      <w:r w:rsidR="008A3D01" w:rsidRPr="008A3D01">
        <w:rPr>
          <w:rFonts w:asciiTheme="minorHAnsi" w:hAnsiTheme="minorHAnsi"/>
          <w:b/>
          <w:color w:val="000000" w:themeColor="text1"/>
          <w:sz w:val="22"/>
          <w:szCs w:val="22"/>
          <w:lang w:val="fr-FR"/>
        </w:rPr>
        <w:sym w:font="Symbol" w:char="F05B"/>
      </w:r>
      <w:r w:rsidR="008A3D01" w:rsidRPr="008A3D01">
        <w:rPr>
          <w:rFonts w:asciiTheme="minorHAnsi" w:hAnsiTheme="minorHAnsi"/>
          <w:b/>
          <w:color w:val="000000" w:themeColor="text1"/>
          <w:sz w:val="22"/>
          <w:szCs w:val="22"/>
          <w:lang w:val="fr-FR"/>
        </w:rPr>
        <w:t>avec une fracture de fragilité et/ou un score T de densitométrie osseuse (fémur total, col fémoral ou lombaire &lt;-2,5</w:t>
      </w:r>
      <w:r w:rsidR="008A3D01" w:rsidRPr="008A3D01">
        <w:rPr>
          <w:rFonts w:asciiTheme="minorHAnsi" w:hAnsiTheme="minorHAnsi"/>
          <w:b/>
          <w:color w:val="000000" w:themeColor="text1"/>
          <w:sz w:val="22"/>
          <w:szCs w:val="22"/>
          <w:lang w:val="fr-FR"/>
        </w:rPr>
        <w:sym w:font="Symbol" w:char="F05D"/>
      </w:r>
      <w:r w:rsidR="008A3D01">
        <w:rPr>
          <w:rFonts w:asciiTheme="minorHAnsi" w:hAnsiTheme="minorHAnsi"/>
          <w:b/>
          <w:color w:val="000000" w:themeColor="text1"/>
          <w:sz w:val="22"/>
          <w:szCs w:val="22"/>
          <w:lang w:val="fr-FR"/>
        </w:rPr>
        <w:t xml:space="preserve"> </w:t>
      </w:r>
    </w:p>
    <w:p w14:paraId="57E27822" w14:textId="7F3AE558" w:rsidR="009B6E20" w:rsidRPr="008A3D01" w:rsidRDefault="008A3D01" w:rsidP="004613B7">
      <w:pPr>
        <w:spacing w:before="100" w:beforeAutospacing="1" w:after="100" w:afterAutospacing="1" w:line="360" w:lineRule="auto"/>
        <w:contextualSpacing/>
        <w:jc w:val="both"/>
        <w:rPr>
          <w:rFonts w:asciiTheme="minorHAnsi" w:hAnsiTheme="minorHAnsi"/>
          <w:i/>
          <w:iCs/>
          <w:color w:val="222222"/>
          <w:sz w:val="22"/>
          <w:szCs w:val="22"/>
          <w:lang w:val="fr-FR"/>
        </w:rPr>
      </w:pPr>
      <w:r w:rsidRPr="008A3D01">
        <w:rPr>
          <w:rFonts w:asciiTheme="minorHAnsi" w:hAnsiTheme="minorHAnsi"/>
          <w:i/>
          <w:iCs/>
          <w:color w:val="222222"/>
          <w:sz w:val="22"/>
          <w:szCs w:val="22"/>
          <w:lang w:val="fr-FR"/>
        </w:rPr>
        <w:t>* Le traitement doit également inclure un apport adéquat en vitamine D et en calcium élémentaire.</w:t>
      </w:r>
    </w:p>
    <w:p w14:paraId="26278BF4" w14:textId="77777777" w:rsidR="009B6E20" w:rsidRPr="008A3D01" w:rsidRDefault="009B6E20" w:rsidP="009B6E20">
      <w:pPr>
        <w:pStyle w:val="HTMLncedenBiimlendirilmi"/>
        <w:contextualSpacing/>
        <w:jc w:val="both"/>
        <w:rPr>
          <w:rFonts w:asciiTheme="minorHAnsi" w:hAnsiTheme="minorHAnsi" w:cs="Times New Roman"/>
          <w:b/>
          <w:sz w:val="22"/>
          <w:szCs w:val="22"/>
          <w:lang w:val="fr-FR"/>
        </w:rPr>
      </w:pPr>
    </w:p>
    <w:p w14:paraId="78924719" w14:textId="396AE9A4" w:rsidR="005856FA" w:rsidRDefault="0087687F" w:rsidP="009B6E20">
      <w:pPr>
        <w:pStyle w:val="HTMLncedenBiimlendirilmi"/>
        <w:spacing w:line="360" w:lineRule="auto"/>
        <w:contextualSpacing/>
        <w:jc w:val="both"/>
        <w:rPr>
          <w:rFonts w:asciiTheme="minorHAnsi" w:hAnsiTheme="minorHAnsi" w:cs="Times New Roman"/>
          <w:b/>
          <w:sz w:val="22"/>
          <w:szCs w:val="22"/>
          <w:lang w:val="fr-FR"/>
        </w:rPr>
      </w:pPr>
      <w:r w:rsidRPr="008A3D01">
        <w:rPr>
          <w:rFonts w:asciiTheme="minorHAnsi" w:hAnsiTheme="minorHAnsi" w:cs="Times New Roman"/>
          <w:b/>
          <w:sz w:val="22"/>
          <w:szCs w:val="22"/>
          <w:lang w:val="fr-FR"/>
        </w:rPr>
        <w:t xml:space="preserve">E3. </w:t>
      </w:r>
      <w:r w:rsidR="005856FA">
        <w:rPr>
          <w:rFonts w:asciiTheme="minorHAnsi" w:hAnsiTheme="minorHAnsi" w:cs="Times New Roman"/>
          <w:b/>
          <w:sz w:val="22"/>
          <w:szCs w:val="22"/>
          <w:lang w:val="fr-FR"/>
        </w:rPr>
        <w:t>C</w:t>
      </w:r>
      <w:r w:rsidR="005856FA" w:rsidRPr="005856FA">
        <w:rPr>
          <w:rFonts w:asciiTheme="minorHAnsi" w:hAnsiTheme="minorHAnsi" w:cs="Times New Roman"/>
          <w:b/>
          <w:sz w:val="22"/>
          <w:szCs w:val="22"/>
          <w:lang w:val="fr-FR"/>
        </w:rPr>
        <w:t xml:space="preserve">hez les patients qui </w:t>
      </w:r>
      <w:r w:rsidR="005856FA">
        <w:rPr>
          <w:rFonts w:asciiTheme="minorHAnsi" w:hAnsiTheme="minorHAnsi" w:cs="Times New Roman"/>
          <w:b/>
          <w:sz w:val="22"/>
          <w:szCs w:val="22"/>
          <w:lang w:val="fr-FR"/>
        </w:rPr>
        <w:t>commence u</w:t>
      </w:r>
      <w:r w:rsidR="005856FA" w:rsidRPr="005856FA">
        <w:rPr>
          <w:rFonts w:asciiTheme="minorHAnsi" w:hAnsiTheme="minorHAnsi" w:cs="Times New Roman"/>
          <w:b/>
          <w:sz w:val="22"/>
          <w:szCs w:val="22"/>
          <w:lang w:val="fr-FR"/>
        </w:rPr>
        <w:t>ne corticothérapie systémique à long terme (durée prévue ≥ 3 mois)</w:t>
      </w:r>
      <w:r w:rsidR="005856FA">
        <w:rPr>
          <w:rFonts w:asciiTheme="minorHAnsi" w:hAnsiTheme="minorHAnsi" w:cs="Times New Roman"/>
          <w:b/>
          <w:sz w:val="22"/>
          <w:szCs w:val="22"/>
          <w:lang w:val="fr-FR"/>
        </w:rPr>
        <w:t xml:space="preserve"> </w:t>
      </w:r>
      <w:r w:rsidR="005856FA" w:rsidRPr="005856FA">
        <w:rPr>
          <w:rFonts w:asciiTheme="minorHAnsi" w:hAnsiTheme="minorHAnsi" w:cs="Times New Roman"/>
          <w:b/>
          <w:sz w:val="22"/>
          <w:szCs w:val="22"/>
          <w:lang w:val="fr-FR"/>
        </w:rPr>
        <w:t xml:space="preserve">: i) </w:t>
      </w:r>
      <w:r w:rsidR="005856FA">
        <w:rPr>
          <w:rFonts w:asciiTheme="minorHAnsi" w:hAnsiTheme="minorHAnsi" w:cs="Times New Roman"/>
          <w:b/>
          <w:sz w:val="22"/>
          <w:szCs w:val="22"/>
          <w:lang w:val="fr-FR"/>
        </w:rPr>
        <w:t xml:space="preserve">chez les patients qui </w:t>
      </w:r>
      <w:r w:rsidR="005856FA" w:rsidRPr="005856FA">
        <w:rPr>
          <w:rFonts w:asciiTheme="minorHAnsi" w:hAnsiTheme="minorHAnsi" w:cs="Times New Roman"/>
          <w:b/>
          <w:sz w:val="22"/>
          <w:szCs w:val="22"/>
          <w:lang w:val="fr-FR"/>
        </w:rPr>
        <w:t xml:space="preserve">recevront ≥ 7,5 mg/jour de prednisolone ou une corticothérapie équivalente, ii) </w:t>
      </w:r>
      <w:r w:rsidR="005856FA">
        <w:rPr>
          <w:rFonts w:asciiTheme="minorHAnsi" w:hAnsiTheme="minorHAnsi" w:cs="Times New Roman"/>
          <w:b/>
          <w:sz w:val="22"/>
          <w:szCs w:val="22"/>
          <w:lang w:val="fr-FR"/>
        </w:rPr>
        <w:t>l</w:t>
      </w:r>
      <w:r w:rsidR="005856FA" w:rsidRPr="005856FA">
        <w:rPr>
          <w:rFonts w:asciiTheme="minorHAnsi" w:hAnsiTheme="minorHAnsi" w:cs="Times New Roman"/>
          <w:b/>
          <w:sz w:val="22"/>
          <w:szCs w:val="22"/>
          <w:lang w:val="fr-FR"/>
        </w:rPr>
        <w:t>e traitement par bisphosphonates est approprié chez tous les patients recevant une corticothérapie indépendante de la dose si le T-score est &lt; -1.</w:t>
      </w:r>
    </w:p>
    <w:p w14:paraId="18593D0F" w14:textId="77777777" w:rsidR="005856FA" w:rsidRDefault="005856FA" w:rsidP="009B6E20">
      <w:pPr>
        <w:pStyle w:val="HTMLncedenBiimlendirilmi"/>
        <w:spacing w:line="360" w:lineRule="auto"/>
        <w:contextualSpacing/>
        <w:jc w:val="both"/>
        <w:rPr>
          <w:rStyle w:val="nowrap"/>
          <w:rFonts w:asciiTheme="minorHAnsi" w:hAnsiTheme="minorHAnsi" w:cs="Times New Roman"/>
          <w:bCs/>
          <w:i/>
          <w:iCs/>
          <w:sz w:val="22"/>
          <w:szCs w:val="22"/>
          <w:lang w:val="fr-FR"/>
        </w:rPr>
      </w:pPr>
      <w:r w:rsidRPr="005856FA">
        <w:rPr>
          <w:rStyle w:val="nowrap"/>
          <w:rFonts w:asciiTheme="minorHAnsi" w:hAnsiTheme="minorHAnsi" w:cs="Times New Roman"/>
          <w:bCs/>
          <w:i/>
          <w:iCs/>
          <w:sz w:val="22"/>
          <w:szCs w:val="22"/>
          <w:lang w:val="fr-FR"/>
        </w:rPr>
        <w:t xml:space="preserve">*Dans les cas âgés de &gt;=70 ans, il peut être approprié d'initier un traitement par bisphosphonates chez tous les patients qui recevront une corticothérapie à long terme (&gt;3 mois) indépendante de la dose. </w:t>
      </w:r>
    </w:p>
    <w:p w14:paraId="302386EB" w14:textId="27879B30" w:rsidR="005856FA" w:rsidRDefault="005856FA" w:rsidP="009B6E20">
      <w:pPr>
        <w:pStyle w:val="HTMLncedenBiimlendirilmi"/>
        <w:spacing w:line="360" w:lineRule="auto"/>
        <w:contextualSpacing/>
        <w:jc w:val="both"/>
        <w:rPr>
          <w:rStyle w:val="nowrap"/>
          <w:rFonts w:asciiTheme="minorHAnsi" w:hAnsiTheme="minorHAnsi" w:cs="Times New Roman"/>
          <w:bCs/>
          <w:i/>
          <w:iCs/>
          <w:sz w:val="22"/>
          <w:szCs w:val="22"/>
          <w:lang w:val="fr-FR"/>
        </w:rPr>
      </w:pPr>
      <w:r w:rsidRPr="005856FA">
        <w:rPr>
          <w:rStyle w:val="nowrap"/>
          <w:rFonts w:asciiTheme="minorHAnsi" w:hAnsiTheme="minorHAnsi" w:cs="Times New Roman"/>
          <w:bCs/>
          <w:i/>
          <w:iCs/>
          <w:sz w:val="22"/>
          <w:szCs w:val="22"/>
          <w:lang w:val="fr-FR"/>
        </w:rPr>
        <w:t>*Le traitement doit également inclure un apport adéquat en vitamine D et en calcium essentiel.</w:t>
      </w:r>
      <w:r>
        <w:rPr>
          <w:rStyle w:val="nowrap"/>
          <w:rFonts w:asciiTheme="minorHAnsi" w:hAnsiTheme="minorHAnsi" w:cs="Times New Roman"/>
          <w:bCs/>
          <w:i/>
          <w:iCs/>
          <w:sz w:val="22"/>
          <w:szCs w:val="22"/>
          <w:lang w:val="fr-FR"/>
        </w:rPr>
        <w:t xml:space="preserve"> </w:t>
      </w:r>
    </w:p>
    <w:p w14:paraId="166D5A25" w14:textId="77777777" w:rsidR="009B6E20" w:rsidRPr="008A3D01" w:rsidRDefault="009B6E20" w:rsidP="0087687F">
      <w:pPr>
        <w:spacing w:line="360" w:lineRule="auto"/>
        <w:jc w:val="both"/>
        <w:rPr>
          <w:rFonts w:asciiTheme="minorHAnsi" w:hAnsiTheme="minorHAnsi"/>
          <w:b/>
          <w:sz w:val="22"/>
          <w:szCs w:val="22"/>
          <w:lang w:val="fr-FR"/>
        </w:rPr>
      </w:pPr>
    </w:p>
    <w:p w14:paraId="14BF0E39" w14:textId="77777777" w:rsidR="005856FA" w:rsidRDefault="0087687F" w:rsidP="0087687F">
      <w:pPr>
        <w:spacing w:line="360" w:lineRule="auto"/>
        <w:jc w:val="both"/>
        <w:rPr>
          <w:rFonts w:asciiTheme="minorHAnsi" w:hAnsiTheme="minorHAnsi"/>
          <w:b/>
          <w:sz w:val="22"/>
          <w:szCs w:val="22"/>
          <w:lang w:val="fr-FR"/>
        </w:rPr>
      </w:pPr>
      <w:r w:rsidRPr="008A3D01">
        <w:rPr>
          <w:rFonts w:asciiTheme="minorHAnsi" w:hAnsiTheme="minorHAnsi"/>
          <w:b/>
          <w:sz w:val="22"/>
          <w:szCs w:val="22"/>
          <w:lang w:val="fr-FR"/>
        </w:rPr>
        <w:t xml:space="preserve">E4. </w:t>
      </w:r>
      <w:r w:rsidR="005856FA" w:rsidRPr="005856FA">
        <w:rPr>
          <w:rFonts w:asciiTheme="minorHAnsi" w:hAnsiTheme="minorHAnsi"/>
          <w:b/>
          <w:sz w:val="22"/>
          <w:szCs w:val="22"/>
          <w:lang w:val="fr-FR"/>
        </w:rPr>
        <w:t>Il est approprié d'initier un traitement antirésorptif à action prolongée après l'arrêt d'au moins deux doses de denosumab (risque accru de rebond BTM, de perte de DMO et de fracture vertébrale suite à l'arrêt du denosumab)</w:t>
      </w:r>
    </w:p>
    <w:p w14:paraId="262F3811" w14:textId="03CC61B3" w:rsidR="0087687F" w:rsidRPr="008A3D01" w:rsidRDefault="005856FA" w:rsidP="0087687F">
      <w:pPr>
        <w:spacing w:line="360" w:lineRule="auto"/>
        <w:jc w:val="both"/>
        <w:rPr>
          <w:rFonts w:asciiTheme="minorHAnsi" w:hAnsiTheme="minorHAnsi"/>
          <w:bCs/>
          <w:i/>
          <w:iCs/>
          <w:sz w:val="22"/>
          <w:szCs w:val="22"/>
          <w:lang w:val="fr-FR"/>
        </w:rPr>
      </w:pPr>
      <w:r w:rsidRPr="005856FA">
        <w:rPr>
          <w:rFonts w:asciiTheme="minorHAnsi" w:hAnsiTheme="minorHAnsi"/>
          <w:bCs/>
          <w:i/>
          <w:iCs/>
          <w:sz w:val="22"/>
          <w:szCs w:val="22"/>
          <w:lang w:val="fr-FR"/>
        </w:rPr>
        <w:t xml:space="preserve">* L'effet rebond est plus prononcé chez les patients dont le traitement par denosumab </w:t>
      </w:r>
      <w:r>
        <w:rPr>
          <w:rFonts w:asciiTheme="minorHAnsi" w:hAnsiTheme="minorHAnsi"/>
          <w:bCs/>
          <w:i/>
          <w:iCs/>
          <w:sz w:val="22"/>
          <w:szCs w:val="22"/>
          <w:lang w:val="fr-FR"/>
        </w:rPr>
        <w:t>est</w:t>
      </w:r>
      <w:r w:rsidRPr="005856FA">
        <w:rPr>
          <w:rFonts w:asciiTheme="minorHAnsi" w:hAnsiTheme="minorHAnsi"/>
          <w:bCs/>
          <w:i/>
          <w:iCs/>
          <w:sz w:val="22"/>
          <w:szCs w:val="22"/>
          <w:lang w:val="fr-FR"/>
        </w:rPr>
        <w:t xml:space="preserve"> arrêté après deux doses.</w:t>
      </w:r>
      <w:r>
        <w:rPr>
          <w:rFonts w:asciiTheme="minorHAnsi" w:hAnsiTheme="minorHAnsi"/>
          <w:bCs/>
          <w:i/>
          <w:iCs/>
          <w:sz w:val="22"/>
          <w:szCs w:val="22"/>
          <w:lang w:val="fr-FR"/>
        </w:rPr>
        <w:t xml:space="preserve"> </w:t>
      </w:r>
    </w:p>
    <w:p w14:paraId="0212F7FC" w14:textId="77777777" w:rsidR="009B6E20" w:rsidRPr="008A3D01" w:rsidRDefault="009B6E20" w:rsidP="0087687F">
      <w:pPr>
        <w:jc w:val="both"/>
        <w:rPr>
          <w:rFonts w:asciiTheme="minorHAnsi" w:hAnsiTheme="minorHAnsi"/>
          <w:b/>
          <w:sz w:val="22"/>
          <w:szCs w:val="22"/>
          <w:lang w:val="fr-FR"/>
        </w:rPr>
      </w:pPr>
    </w:p>
    <w:p w14:paraId="2CC036D2" w14:textId="77777777" w:rsidR="009B6E20" w:rsidRPr="008A3D01" w:rsidRDefault="009B6E20" w:rsidP="0087687F">
      <w:pPr>
        <w:jc w:val="both"/>
        <w:rPr>
          <w:rFonts w:asciiTheme="minorHAnsi" w:hAnsiTheme="minorHAnsi"/>
          <w:b/>
          <w:sz w:val="22"/>
          <w:szCs w:val="22"/>
          <w:lang w:val="fr-FR"/>
        </w:rPr>
      </w:pPr>
    </w:p>
    <w:p w14:paraId="6503D993" w14:textId="36C031FF" w:rsidR="0087687F" w:rsidRPr="008A3D01" w:rsidRDefault="008A4F48" w:rsidP="0087687F">
      <w:pPr>
        <w:jc w:val="both"/>
        <w:rPr>
          <w:rFonts w:asciiTheme="minorHAnsi" w:hAnsiTheme="minorHAnsi"/>
          <w:b/>
          <w:sz w:val="22"/>
          <w:szCs w:val="22"/>
          <w:lang w:val="fr-FR"/>
        </w:rPr>
      </w:pPr>
      <w:r w:rsidRPr="008A3D01">
        <w:rPr>
          <w:rFonts w:ascii="Calibri" w:hAnsi="Calibri" w:cs="Calibri"/>
          <w:b/>
          <w:sz w:val="22"/>
          <w:szCs w:val="22"/>
          <w:lang w:val="fr-FR"/>
        </w:rPr>
        <w:t>#</w:t>
      </w:r>
      <w:r w:rsidR="0087687F" w:rsidRPr="008A3D01">
        <w:rPr>
          <w:rFonts w:asciiTheme="minorHAnsi" w:hAnsiTheme="minorHAnsi"/>
          <w:b/>
          <w:sz w:val="22"/>
          <w:szCs w:val="22"/>
          <w:lang w:val="fr-FR"/>
        </w:rPr>
        <w:t>E5.</w:t>
      </w:r>
      <w:r w:rsidR="005856FA" w:rsidRPr="005856FA">
        <w:t xml:space="preserve"> </w:t>
      </w:r>
      <w:r w:rsidR="005856FA" w:rsidRPr="005856FA">
        <w:rPr>
          <w:rFonts w:asciiTheme="minorHAnsi" w:hAnsiTheme="minorHAnsi"/>
          <w:b/>
          <w:sz w:val="22"/>
          <w:szCs w:val="22"/>
          <w:lang w:val="fr-FR"/>
        </w:rPr>
        <w:t xml:space="preserve">Il est approprié de commencer un traitement antirésorptif après un traitement par tériparatide. </w:t>
      </w:r>
      <w:r w:rsidR="005856FA">
        <w:rPr>
          <w:rFonts w:asciiTheme="minorHAnsi" w:hAnsiTheme="minorHAnsi"/>
          <w:b/>
          <w:sz w:val="22"/>
          <w:szCs w:val="22"/>
          <w:lang w:val="fr-FR"/>
        </w:rPr>
        <w:t xml:space="preserve"> </w:t>
      </w:r>
    </w:p>
    <w:p w14:paraId="5FBED197" w14:textId="77777777" w:rsidR="0087687F" w:rsidRPr="008A3D01" w:rsidRDefault="0087687F" w:rsidP="0087687F">
      <w:pPr>
        <w:jc w:val="both"/>
        <w:rPr>
          <w:rFonts w:asciiTheme="minorHAnsi" w:hAnsiTheme="minorHAnsi"/>
          <w:b/>
          <w:sz w:val="22"/>
          <w:szCs w:val="22"/>
          <w:lang w:val="fr-FR"/>
        </w:rPr>
      </w:pPr>
    </w:p>
    <w:p w14:paraId="306D1B00" w14:textId="77777777" w:rsidR="009B6E20" w:rsidRPr="008A3D01" w:rsidRDefault="009B6E20" w:rsidP="009B6E20">
      <w:pPr>
        <w:jc w:val="both"/>
        <w:rPr>
          <w:rFonts w:asciiTheme="minorHAnsi" w:hAnsiTheme="minorHAnsi"/>
          <w:b/>
          <w:sz w:val="22"/>
          <w:szCs w:val="22"/>
          <w:lang w:val="fr-FR"/>
        </w:rPr>
      </w:pPr>
    </w:p>
    <w:p w14:paraId="64B19941" w14:textId="77777777" w:rsidR="009B6E20" w:rsidRPr="008A3D01" w:rsidRDefault="009B6E20" w:rsidP="009B6E20">
      <w:pPr>
        <w:jc w:val="both"/>
        <w:rPr>
          <w:rFonts w:asciiTheme="minorHAnsi" w:hAnsiTheme="minorHAnsi"/>
          <w:b/>
          <w:sz w:val="22"/>
          <w:szCs w:val="22"/>
          <w:lang w:val="fr-FR"/>
        </w:rPr>
      </w:pPr>
    </w:p>
    <w:p w14:paraId="313AEF10" w14:textId="40067BA2" w:rsidR="005856FA" w:rsidRDefault="0087687F" w:rsidP="009B6E20">
      <w:pPr>
        <w:jc w:val="both"/>
        <w:rPr>
          <w:rFonts w:asciiTheme="minorHAnsi" w:hAnsiTheme="minorHAnsi"/>
          <w:b/>
          <w:sz w:val="22"/>
          <w:szCs w:val="22"/>
          <w:lang w:val="fr-FR"/>
        </w:rPr>
      </w:pPr>
      <w:r w:rsidRPr="008A3D01">
        <w:rPr>
          <w:rFonts w:asciiTheme="minorHAnsi" w:hAnsiTheme="minorHAnsi"/>
          <w:b/>
          <w:sz w:val="22"/>
          <w:szCs w:val="22"/>
          <w:lang w:val="fr-FR"/>
        </w:rPr>
        <w:t xml:space="preserve">E6. </w:t>
      </w:r>
      <w:r w:rsidR="005856FA" w:rsidRPr="005856FA">
        <w:rPr>
          <w:rFonts w:asciiTheme="minorHAnsi" w:hAnsiTheme="minorHAnsi"/>
          <w:b/>
          <w:sz w:val="22"/>
          <w:szCs w:val="22"/>
          <w:lang w:val="fr-FR"/>
        </w:rPr>
        <w:t xml:space="preserve">En présence d'une maladie rhumatologique chronique active, il convient d'initier un traitement </w:t>
      </w:r>
      <w:r w:rsidR="00C2743D">
        <w:rPr>
          <w:rFonts w:asciiTheme="minorHAnsi" w:hAnsiTheme="minorHAnsi"/>
          <w:b/>
          <w:sz w:val="22"/>
          <w:szCs w:val="22"/>
          <w:lang w:val="fr-FR"/>
        </w:rPr>
        <w:t xml:space="preserve">modificateur de la maladie. </w:t>
      </w:r>
    </w:p>
    <w:p w14:paraId="294775F1" w14:textId="77777777" w:rsidR="005856FA" w:rsidRDefault="005856FA" w:rsidP="009B6E20">
      <w:pPr>
        <w:jc w:val="both"/>
        <w:rPr>
          <w:rFonts w:asciiTheme="minorHAnsi" w:hAnsiTheme="minorHAnsi"/>
          <w:b/>
          <w:sz w:val="22"/>
          <w:szCs w:val="22"/>
          <w:lang w:val="fr-FR"/>
        </w:rPr>
      </w:pPr>
    </w:p>
    <w:p w14:paraId="4A724BB1" w14:textId="77777777" w:rsidR="00C2743D" w:rsidRDefault="00C2743D" w:rsidP="0096528C">
      <w:pPr>
        <w:spacing w:before="100" w:beforeAutospacing="1" w:after="100" w:afterAutospacing="1"/>
        <w:contextualSpacing/>
        <w:jc w:val="both"/>
        <w:rPr>
          <w:rFonts w:asciiTheme="minorHAnsi" w:hAnsiTheme="minorHAnsi"/>
          <w:b/>
          <w:sz w:val="22"/>
          <w:szCs w:val="22"/>
          <w:lang w:val="fr-FR"/>
        </w:rPr>
      </w:pPr>
    </w:p>
    <w:p w14:paraId="63B54EBE" w14:textId="0AEFF062" w:rsidR="0096528C" w:rsidRPr="008A3D01" w:rsidRDefault="0087687F" w:rsidP="0096528C">
      <w:pPr>
        <w:spacing w:before="100" w:beforeAutospacing="1" w:after="100" w:afterAutospacing="1"/>
        <w:contextualSpacing/>
        <w:jc w:val="both"/>
        <w:rPr>
          <w:rFonts w:asciiTheme="minorHAnsi" w:hAnsiTheme="minorHAnsi"/>
          <w:b/>
          <w:sz w:val="22"/>
          <w:szCs w:val="22"/>
          <w:lang w:val="fr-FR"/>
        </w:rPr>
      </w:pPr>
      <w:r w:rsidRPr="008A3D01">
        <w:rPr>
          <w:rFonts w:asciiTheme="minorHAnsi" w:hAnsiTheme="minorHAnsi"/>
          <w:b/>
          <w:sz w:val="22"/>
          <w:szCs w:val="22"/>
          <w:lang w:val="fr-FR"/>
        </w:rPr>
        <w:t xml:space="preserve">E7. </w:t>
      </w:r>
      <w:r w:rsidR="00C2743D" w:rsidRPr="00C2743D">
        <w:rPr>
          <w:rFonts w:asciiTheme="minorHAnsi" w:hAnsiTheme="minorHAnsi"/>
          <w:b/>
          <w:sz w:val="22"/>
          <w:szCs w:val="22"/>
          <w:lang w:val="fr-FR"/>
        </w:rPr>
        <w:t>Il est approprié de commencer une supplémentation en acide folique chez les patients prenant du méthotrexate.</w:t>
      </w:r>
    </w:p>
    <w:p w14:paraId="3D9AAD82" w14:textId="77777777" w:rsidR="0096528C" w:rsidRPr="008A3D01" w:rsidRDefault="0096528C" w:rsidP="0096528C">
      <w:pPr>
        <w:spacing w:before="100" w:beforeAutospacing="1" w:after="100" w:afterAutospacing="1"/>
        <w:contextualSpacing/>
        <w:jc w:val="both"/>
        <w:rPr>
          <w:rFonts w:asciiTheme="minorHAnsi" w:hAnsiTheme="minorHAnsi"/>
          <w:b/>
          <w:sz w:val="22"/>
          <w:szCs w:val="22"/>
          <w:lang w:val="fr-FR"/>
        </w:rPr>
      </w:pPr>
    </w:p>
    <w:p w14:paraId="29A90A24"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eastAsia="en-GB"/>
        </w:rPr>
      </w:pPr>
    </w:p>
    <w:p w14:paraId="54F6D215"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eastAsia="en-GB"/>
        </w:rPr>
      </w:pPr>
    </w:p>
    <w:p w14:paraId="37FD3780" w14:textId="0ECE7F86" w:rsidR="009B6E20" w:rsidRPr="008A3D01" w:rsidRDefault="0087687F" w:rsidP="0046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eastAsia="en-GB"/>
        </w:rPr>
      </w:pPr>
      <w:r w:rsidRPr="008A3D01">
        <w:rPr>
          <w:rFonts w:asciiTheme="minorHAnsi" w:hAnsiTheme="minorHAnsi"/>
          <w:b/>
          <w:sz w:val="22"/>
          <w:szCs w:val="22"/>
          <w:lang w:val="fr-FR"/>
        </w:rPr>
        <w:t xml:space="preserve">E8. </w:t>
      </w:r>
      <w:r w:rsidR="00C2743D" w:rsidRPr="00C2743D">
        <w:rPr>
          <w:rFonts w:asciiTheme="minorHAnsi" w:hAnsiTheme="minorHAnsi"/>
          <w:b/>
          <w:sz w:val="22"/>
          <w:szCs w:val="22"/>
          <w:lang w:val="fr-FR"/>
        </w:rPr>
        <w:t>Il est approprié de commencer un inhibiteur de la xanthine oxydase (principalement l'allopurinol) chez les patients présentant des crises de goutte récurrentes.</w:t>
      </w:r>
    </w:p>
    <w:p w14:paraId="5B19E196" w14:textId="77777777" w:rsidR="004613B7" w:rsidRPr="008A3D01" w:rsidRDefault="004613B7" w:rsidP="0046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eastAsia="en-GB"/>
        </w:rPr>
      </w:pPr>
    </w:p>
    <w:p w14:paraId="0846FE06" w14:textId="77777777" w:rsidR="009B6E20" w:rsidRPr="008A3D01" w:rsidRDefault="009B6E20" w:rsidP="0087687F">
      <w:pPr>
        <w:spacing w:line="360" w:lineRule="auto"/>
        <w:jc w:val="both"/>
        <w:rPr>
          <w:rFonts w:asciiTheme="minorHAnsi" w:hAnsiTheme="minorHAnsi"/>
          <w:sz w:val="22"/>
          <w:szCs w:val="22"/>
          <w:lang w:val="fr-FR"/>
        </w:rPr>
      </w:pPr>
    </w:p>
    <w:p w14:paraId="7E064A3B" w14:textId="72B0A566" w:rsidR="009B6E20" w:rsidRPr="008A3D01" w:rsidRDefault="0087687F" w:rsidP="00C2743D">
      <w:pPr>
        <w:spacing w:line="276" w:lineRule="auto"/>
        <w:jc w:val="both"/>
        <w:rPr>
          <w:rFonts w:asciiTheme="minorHAnsi" w:hAnsiTheme="minorHAnsi"/>
          <w:b/>
          <w:sz w:val="22"/>
          <w:szCs w:val="22"/>
          <w:lang w:val="fr-FR"/>
        </w:rPr>
      </w:pPr>
      <w:r w:rsidRPr="008A3D01">
        <w:rPr>
          <w:rFonts w:asciiTheme="minorHAnsi" w:hAnsiTheme="minorHAnsi"/>
          <w:b/>
          <w:sz w:val="22"/>
          <w:szCs w:val="22"/>
          <w:lang w:val="fr-FR"/>
        </w:rPr>
        <w:t xml:space="preserve">E9. </w:t>
      </w:r>
      <w:r w:rsidR="00C2743D" w:rsidRPr="00C2743D">
        <w:rPr>
          <w:rFonts w:asciiTheme="minorHAnsi" w:hAnsiTheme="minorHAnsi"/>
          <w:b/>
          <w:sz w:val="22"/>
          <w:szCs w:val="22"/>
          <w:lang w:val="fr-FR"/>
        </w:rPr>
        <w:t>Dans les cas où d'autres antalgiques (paracétamol, AINS ou opioïdes légers) ne suffisent pas dans le traitement de la douleur modérée à sévère, il convient d'initier un traitement opioïde d'action forte.</w:t>
      </w:r>
    </w:p>
    <w:p w14:paraId="426FCDAD" w14:textId="77777777" w:rsidR="004613B7" w:rsidRPr="008A3D01" w:rsidRDefault="004613B7" w:rsidP="004613B7">
      <w:pPr>
        <w:spacing w:line="360" w:lineRule="auto"/>
        <w:jc w:val="both"/>
        <w:rPr>
          <w:rFonts w:asciiTheme="minorHAnsi" w:hAnsiTheme="minorHAnsi"/>
          <w:b/>
          <w:sz w:val="22"/>
          <w:szCs w:val="22"/>
          <w:lang w:val="fr-FR"/>
        </w:rPr>
      </w:pPr>
    </w:p>
    <w:p w14:paraId="525ABC2F" w14:textId="77777777" w:rsidR="009B6E20" w:rsidRPr="008A3D01" w:rsidRDefault="009B6E20" w:rsidP="009B6E20">
      <w:pPr>
        <w:jc w:val="both"/>
        <w:rPr>
          <w:rFonts w:asciiTheme="minorHAnsi" w:hAnsiTheme="minorHAnsi"/>
          <w:sz w:val="22"/>
          <w:szCs w:val="22"/>
          <w:lang w:val="fr-FR"/>
        </w:rPr>
      </w:pPr>
    </w:p>
    <w:p w14:paraId="60D6EA9D" w14:textId="77777777" w:rsidR="00C2743D" w:rsidRDefault="0087687F" w:rsidP="009B6E20">
      <w:pPr>
        <w:jc w:val="both"/>
        <w:rPr>
          <w:rFonts w:asciiTheme="minorHAnsi" w:hAnsiTheme="minorHAnsi"/>
          <w:b/>
          <w:sz w:val="22"/>
          <w:szCs w:val="22"/>
          <w:lang w:val="fr-FR"/>
        </w:rPr>
      </w:pPr>
      <w:r w:rsidRPr="008A3D01">
        <w:rPr>
          <w:rFonts w:asciiTheme="minorHAnsi" w:hAnsiTheme="minorHAnsi"/>
          <w:b/>
          <w:sz w:val="22"/>
          <w:szCs w:val="22"/>
          <w:lang w:val="fr-FR"/>
        </w:rPr>
        <w:t xml:space="preserve">E10. </w:t>
      </w:r>
      <w:r w:rsidR="00C2743D" w:rsidRPr="00C2743D">
        <w:rPr>
          <w:rFonts w:asciiTheme="minorHAnsi" w:hAnsiTheme="minorHAnsi"/>
          <w:b/>
          <w:sz w:val="22"/>
          <w:szCs w:val="22"/>
          <w:lang w:val="fr-FR"/>
        </w:rPr>
        <w:t>Chez les patients souffrant de douleurs chroniques et utilisant des opioïdes de longue durée d'action, en présence de douleurs de fuite (douleur percée : douleur intense intermittente), il est approprié d'ajouter au traitement des opioïdes de courte durée d'action (risque de douleur intense incontrôlable).</w:t>
      </w:r>
      <w:r w:rsidR="00C2743D">
        <w:rPr>
          <w:rFonts w:asciiTheme="minorHAnsi" w:hAnsiTheme="minorHAnsi"/>
          <w:b/>
          <w:sz w:val="22"/>
          <w:szCs w:val="22"/>
          <w:lang w:val="fr-FR"/>
        </w:rPr>
        <w:t xml:space="preserve"> </w:t>
      </w:r>
    </w:p>
    <w:p w14:paraId="2B918A18" w14:textId="77777777" w:rsidR="00C2743D" w:rsidRDefault="00C2743D" w:rsidP="009B6E20">
      <w:pPr>
        <w:jc w:val="both"/>
        <w:rPr>
          <w:rFonts w:asciiTheme="minorHAnsi" w:hAnsiTheme="minorHAnsi"/>
          <w:b/>
          <w:sz w:val="22"/>
          <w:szCs w:val="22"/>
          <w:lang w:val="fr-FR"/>
        </w:rPr>
      </w:pPr>
    </w:p>
    <w:p w14:paraId="13CC3DFD" w14:textId="77777777" w:rsidR="009B6E20" w:rsidRPr="008A3D01" w:rsidRDefault="009B6E20" w:rsidP="0087687F">
      <w:pPr>
        <w:jc w:val="both"/>
        <w:rPr>
          <w:rFonts w:asciiTheme="minorHAnsi" w:hAnsiTheme="minorHAnsi"/>
          <w:sz w:val="22"/>
          <w:szCs w:val="22"/>
          <w:lang w:val="fr-FR"/>
        </w:rPr>
      </w:pPr>
    </w:p>
    <w:p w14:paraId="1D72CF61" w14:textId="77777777" w:rsidR="009B6E20" w:rsidRPr="008A3D01" w:rsidRDefault="009B6E20" w:rsidP="0087687F">
      <w:pPr>
        <w:jc w:val="both"/>
        <w:rPr>
          <w:rFonts w:asciiTheme="minorHAnsi" w:hAnsiTheme="minorHAnsi"/>
          <w:sz w:val="22"/>
          <w:szCs w:val="22"/>
          <w:lang w:val="fr-FR"/>
        </w:rPr>
      </w:pPr>
    </w:p>
    <w:p w14:paraId="588A861E" w14:textId="28D0F760" w:rsidR="009B6E20" w:rsidRPr="008A3D01" w:rsidRDefault="00A67324" w:rsidP="009B6E20">
      <w:pPr>
        <w:jc w:val="both"/>
        <w:rPr>
          <w:rFonts w:asciiTheme="minorHAnsi" w:hAnsiTheme="minorHAnsi"/>
          <w:sz w:val="22"/>
          <w:szCs w:val="22"/>
          <w:lang w:val="fr-FR"/>
        </w:rPr>
      </w:pPr>
      <w:r w:rsidRPr="008A3D01">
        <w:rPr>
          <w:rFonts w:asciiTheme="minorHAnsi" w:hAnsiTheme="minorHAnsi"/>
          <w:b/>
          <w:sz w:val="28"/>
          <w:szCs w:val="28"/>
          <w:lang w:val="fr-FR"/>
        </w:rPr>
        <w:t xml:space="preserve">F: </w:t>
      </w:r>
      <w:r w:rsidR="00C2743D" w:rsidRPr="00C2743D">
        <w:rPr>
          <w:rFonts w:asciiTheme="minorHAnsi" w:hAnsiTheme="minorHAnsi"/>
          <w:b/>
          <w:sz w:val="28"/>
          <w:szCs w:val="28"/>
          <w:lang w:val="fr-FR"/>
        </w:rPr>
        <w:t>Critères du système endocrinien</w:t>
      </w:r>
      <w:r w:rsidRPr="008A3D01">
        <w:rPr>
          <w:rFonts w:asciiTheme="minorHAnsi" w:hAnsiTheme="minorHAnsi"/>
          <w:b/>
          <w:sz w:val="28"/>
          <w:szCs w:val="28"/>
          <w:lang w:val="fr-FR"/>
        </w:rPr>
        <w:t>.</w:t>
      </w:r>
    </w:p>
    <w:p w14:paraId="55480A7C" w14:textId="77777777" w:rsidR="009B6E20" w:rsidRPr="008A3D01" w:rsidRDefault="009B6E20" w:rsidP="009B6E20">
      <w:pPr>
        <w:jc w:val="both"/>
        <w:rPr>
          <w:rFonts w:asciiTheme="minorHAnsi" w:hAnsiTheme="minorHAnsi"/>
          <w:sz w:val="22"/>
          <w:szCs w:val="22"/>
          <w:lang w:val="fr-FR"/>
        </w:rPr>
      </w:pPr>
    </w:p>
    <w:p w14:paraId="47C70BDE" w14:textId="77777777" w:rsidR="009B6E20" w:rsidRPr="008A3D01" w:rsidRDefault="009B6E20" w:rsidP="009B6E20">
      <w:pPr>
        <w:jc w:val="both"/>
        <w:rPr>
          <w:rFonts w:asciiTheme="minorHAnsi" w:hAnsiTheme="minorHAnsi"/>
          <w:sz w:val="22"/>
          <w:szCs w:val="22"/>
          <w:lang w:val="fr-FR"/>
        </w:rPr>
      </w:pPr>
    </w:p>
    <w:p w14:paraId="3A1F0ECD" w14:textId="77777777" w:rsidR="009B6E20" w:rsidRPr="008A3D01" w:rsidRDefault="009B6E20" w:rsidP="009B6E20">
      <w:pPr>
        <w:jc w:val="both"/>
        <w:rPr>
          <w:rFonts w:asciiTheme="minorHAnsi" w:hAnsiTheme="minorHAnsi"/>
          <w:sz w:val="22"/>
          <w:szCs w:val="22"/>
          <w:lang w:val="fr-FR"/>
        </w:rPr>
      </w:pPr>
    </w:p>
    <w:p w14:paraId="5487AF6E" w14:textId="34182C6B" w:rsidR="0087687F" w:rsidRPr="008A3D01" w:rsidRDefault="0087687F" w:rsidP="009B6E20">
      <w:pPr>
        <w:jc w:val="both"/>
        <w:rPr>
          <w:rFonts w:asciiTheme="minorHAnsi" w:hAnsiTheme="minorHAnsi"/>
          <w:sz w:val="22"/>
          <w:szCs w:val="22"/>
          <w:lang w:val="fr-FR"/>
        </w:rPr>
      </w:pPr>
      <w:r w:rsidRPr="008A3D01">
        <w:rPr>
          <w:rFonts w:asciiTheme="minorHAnsi" w:hAnsiTheme="minorHAnsi"/>
          <w:b/>
          <w:sz w:val="22"/>
          <w:szCs w:val="22"/>
          <w:lang w:val="fr-FR"/>
        </w:rPr>
        <w:t xml:space="preserve">F1. </w:t>
      </w:r>
      <w:r w:rsidR="00C2743D" w:rsidRPr="00C2743D">
        <w:rPr>
          <w:rFonts w:asciiTheme="minorHAnsi" w:hAnsiTheme="minorHAnsi"/>
          <w:b/>
          <w:sz w:val="22"/>
          <w:szCs w:val="22"/>
          <w:lang w:val="fr-FR"/>
        </w:rPr>
        <w:t>En présence d'une protéinurie manifeste (&gt; 300 mg/jour) ou d'une microalbuminurie (&gt; 30 mg/jour) chez les patients atteints de diabète sucré, il est approprié d'initier un traitement par IECA ou ARA.</w:t>
      </w:r>
      <w:r w:rsidR="00C2743D">
        <w:rPr>
          <w:rFonts w:asciiTheme="minorHAnsi" w:hAnsiTheme="minorHAnsi"/>
          <w:b/>
          <w:sz w:val="22"/>
          <w:szCs w:val="22"/>
          <w:lang w:val="fr-FR"/>
        </w:rPr>
        <w:t xml:space="preserve"> </w:t>
      </w:r>
    </w:p>
    <w:p w14:paraId="0E52E9C1" w14:textId="77777777" w:rsidR="00C2743D" w:rsidRDefault="00C2743D" w:rsidP="00C2743D">
      <w:pPr>
        <w:spacing w:before="100" w:beforeAutospacing="1" w:after="100" w:afterAutospacing="1" w:line="276" w:lineRule="auto"/>
        <w:contextualSpacing/>
        <w:jc w:val="both"/>
        <w:rPr>
          <w:rFonts w:asciiTheme="minorHAnsi" w:hAnsiTheme="minorHAnsi"/>
          <w:i/>
          <w:sz w:val="22"/>
          <w:szCs w:val="22"/>
          <w:lang w:val="fr-FR"/>
        </w:rPr>
      </w:pPr>
      <w:r w:rsidRPr="00C2743D">
        <w:rPr>
          <w:rFonts w:asciiTheme="minorHAnsi" w:hAnsiTheme="minorHAnsi"/>
          <w:i/>
          <w:sz w:val="22"/>
          <w:szCs w:val="22"/>
          <w:lang w:val="fr-FR"/>
        </w:rPr>
        <w:t xml:space="preserve">*Chez les patients atteints d'insuffisance rénale, une augmentation du taux de créatinine sérique est attendue au cours de la période initiale de traitement par IEC ou ARA. </w:t>
      </w:r>
    </w:p>
    <w:p w14:paraId="1BD189DF" w14:textId="77777777" w:rsidR="00C2743D" w:rsidRDefault="00C2743D" w:rsidP="00C2743D">
      <w:pPr>
        <w:spacing w:before="100" w:beforeAutospacing="1" w:after="100" w:afterAutospacing="1" w:line="276" w:lineRule="auto"/>
        <w:contextualSpacing/>
        <w:jc w:val="both"/>
        <w:rPr>
          <w:rFonts w:asciiTheme="minorHAnsi" w:hAnsiTheme="minorHAnsi"/>
          <w:i/>
          <w:sz w:val="22"/>
          <w:szCs w:val="22"/>
          <w:lang w:val="fr-FR"/>
        </w:rPr>
      </w:pPr>
      <w:r w:rsidRPr="00C2743D">
        <w:rPr>
          <w:rFonts w:asciiTheme="minorHAnsi" w:hAnsiTheme="minorHAnsi"/>
          <w:i/>
          <w:sz w:val="22"/>
          <w:szCs w:val="22"/>
          <w:lang w:val="fr-FR"/>
        </w:rPr>
        <w:t xml:space="preserve">*Si cette augmentation est inférieure à 30%, il est recommandé de poursuivre le traitement. </w:t>
      </w:r>
    </w:p>
    <w:p w14:paraId="232C1CB7" w14:textId="288E9FAA" w:rsidR="00C2743D" w:rsidRPr="00C2743D" w:rsidRDefault="00C2743D" w:rsidP="00C2743D">
      <w:pPr>
        <w:spacing w:before="100" w:beforeAutospacing="1" w:after="100" w:afterAutospacing="1" w:line="276" w:lineRule="auto"/>
        <w:contextualSpacing/>
        <w:jc w:val="both"/>
        <w:rPr>
          <w:rFonts w:asciiTheme="minorHAnsi" w:hAnsiTheme="minorHAnsi"/>
          <w:i/>
          <w:sz w:val="22"/>
          <w:szCs w:val="22"/>
          <w:lang w:val="fr-FR"/>
        </w:rPr>
      </w:pPr>
      <w:r w:rsidRPr="00C2743D">
        <w:rPr>
          <w:rFonts w:asciiTheme="minorHAnsi" w:hAnsiTheme="minorHAnsi"/>
          <w:i/>
          <w:sz w:val="22"/>
          <w:szCs w:val="22"/>
          <w:lang w:val="fr-FR"/>
        </w:rPr>
        <w:t xml:space="preserve">*Bien qu'il n'y ait pas de </w:t>
      </w:r>
      <w:r>
        <w:rPr>
          <w:rFonts w:asciiTheme="minorHAnsi" w:hAnsiTheme="minorHAnsi"/>
          <w:i/>
          <w:sz w:val="22"/>
          <w:szCs w:val="22"/>
          <w:lang w:val="fr-FR"/>
        </w:rPr>
        <w:t xml:space="preserve">de niveau de </w:t>
      </w:r>
      <w:r w:rsidRPr="00C2743D">
        <w:rPr>
          <w:rFonts w:asciiTheme="minorHAnsi" w:hAnsiTheme="minorHAnsi"/>
          <w:i/>
          <w:sz w:val="22"/>
          <w:szCs w:val="22"/>
          <w:lang w:val="fr-FR"/>
        </w:rPr>
        <w:t xml:space="preserve">contre-indication absolue pour l'instauration d'un IECA ou d'un ARA, il peut ne pas être recommandé pour les patients ayant un taux de créatinine sérique &gt; 3,0 mg/dl. *Chez les patients diabétiques, les taux sériques de créatinine et de potassium doivent être surveillés dans les 1 à 2 semaines suivant le </w:t>
      </w:r>
      <w:r>
        <w:rPr>
          <w:rFonts w:asciiTheme="minorHAnsi" w:hAnsiTheme="minorHAnsi"/>
          <w:i/>
          <w:sz w:val="22"/>
          <w:szCs w:val="22"/>
          <w:lang w:val="fr-FR"/>
        </w:rPr>
        <w:t>début du traitement par IECA-ARA</w:t>
      </w:r>
      <w:r w:rsidRPr="00C2743D">
        <w:rPr>
          <w:rFonts w:asciiTheme="minorHAnsi" w:hAnsiTheme="minorHAnsi"/>
          <w:i/>
          <w:sz w:val="22"/>
          <w:szCs w:val="22"/>
          <w:lang w:val="fr-FR"/>
        </w:rPr>
        <w:t xml:space="preserve">, à chaque augmentation de dose et au moins une fois par an (risque d'hyperkaliémie et de détérioration rénale). </w:t>
      </w:r>
    </w:p>
    <w:p w14:paraId="5EB227E2" w14:textId="77777777" w:rsidR="0087687F" w:rsidRPr="008A3D01" w:rsidRDefault="0087687F" w:rsidP="0087687F">
      <w:pPr>
        <w:jc w:val="both"/>
        <w:rPr>
          <w:rFonts w:asciiTheme="minorHAnsi" w:hAnsiTheme="minorHAnsi"/>
          <w:b/>
          <w:i/>
          <w:sz w:val="22"/>
          <w:szCs w:val="22"/>
          <w:u w:val="single"/>
          <w:lang w:val="fr-FR"/>
        </w:rPr>
      </w:pPr>
    </w:p>
    <w:p w14:paraId="73B0EB41" w14:textId="77777777" w:rsidR="0087687F" w:rsidRPr="008A3D01" w:rsidRDefault="0087687F" w:rsidP="0087687F">
      <w:pPr>
        <w:jc w:val="both"/>
        <w:rPr>
          <w:rFonts w:asciiTheme="minorHAnsi" w:hAnsiTheme="minorHAnsi"/>
          <w:b/>
          <w:i/>
          <w:sz w:val="22"/>
          <w:szCs w:val="22"/>
          <w:u w:val="single"/>
          <w:lang w:val="fr-FR"/>
        </w:rPr>
      </w:pPr>
    </w:p>
    <w:p w14:paraId="653E1ADE" w14:textId="77777777" w:rsidR="0087687F" w:rsidRPr="008A3D01" w:rsidRDefault="0087687F" w:rsidP="0087687F">
      <w:pPr>
        <w:jc w:val="both"/>
        <w:rPr>
          <w:rFonts w:asciiTheme="minorHAnsi" w:hAnsiTheme="minorHAnsi"/>
          <w:b/>
          <w:i/>
          <w:sz w:val="22"/>
          <w:szCs w:val="22"/>
          <w:u w:val="single"/>
          <w:lang w:val="fr-FR"/>
        </w:rPr>
      </w:pPr>
    </w:p>
    <w:p w14:paraId="1A99930A" w14:textId="388E541E" w:rsidR="00A67324" w:rsidRPr="008A3D01" w:rsidRDefault="00A67324" w:rsidP="00A67324">
      <w:pPr>
        <w:spacing w:line="360" w:lineRule="auto"/>
        <w:jc w:val="both"/>
        <w:rPr>
          <w:rFonts w:asciiTheme="minorHAnsi" w:hAnsiTheme="minorHAnsi"/>
          <w:b/>
          <w:sz w:val="28"/>
          <w:szCs w:val="28"/>
          <w:lang w:val="fr-FR"/>
        </w:rPr>
      </w:pPr>
      <w:r w:rsidRPr="008A3D01">
        <w:rPr>
          <w:rFonts w:asciiTheme="minorHAnsi" w:hAnsiTheme="minorHAnsi"/>
          <w:b/>
          <w:sz w:val="28"/>
          <w:szCs w:val="28"/>
          <w:lang w:val="fr-FR"/>
        </w:rPr>
        <w:t xml:space="preserve">G: </w:t>
      </w:r>
      <w:r w:rsidR="00C2743D" w:rsidRPr="00C2743D">
        <w:rPr>
          <w:rFonts w:asciiTheme="minorHAnsi" w:hAnsiTheme="minorHAnsi"/>
          <w:b/>
          <w:sz w:val="28"/>
          <w:szCs w:val="28"/>
          <w:lang w:val="fr-FR"/>
        </w:rPr>
        <w:t>Critères du système urogénital.</w:t>
      </w:r>
    </w:p>
    <w:p w14:paraId="10AA98B0" w14:textId="77777777" w:rsidR="00A67324" w:rsidRPr="008A3D01" w:rsidRDefault="00A67324" w:rsidP="0087687F">
      <w:pPr>
        <w:jc w:val="both"/>
        <w:rPr>
          <w:rFonts w:asciiTheme="minorHAnsi" w:hAnsiTheme="minorHAnsi"/>
          <w:b/>
          <w:iCs/>
          <w:color w:val="000000" w:themeColor="text1"/>
          <w:sz w:val="22"/>
          <w:szCs w:val="22"/>
          <w:lang w:val="fr-FR"/>
        </w:rPr>
      </w:pPr>
    </w:p>
    <w:p w14:paraId="7BB0584C" w14:textId="77777777" w:rsidR="0087687F" w:rsidRPr="008A3D01" w:rsidRDefault="0087687F" w:rsidP="0087687F">
      <w:pPr>
        <w:jc w:val="both"/>
        <w:rPr>
          <w:rFonts w:asciiTheme="minorHAnsi" w:hAnsiTheme="minorHAnsi"/>
          <w:b/>
          <w:i/>
          <w:sz w:val="22"/>
          <w:szCs w:val="22"/>
          <w:u w:val="single"/>
          <w:lang w:val="fr-FR"/>
        </w:rPr>
      </w:pPr>
    </w:p>
    <w:p w14:paraId="37385CF0" w14:textId="77777777" w:rsidR="009B6E20" w:rsidRPr="008A3D01" w:rsidRDefault="009B6E20" w:rsidP="0087687F">
      <w:pPr>
        <w:jc w:val="both"/>
        <w:rPr>
          <w:rFonts w:asciiTheme="minorHAnsi" w:hAnsiTheme="minorHAnsi"/>
          <w:b/>
          <w:i/>
          <w:sz w:val="22"/>
          <w:szCs w:val="22"/>
          <w:u w:val="single"/>
          <w:lang w:val="fr-FR"/>
        </w:rPr>
      </w:pPr>
    </w:p>
    <w:p w14:paraId="1374E5BC" w14:textId="77777777" w:rsidR="00C2743D" w:rsidRDefault="008A4F48" w:rsidP="0087687F">
      <w:pPr>
        <w:spacing w:line="360" w:lineRule="auto"/>
        <w:jc w:val="both"/>
        <w:rPr>
          <w:rFonts w:asciiTheme="minorHAnsi" w:hAnsiTheme="minorHAnsi"/>
          <w:b/>
          <w:sz w:val="22"/>
          <w:szCs w:val="22"/>
          <w:lang w:val="fr-FR"/>
        </w:rPr>
      </w:pPr>
      <w:r w:rsidRPr="008A3D01">
        <w:rPr>
          <w:rFonts w:ascii="Calibri" w:hAnsi="Calibri" w:cs="Calibri"/>
          <w:b/>
          <w:sz w:val="22"/>
          <w:szCs w:val="22"/>
          <w:lang w:val="fr-FR"/>
        </w:rPr>
        <w:lastRenderedPageBreak/>
        <w:t>#</w:t>
      </w:r>
      <w:r w:rsidR="0087687F" w:rsidRPr="008A3D01">
        <w:rPr>
          <w:rFonts w:asciiTheme="minorHAnsi" w:hAnsiTheme="minorHAnsi"/>
          <w:b/>
          <w:sz w:val="22"/>
          <w:szCs w:val="22"/>
          <w:lang w:val="fr-FR"/>
        </w:rPr>
        <w:t xml:space="preserve">G1. </w:t>
      </w:r>
      <w:r w:rsidR="00C2743D" w:rsidRPr="00C2743D">
        <w:rPr>
          <w:rFonts w:asciiTheme="minorHAnsi" w:hAnsiTheme="minorHAnsi"/>
          <w:b/>
          <w:sz w:val="22"/>
          <w:szCs w:val="22"/>
          <w:lang w:val="fr-FR"/>
        </w:rPr>
        <w:t xml:space="preserve">L'utilisation d'inhibiteurs des récepteurs alpha-1 est appropriée chez les patients présentant des SBAU (symptômes des voies urinaires inférieures) modérés à sévères (score IPSS) pour lesquels la prostatectomie n'est pas indiquée. </w:t>
      </w:r>
      <w:r w:rsidR="00C2743D">
        <w:rPr>
          <w:rFonts w:asciiTheme="minorHAnsi" w:hAnsiTheme="minorHAnsi"/>
          <w:b/>
          <w:sz w:val="22"/>
          <w:szCs w:val="22"/>
          <w:lang w:val="fr-FR"/>
        </w:rPr>
        <w:t xml:space="preserve"> </w:t>
      </w:r>
    </w:p>
    <w:p w14:paraId="53332749" w14:textId="77777777" w:rsidR="0087687F" w:rsidRPr="008A3D01" w:rsidRDefault="0087687F" w:rsidP="0087687F">
      <w:pPr>
        <w:jc w:val="both"/>
        <w:rPr>
          <w:rFonts w:asciiTheme="minorHAnsi" w:hAnsiTheme="minorHAnsi"/>
          <w:b/>
          <w:sz w:val="22"/>
          <w:szCs w:val="22"/>
          <w:lang w:val="fr-FR"/>
        </w:rPr>
      </w:pPr>
    </w:p>
    <w:p w14:paraId="03B16FF8" w14:textId="77777777" w:rsidR="0087687F" w:rsidRPr="008A3D01" w:rsidRDefault="0087687F" w:rsidP="0087687F">
      <w:pPr>
        <w:jc w:val="both"/>
        <w:rPr>
          <w:rFonts w:asciiTheme="minorHAnsi" w:hAnsiTheme="minorHAnsi"/>
          <w:b/>
          <w:sz w:val="22"/>
          <w:szCs w:val="22"/>
          <w:lang w:val="fr-FR"/>
        </w:rPr>
      </w:pPr>
    </w:p>
    <w:p w14:paraId="49213331" w14:textId="77777777" w:rsidR="00A67324" w:rsidRPr="008A3D01" w:rsidRDefault="00A67324" w:rsidP="0087687F">
      <w:pPr>
        <w:jc w:val="both"/>
        <w:rPr>
          <w:rFonts w:asciiTheme="minorHAnsi" w:hAnsiTheme="minorHAnsi"/>
          <w:b/>
          <w:sz w:val="22"/>
          <w:szCs w:val="22"/>
          <w:lang w:val="fr-FR"/>
        </w:rPr>
      </w:pPr>
    </w:p>
    <w:p w14:paraId="2977569F" w14:textId="77777777" w:rsidR="00C2743D" w:rsidRDefault="008A4F48" w:rsidP="009B6E20">
      <w:pPr>
        <w:spacing w:line="360" w:lineRule="auto"/>
        <w:jc w:val="both"/>
        <w:rPr>
          <w:rFonts w:asciiTheme="minorHAnsi" w:hAnsiTheme="minorHAnsi"/>
          <w:b/>
          <w:sz w:val="22"/>
          <w:szCs w:val="22"/>
          <w:lang w:val="fr-FR"/>
        </w:rPr>
      </w:pPr>
      <w:r w:rsidRPr="008A3D01">
        <w:rPr>
          <w:rFonts w:ascii="Calibri" w:hAnsi="Calibri" w:cs="Calibri"/>
          <w:b/>
          <w:sz w:val="22"/>
          <w:szCs w:val="22"/>
          <w:lang w:val="fr-FR"/>
        </w:rPr>
        <w:t>#</w:t>
      </w:r>
      <w:r w:rsidR="0087687F" w:rsidRPr="008A3D01">
        <w:rPr>
          <w:rFonts w:asciiTheme="minorHAnsi" w:hAnsiTheme="minorHAnsi"/>
          <w:b/>
          <w:sz w:val="22"/>
          <w:szCs w:val="22"/>
          <w:lang w:val="fr-FR"/>
        </w:rPr>
        <w:t xml:space="preserve">G2. </w:t>
      </w:r>
      <w:r w:rsidR="00C2743D" w:rsidRPr="00C2743D">
        <w:rPr>
          <w:rFonts w:asciiTheme="minorHAnsi" w:hAnsiTheme="minorHAnsi"/>
          <w:b/>
          <w:sz w:val="22"/>
          <w:szCs w:val="22"/>
          <w:lang w:val="fr-FR"/>
        </w:rPr>
        <w:t xml:space="preserve">Chez les patients présentant des SBAU (symptômes des voies urinaires inférieures) modérés à sévères (score IPSS) pour lesquels la prostatectomie n'est pas indiquée, si le volume de la prostate est &gt; 30-40 ml, il est approprié de commencer un traitement par inhibiteur de la 5-alpha réductase en plus de bloqueur des récepteurs alpha-1. </w:t>
      </w:r>
      <w:r w:rsidR="00C2743D">
        <w:rPr>
          <w:rFonts w:asciiTheme="minorHAnsi" w:hAnsiTheme="minorHAnsi"/>
          <w:b/>
          <w:sz w:val="22"/>
          <w:szCs w:val="22"/>
          <w:lang w:val="fr-FR"/>
        </w:rPr>
        <w:t xml:space="preserve"> </w:t>
      </w:r>
    </w:p>
    <w:p w14:paraId="3BB72BBB" w14:textId="77777777" w:rsidR="00C2743D" w:rsidRDefault="00C2743D" w:rsidP="009B6E20">
      <w:pPr>
        <w:spacing w:line="360" w:lineRule="auto"/>
        <w:jc w:val="both"/>
        <w:rPr>
          <w:rFonts w:asciiTheme="minorHAnsi" w:hAnsiTheme="minorHAnsi"/>
          <w:b/>
          <w:sz w:val="22"/>
          <w:szCs w:val="22"/>
          <w:lang w:val="fr-FR"/>
        </w:rPr>
      </w:pPr>
    </w:p>
    <w:p w14:paraId="09172BF9" w14:textId="77777777" w:rsidR="00A67324" w:rsidRPr="008A3D01" w:rsidRDefault="00A67324" w:rsidP="0087687F">
      <w:pPr>
        <w:jc w:val="both"/>
        <w:rPr>
          <w:rFonts w:asciiTheme="minorHAnsi" w:hAnsiTheme="minorHAnsi"/>
          <w:b/>
          <w:sz w:val="22"/>
          <w:szCs w:val="22"/>
          <w:lang w:val="fr-FR"/>
        </w:rPr>
      </w:pPr>
    </w:p>
    <w:p w14:paraId="58FEA268" w14:textId="6A103078" w:rsidR="009B6E20" w:rsidRPr="008A3D01" w:rsidRDefault="0087687F" w:rsidP="009B6E20">
      <w:pPr>
        <w:spacing w:line="360" w:lineRule="auto"/>
        <w:jc w:val="both"/>
        <w:rPr>
          <w:rFonts w:asciiTheme="minorHAnsi" w:hAnsiTheme="minorHAnsi"/>
          <w:b/>
          <w:sz w:val="22"/>
          <w:szCs w:val="22"/>
          <w:lang w:val="fr-FR"/>
        </w:rPr>
      </w:pPr>
      <w:r w:rsidRPr="008A3D01">
        <w:rPr>
          <w:rFonts w:asciiTheme="minorHAnsi" w:hAnsiTheme="minorHAnsi"/>
          <w:b/>
          <w:sz w:val="22"/>
          <w:szCs w:val="22"/>
          <w:lang w:val="fr-FR"/>
        </w:rPr>
        <w:t xml:space="preserve">G3. </w:t>
      </w:r>
      <w:r w:rsidR="00C2743D" w:rsidRPr="00C2743D">
        <w:rPr>
          <w:rFonts w:asciiTheme="minorHAnsi" w:hAnsiTheme="minorHAnsi"/>
          <w:b/>
          <w:sz w:val="22"/>
          <w:szCs w:val="22"/>
          <w:lang w:val="fr-FR"/>
        </w:rPr>
        <w:t>Dans la vaginite atrophique symptomatique, après avoir essayé des traitements non hormonaux, une œstrogénothérapie vaginale topique est appropriée.</w:t>
      </w:r>
    </w:p>
    <w:p w14:paraId="3BA95D67" w14:textId="77777777" w:rsidR="009B6E20" w:rsidRPr="008A3D01" w:rsidRDefault="009B6E20" w:rsidP="009B6E20">
      <w:pPr>
        <w:jc w:val="both"/>
        <w:rPr>
          <w:rFonts w:asciiTheme="minorHAnsi" w:hAnsiTheme="minorHAnsi"/>
          <w:b/>
          <w:sz w:val="22"/>
          <w:szCs w:val="22"/>
          <w:lang w:val="fr-FR"/>
        </w:rPr>
      </w:pPr>
    </w:p>
    <w:p w14:paraId="12C614E8"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lang w:val="fr-FR"/>
        </w:rPr>
      </w:pPr>
    </w:p>
    <w:p w14:paraId="541CC738"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lang w:val="fr-FR"/>
        </w:rPr>
      </w:pPr>
    </w:p>
    <w:p w14:paraId="6F139F5C"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lang w:val="fr-FR"/>
        </w:rPr>
      </w:pPr>
    </w:p>
    <w:p w14:paraId="5ED57B77" w14:textId="4A0732E3" w:rsidR="009B6E20" w:rsidRPr="008A3D01" w:rsidRDefault="00A67324"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lang w:val="fr-FR"/>
        </w:rPr>
      </w:pPr>
      <w:r w:rsidRPr="008A3D01">
        <w:rPr>
          <w:rFonts w:asciiTheme="minorHAnsi" w:hAnsiTheme="minorHAnsi"/>
          <w:b/>
          <w:sz w:val="28"/>
          <w:szCs w:val="28"/>
          <w:lang w:val="fr-FR"/>
        </w:rPr>
        <w:t xml:space="preserve">H: </w:t>
      </w:r>
      <w:r w:rsidR="00C2743D">
        <w:rPr>
          <w:rFonts w:asciiTheme="minorHAnsi" w:hAnsiTheme="minorHAnsi"/>
          <w:b/>
          <w:sz w:val="28"/>
          <w:szCs w:val="28"/>
          <w:lang w:val="fr-FR"/>
        </w:rPr>
        <w:t>Vaccins</w:t>
      </w:r>
      <w:r w:rsidRPr="008A3D01">
        <w:rPr>
          <w:rFonts w:asciiTheme="minorHAnsi" w:hAnsiTheme="minorHAnsi"/>
          <w:b/>
          <w:sz w:val="28"/>
          <w:szCs w:val="28"/>
          <w:lang w:val="fr-FR"/>
        </w:rPr>
        <w:t>.</w:t>
      </w:r>
    </w:p>
    <w:p w14:paraId="3EEE6590"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lang w:val="fr-FR"/>
        </w:rPr>
      </w:pPr>
    </w:p>
    <w:p w14:paraId="5ABB1D47"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lang w:val="fr-FR"/>
        </w:rPr>
      </w:pPr>
    </w:p>
    <w:p w14:paraId="575F1012" w14:textId="77777777" w:rsidR="009B6E20" w:rsidRPr="008A3D01"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lang w:val="fr-FR"/>
        </w:rPr>
      </w:pPr>
    </w:p>
    <w:p w14:paraId="74F8763A" w14:textId="0BE83EA8" w:rsidR="0087687F" w:rsidRPr="008A3D01" w:rsidRDefault="0087687F"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Theme="majorEastAsia" w:hAnsiTheme="minorHAnsi"/>
          <w:b/>
          <w:color w:val="000000"/>
          <w:sz w:val="22"/>
          <w:szCs w:val="22"/>
          <w:lang w:val="fr-FR"/>
        </w:rPr>
      </w:pPr>
      <w:r w:rsidRPr="008A3D01">
        <w:rPr>
          <w:rFonts w:asciiTheme="minorHAnsi" w:hAnsiTheme="minorHAnsi"/>
          <w:b/>
          <w:sz w:val="22"/>
          <w:szCs w:val="22"/>
          <w:lang w:val="fr-FR"/>
        </w:rPr>
        <w:t xml:space="preserve">H1. </w:t>
      </w:r>
      <w:r w:rsidR="00C2743D" w:rsidRPr="00C2743D">
        <w:rPr>
          <w:rFonts w:asciiTheme="minorHAnsi" w:hAnsiTheme="minorHAnsi"/>
          <w:b/>
          <w:sz w:val="22"/>
          <w:szCs w:val="22"/>
          <w:lang w:val="fr-FR"/>
        </w:rPr>
        <w:t>La vaccinatio</w:t>
      </w:r>
      <w:r w:rsidR="00C2743D">
        <w:rPr>
          <w:rFonts w:asciiTheme="minorHAnsi" w:hAnsiTheme="minorHAnsi"/>
          <w:b/>
          <w:sz w:val="22"/>
          <w:szCs w:val="22"/>
          <w:lang w:val="fr-FR"/>
        </w:rPr>
        <w:t xml:space="preserve">n annuelle contre l’influenza </w:t>
      </w:r>
      <w:r w:rsidR="00C2743D" w:rsidRPr="00C2743D">
        <w:rPr>
          <w:rFonts w:asciiTheme="minorHAnsi" w:hAnsiTheme="minorHAnsi"/>
          <w:b/>
          <w:sz w:val="22"/>
          <w:szCs w:val="22"/>
          <w:lang w:val="fr-FR"/>
        </w:rPr>
        <w:t>est appropriée</w:t>
      </w:r>
    </w:p>
    <w:p w14:paraId="60D842FE" w14:textId="77777777" w:rsidR="00563168" w:rsidRDefault="00C2743D" w:rsidP="009B6E20">
      <w:pPr>
        <w:spacing w:line="360" w:lineRule="auto"/>
        <w:jc w:val="both"/>
        <w:rPr>
          <w:rFonts w:asciiTheme="minorHAnsi" w:hAnsiTheme="minorHAnsi"/>
          <w:bCs/>
          <w:i/>
          <w:sz w:val="22"/>
          <w:szCs w:val="22"/>
          <w:lang w:val="fr-FR"/>
        </w:rPr>
      </w:pPr>
      <w:r w:rsidRPr="00C2743D">
        <w:rPr>
          <w:rFonts w:asciiTheme="minorHAnsi" w:hAnsiTheme="minorHAnsi"/>
          <w:bCs/>
          <w:i/>
          <w:sz w:val="22"/>
          <w:szCs w:val="22"/>
          <w:lang w:val="fr-FR"/>
        </w:rPr>
        <w:t xml:space="preserve">*L'efficacité des vaccins antigrippaux trivalents à dose élevée et tétravalents chez les personnes âgées est supérieure à celle du vaccin trivalent à dose standard et peut être préférée. </w:t>
      </w:r>
    </w:p>
    <w:p w14:paraId="44A88D01" w14:textId="145D782E" w:rsidR="00C2743D" w:rsidRPr="00C2743D" w:rsidRDefault="00C2743D" w:rsidP="009B6E20">
      <w:pPr>
        <w:spacing w:line="360" w:lineRule="auto"/>
        <w:jc w:val="both"/>
        <w:rPr>
          <w:rFonts w:asciiTheme="minorHAnsi" w:hAnsiTheme="minorHAnsi"/>
          <w:bCs/>
          <w:i/>
          <w:sz w:val="22"/>
          <w:szCs w:val="22"/>
          <w:lang w:val="fr-FR"/>
        </w:rPr>
      </w:pPr>
      <w:r w:rsidRPr="00C2743D">
        <w:rPr>
          <w:rFonts w:asciiTheme="minorHAnsi" w:hAnsiTheme="minorHAnsi"/>
          <w:bCs/>
          <w:i/>
          <w:sz w:val="22"/>
          <w:szCs w:val="22"/>
          <w:lang w:val="fr-FR"/>
        </w:rPr>
        <w:t xml:space="preserve">* Les vaccins antigrippaux tétravalents, trivalents et trivalents à dose élevée sont approuvés par la FDA. </w:t>
      </w:r>
    </w:p>
    <w:p w14:paraId="4900C765" w14:textId="77777777" w:rsidR="009B6E20" w:rsidRPr="008A3D01" w:rsidRDefault="009B6E20" w:rsidP="009B6E20">
      <w:pPr>
        <w:jc w:val="both"/>
        <w:rPr>
          <w:rFonts w:asciiTheme="minorHAnsi" w:hAnsiTheme="minorHAnsi"/>
          <w:bCs/>
          <w:i/>
          <w:color w:val="000000" w:themeColor="text1"/>
          <w:sz w:val="22"/>
          <w:szCs w:val="22"/>
          <w:lang w:val="fr-FR"/>
        </w:rPr>
      </w:pPr>
    </w:p>
    <w:p w14:paraId="6C2FB1EE" w14:textId="77777777" w:rsidR="0087687F" w:rsidRPr="008A3D01" w:rsidRDefault="0087687F" w:rsidP="009B6E20">
      <w:pPr>
        <w:jc w:val="both"/>
        <w:rPr>
          <w:rFonts w:asciiTheme="minorHAnsi" w:hAnsiTheme="minorHAnsi"/>
          <w:b/>
          <w:sz w:val="22"/>
          <w:szCs w:val="22"/>
          <w:lang w:val="fr-FR"/>
        </w:rPr>
      </w:pPr>
    </w:p>
    <w:p w14:paraId="2B421A59" w14:textId="05BB1403" w:rsidR="00563168" w:rsidRDefault="0087687F" w:rsidP="009B6E20">
      <w:pPr>
        <w:jc w:val="both"/>
        <w:rPr>
          <w:rFonts w:asciiTheme="minorHAnsi" w:hAnsiTheme="minorHAnsi"/>
          <w:b/>
          <w:sz w:val="22"/>
          <w:szCs w:val="22"/>
          <w:lang w:val="fr-FR"/>
        </w:rPr>
      </w:pPr>
      <w:r w:rsidRPr="008A3D01">
        <w:rPr>
          <w:rFonts w:asciiTheme="minorHAnsi" w:hAnsiTheme="minorHAnsi"/>
          <w:b/>
          <w:sz w:val="22"/>
          <w:szCs w:val="22"/>
          <w:lang w:val="fr-FR"/>
        </w:rPr>
        <w:t xml:space="preserve">H2. </w:t>
      </w:r>
      <w:r w:rsidR="00563168" w:rsidRPr="00563168">
        <w:rPr>
          <w:rFonts w:asciiTheme="minorHAnsi" w:hAnsiTheme="minorHAnsi"/>
          <w:b/>
          <w:sz w:val="22"/>
          <w:szCs w:val="22"/>
          <w:lang w:val="fr-FR"/>
        </w:rPr>
        <w:t xml:space="preserve">Le vaccin antipneumococcique (une dose pour chacun des vaccins conjugués 13-valents et </w:t>
      </w:r>
      <w:r w:rsidR="00A07525" w:rsidRPr="00A07525">
        <w:rPr>
          <w:rFonts w:asciiTheme="minorHAnsi" w:hAnsiTheme="minorHAnsi"/>
          <w:b/>
          <w:bCs/>
          <w:sz w:val="22"/>
          <w:szCs w:val="22"/>
          <w:lang w:val="fr-FR"/>
        </w:rPr>
        <w:t>polysaccharidiques</w:t>
      </w:r>
      <w:r w:rsidR="00A07525" w:rsidRPr="00563168">
        <w:rPr>
          <w:rFonts w:asciiTheme="minorHAnsi" w:hAnsiTheme="minorHAnsi"/>
          <w:bCs/>
          <w:i/>
          <w:sz w:val="22"/>
          <w:szCs w:val="22"/>
          <w:lang w:val="fr-FR"/>
        </w:rPr>
        <w:t xml:space="preserve"> </w:t>
      </w:r>
      <w:r w:rsidR="00563168" w:rsidRPr="00563168">
        <w:rPr>
          <w:rFonts w:asciiTheme="minorHAnsi" w:hAnsiTheme="minorHAnsi"/>
          <w:b/>
          <w:sz w:val="22"/>
          <w:szCs w:val="22"/>
          <w:lang w:val="fr-FR"/>
        </w:rPr>
        <w:t xml:space="preserve">23-valents) est approprié après l'âge de 65 ans. </w:t>
      </w:r>
      <w:r w:rsidR="00563168">
        <w:rPr>
          <w:rFonts w:asciiTheme="minorHAnsi" w:hAnsiTheme="minorHAnsi"/>
          <w:b/>
          <w:sz w:val="22"/>
          <w:szCs w:val="22"/>
          <w:lang w:val="fr-FR"/>
        </w:rPr>
        <w:t xml:space="preserve"> </w:t>
      </w:r>
    </w:p>
    <w:p w14:paraId="00F781DA" w14:textId="77777777" w:rsidR="00563168" w:rsidRDefault="00563168" w:rsidP="009B6E20">
      <w:pPr>
        <w:jc w:val="both"/>
        <w:rPr>
          <w:rFonts w:asciiTheme="minorHAnsi" w:hAnsiTheme="minorHAnsi"/>
          <w:b/>
          <w:sz w:val="22"/>
          <w:szCs w:val="22"/>
          <w:lang w:val="fr-FR"/>
        </w:rPr>
      </w:pPr>
    </w:p>
    <w:p w14:paraId="6297CACA" w14:textId="49722FBB" w:rsidR="00563168" w:rsidRPr="00563168" w:rsidRDefault="00563168" w:rsidP="00563168">
      <w:pPr>
        <w:spacing w:line="276" w:lineRule="auto"/>
        <w:ind w:firstLine="708"/>
        <w:jc w:val="both"/>
        <w:rPr>
          <w:rFonts w:asciiTheme="minorHAnsi" w:hAnsiTheme="minorHAnsi"/>
          <w:bCs/>
          <w:i/>
          <w:sz w:val="22"/>
          <w:szCs w:val="22"/>
          <w:lang w:val="fr-FR"/>
        </w:rPr>
      </w:pPr>
      <w:r w:rsidRPr="00563168">
        <w:rPr>
          <w:rFonts w:asciiTheme="minorHAnsi" w:hAnsiTheme="minorHAnsi"/>
          <w:bCs/>
          <w:i/>
          <w:sz w:val="22"/>
          <w:szCs w:val="22"/>
          <w:lang w:val="fr-FR"/>
        </w:rPr>
        <w:t xml:space="preserve">i) Chez les personnes qui n'ont jamais été vaccinées contre le pneumocoque auparavant, le vaccin conjugué 13-valent doit être administré comme première dose, suivi du vaccin polysaccharidique 23-valent au moins 1 an plus tard. </w:t>
      </w:r>
    </w:p>
    <w:p w14:paraId="6B9222ED" w14:textId="1515FA0E" w:rsidR="00563168" w:rsidRPr="00563168" w:rsidRDefault="00563168" w:rsidP="00563168">
      <w:pPr>
        <w:spacing w:line="276" w:lineRule="auto"/>
        <w:ind w:firstLine="708"/>
        <w:jc w:val="both"/>
        <w:rPr>
          <w:rFonts w:asciiTheme="minorHAnsi" w:hAnsiTheme="minorHAnsi"/>
          <w:bCs/>
          <w:i/>
          <w:sz w:val="22"/>
          <w:szCs w:val="22"/>
          <w:lang w:val="fr-FR"/>
        </w:rPr>
      </w:pPr>
      <w:r w:rsidRPr="00563168">
        <w:rPr>
          <w:rFonts w:asciiTheme="minorHAnsi" w:hAnsiTheme="minorHAnsi"/>
          <w:bCs/>
          <w:i/>
          <w:sz w:val="22"/>
          <w:szCs w:val="22"/>
          <w:lang w:val="fr-FR"/>
        </w:rPr>
        <w:t xml:space="preserve">ii) Les personnes qui ont déjà reçu un vaccin polysaccharidique 23-valent devraient recevoir un vaccin conjugué 13-valent un an plus tard. </w:t>
      </w:r>
    </w:p>
    <w:p w14:paraId="3BB7F19D" w14:textId="77777777" w:rsidR="00A07525" w:rsidRDefault="00A07525" w:rsidP="0087687F">
      <w:pPr>
        <w:spacing w:line="360" w:lineRule="auto"/>
        <w:jc w:val="both"/>
        <w:rPr>
          <w:rFonts w:asciiTheme="minorHAnsi" w:hAnsiTheme="minorHAnsi"/>
          <w:bCs/>
          <w:i/>
          <w:sz w:val="22"/>
          <w:szCs w:val="22"/>
          <w:lang w:val="fr-FR"/>
        </w:rPr>
      </w:pPr>
    </w:p>
    <w:p w14:paraId="20815BAB" w14:textId="77777777" w:rsidR="00A07525" w:rsidRDefault="00A07525" w:rsidP="0087687F">
      <w:pPr>
        <w:spacing w:line="360" w:lineRule="auto"/>
        <w:jc w:val="both"/>
        <w:rPr>
          <w:rFonts w:asciiTheme="minorHAnsi" w:hAnsiTheme="minorHAnsi"/>
          <w:bCs/>
          <w:i/>
          <w:sz w:val="22"/>
          <w:szCs w:val="22"/>
          <w:lang w:val="fr-FR"/>
        </w:rPr>
      </w:pPr>
      <w:r w:rsidRPr="00A07525">
        <w:rPr>
          <w:rFonts w:asciiTheme="minorHAnsi" w:hAnsiTheme="minorHAnsi"/>
          <w:bCs/>
          <w:i/>
          <w:sz w:val="22"/>
          <w:szCs w:val="22"/>
          <w:lang w:val="fr-FR"/>
        </w:rPr>
        <w:t xml:space="preserve">* Si le vaccin polyosidique 23-valent a été administré avant l'âge de 65 ans, il doit être répété au moins 5 ans après le premier vaccin chez les plus de 65 ans. </w:t>
      </w:r>
    </w:p>
    <w:p w14:paraId="6ED4A4C4" w14:textId="6EC1EBD6" w:rsidR="00A07525" w:rsidRDefault="00A07525" w:rsidP="0087687F">
      <w:pPr>
        <w:spacing w:line="360" w:lineRule="auto"/>
        <w:jc w:val="both"/>
        <w:rPr>
          <w:rFonts w:asciiTheme="minorHAnsi" w:hAnsiTheme="minorHAnsi"/>
          <w:bCs/>
          <w:i/>
          <w:sz w:val="22"/>
          <w:szCs w:val="22"/>
          <w:lang w:val="fr-FR"/>
        </w:rPr>
      </w:pPr>
      <w:r w:rsidRPr="00A07525">
        <w:rPr>
          <w:rFonts w:asciiTheme="minorHAnsi" w:hAnsiTheme="minorHAnsi"/>
          <w:bCs/>
          <w:i/>
          <w:sz w:val="22"/>
          <w:szCs w:val="22"/>
          <w:lang w:val="fr-FR"/>
        </w:rPr>
        <w:t>*Il est recommandé de répéter le vaccin polysaccharidique 23-valent tous les 10 ans au-delà de 65 ans.</w:t>
      </w:r>
      <w:r>
        <w:rPr>
          <w:rFonts w:asciiTheme="minorHAnsi" w:hAnsiTheme="minorHAnsi"/>
          <w:bCs/>
          <w:i/>
          <w:sz w:val="22"/>
          <w:szCs w:val="22"/>
          <w:lang w:val="fr-FR"/>
        </w:rPr>
        <w:t xml:space="preserve"> </w:t>
      </w:r>
    </w:p>
    <w:p w14:paraId="1491C0D6" w14:textId="77777777" w:rsidR="0087687F" w:rsidRPr="008A3D01" w:rsidRDefault="0087687F" w:rsidP="0087687F">
      <w:pPr>
        <w:jc w:val="both"/>
        <w:rPr>
          <w:rFonts w:asciiTheme="minorHAnsi" w:hAnsiTheme="minorHAnsi"/>
          <w:b/>
          <w:i/>
          <w:sz w:val="22"/>
          <w:szCs w:val="22"/>
          <w:lang w:val="fr-FR"/>
        </w:rPr>
      </w:pPr>
    </w:p>
    <w:p w14:paraId="6A018F09" w14:textId="77777777" w:rsidR="0087687F" w:rsidRPr="008A3D01" w:rsidRDefault="0087687F" w:rsidP="0087687F">
      <w:pPr>
        <w:jc w:val="both"/>
        <w:rPr>
          <w:rFonts w:asciiTheme="minorHAnsi" w:hAnsiTheme="minorHAnsi"/>
          <w:i/>
          <w:sz w:val="22"/>
          <w:szCs w:val="22"/>
          <w:lang w:val="fr-FR"/>
        </w:rPr>
      </w:pPr>
    </w:p>
    <w:p w14:paraId="58D94CD8" w14:textId="4B1E034E" w:rsidR="0087687F" w:rsidRPr="008A3D01" w:rsidRDefault="0087687F" w:rsidP="0087687F">
      <w:pPr>
        <w:shd w:val="clear" w:color="auto" w:fill="FFFFFF"/>
        <w:spacing w:before="100" w:beforeAutospacing="1" w:after="100" w:afterAutospacing="1" w:line="360" w:lineRule="auto"/>
        <w:contextualSpacing/>
        <w:jc w:val="both"/>
        <w:rPr>
          <w:rFonts w:asciiTheme="minorHAnsi" w:hAnsiTheme="minorHAnsi"/>
          <w:b/>
          <w:sz w:val="22"/>
          <w:szCs w:val="22"/>
          <w:lang w:val="fr-FR"/>
        </w:rPr>
      </w:pPr>
      <w:r w:rsidRPr="008A3D01">
        <w:rPr>
          <w:rFonts w:asciiTheme="minorHAnsi" w:hAnsiTheme="minorHAnsi"/>
          <w:b/>
          <w:sz w:val="22"/>
          <w:szCs w:val="22"/>
          <w:lang w:val="fr-FR"/>
        </w:rPr>
        <w:lastRenderedPageBreak/>
        <w:t xml:space="preserve">H3. </w:t>
      </w:r>
      <w:r w:rsidR="00042E8F" w:rsidRPr="00042E8F">
        <w:rPr>
          <w:rFonts w:asciiTheme="minorHAnsi" w:hAnsiTheme="minorHAnsi"/>
          <w:b/>
          <w:sz w:val="22"/>
          <w:szCs w:val="22"/>
          <w:lang w:val="fr-FR"/>
        </w:rPr>
        <w:t>La vaccination contre le zona est appropriée (réduit le risque d'infection par le zona et de névralgie post-zostérienne)</w:t>
      </w:r>
    </w:p>
    <w:p w14:paraId="09A5B28F" w14:textId="77777777" w:rsidR="009D03C3" w:rsidRDefault="00042E8F" w:rsidP="0087687F">
      <w:pPr>
        <w:spacing w:before="100" w:beforeAutospacing="1" w:after="100" w:afterAutospacing="1" w:line="360" w:lineRule="auto"/>
        <w:contextualSpacing/>
        <w:jc w:val="both"/>
        <w:rPr>
          <w:rFonts w:asciiTheme="minorHAnsi" w:hAnsiTheme="minorHAnsi"/>
          <w:bCs/>
          <w:i/>
          <w:sz w:val="22"/>
          <w:szCs w:val="22"/>
          <w:lang w:val="fr-FR"/>
        </w:rPr>
      </w:pPr>
      <w:r w:rsidRPr="00042E8F">
        <w:rPr>
          <w:rFonts w:asciiTheme="minorHAnsi" w:hAnsiTheme="minorHAnsi"/>
          <w:bCs/>
          <w:i/>
          <w:sz w:val="22"/>
          <w:szCs w:val="22"/>
          <w:lang w:val="fr-FR"/>
        </w:rPr>
        <w:t xml:space="preserve">* La vaccination est également recommandée pour les cas qui ont déjà eu le zona ou la varicelle. </w:t>
      </w:r>
    </w:p>
    <w:p w14:paraId="796D4E9A" w14:textId="24595651" w:rsidR="009D03C3" w:rsidRDefault="00042E8F" w:rsidP="0087687F">
      <w:pPr>
        <w:spacing w:before="100" w:beforeAutospacing="1" w:after="100" w:afterAutospacing="1" w:line="360" w:lineRule="auto"/>
        <w:contextualSpacing/>
        <w:jc w:val="both"/>
        <w:rPr>
          <w:rFonts w:asciiTheme="minorHAnsi" w:hAnsiTheme="minorHAnsi"/>
          <w:bCs/>
          <w:i/>
          <w:sz w:val="22"/>
          <w:szCs w:val="22"/>
          <w:lang w:val="fr-FR"/>
        </w:rPr>
      </w:pPr>
      <w:r w:rsidRPr="00042E8F">
        <w:rPr>
          <w:rFonts w:asciiTheme="minorHAnsi" w:hAnsiTheme="minorHAnsi"/>
          <w:bCs/>
          <w:i/>
          <w:sz w:val="22"/>
          <w:szCs w:val="22"/>
          <w:lang w:val="fr-FR"/>
        </w:rPr>
        <w:t>*</w:t>
      </w:r>
      <w:r w:rsidR="009D03C3">
        <w:rPr>
          <w:rFonts w:asciiTheme="minorHAnsi" w:hAnsiTheme="minorHAnsi"/>
          <w:bCs/>
          <w:i/>
          <w:sz w:val="22"/>
          <w:szCs w:val="22"/>
          <w:lang w:val="fr-FR"/>
        </w:rPr>
        <w:t>VRZ</w:t>
      </w:r>
      <w:r w:rsidRPr="00042E8F">
        <w:rPr>
          <w:rFonts w:asciiTheme="minorHAnsi" w:hAnsiTheme="minorHAnsi"/>
          <w:bCs/>
          <w:i/>
          <w:sz w:val="22"/>
          <w:szCs w:val="22"/>
          <w:lang w:val="fr-FR"/>
        </w:rPr>
        <w:t xml:space="preserve"> offre plus de protection que ZVL. </w:t>
      </w:r>
    </w:p>
    <w:p w14:paraId="4ED78E58" w14:textId="77777777" w:rsidR="009D03C3" w:rsidRDefault="00042E8F" w:rsidP="0087687F">
      <w:pPr>
        <w:spacing w:before="100" w:beforeAutospacing="1" w:after="100" w:afterAutospacing="1" w:line="360" w:lineRule="auto"/>
        <w:contextualSpacing/>
        <w:jc w:val="both"/>
        <w:rPr>
          <w:rFonts w:asciiTheme="minorHAnsi" w:hAnsiTheme="minorHAnsi"/>
          <w:bCs/>
          <w:i/>
          <w:sz w:val="22"/>
          <w:szCs w:val="22"/>
          <w:lang w:val="fr-FR"/>
        </w:rPr>
      </w:pPr>
      <w:r w:rsidRPr="00042E8F">
        <w:rPr>
          <w:rFonts w:asciiTheme="minorHAnsi" w:hAnsiTheme="minorHAnsi"/>
          <w:bCs/>
          <w:i/>
          <w:sz w:val="22"/>
          <w:szCs w:val="22"/>
          <w:lang w:val="fr-FR"/>
        </w:rPr>
        <w:t>*</w:t>
      </w:r>
      <w:r w:rsidR="009D03C3">
        <w:rPr>
          <w:rFonts w:asciiTheme="minorHAnsi" w:hAnsiTheme="minorHAnsi"/>
          <w:bCs/>
          <w:i/>
          <w:sz w:val="22"/>
          <w:szCs w:val="22"/>
          <w:lang w:val="fr-FR"/>
        </w:rPr>
        <w:t>VRZ</w:t>
      </w:r>
      <w:r w:rsidRPr="00042E8F">
        <w:rPr>
          <w:rFonts w:asciiTheme="minorHAnsi" w:hAnsiTheme="minorHAnsi"/>
          <w:bCs/>
          <w:i/>
          <w:sz w:val="22"/>
          <w:szCs w:val="22"/>
          <w:lang w:val="fr-FR"/>
        </w:rPr>
        <w:t xml:space="preserve"> est préféré à ZVL. </w:t>
      </w:r>
    </w:p>
    <w:p w14:paraId="4E565682" w14:textId="77777777" w:rsidR="009D03C3" w:rsidRDefault="00042E8F" w:rsidP="0087687F">
      <w:pPr>
        <w:spacing w:before="100" w:beforeAutospacing="1" w:after="100" w:afterAutospacing="1" w:line="360" w:lineRule="auto"/>
        <w:contextualSpacing/>
        <w:jc w:val="both"/>
        <w:rPr>
          <w:rFonts w:asciiTheme="minorHAnsi" w:hAnsiTheme="minorHAnsi"/>
          <w:bCs/>
          <w:i/>
          <w:sz w:val="22"/>
          <w:szCs w:val="22"/>
          <w:lang w:val="fr-FR"/>
        </w:rPr>
      </w:pPr>
      <w:r w:rsidRPr="00042E8F">
        <w:rPr>
          <w:rFonts w:asciiTheme="minorHAnsi" w:hAnsiTheme="minorHAnsi"/>
          <w:bCs/>
          <w:i/>
          <w:sz w:val="22"/>
          <w:szCs w:val="22"/>
          <w:lang w:val="fr-FR"/>
        </w:rPr>
        <w:t xml:space="preserve">*Le VRZ est administré par voie intramusculaire en deux doses. La deuxième dose doit être administrée 2 à 6 mois après la première dose. Ce programme doit être utilisé pour tous les patients, y compris ceux ayant des antécédents de zona et ceux ayant déjà </w:t>
      </w:r>
      <w:r>
        <w:rPr>
          <w:rFonts w:asciiTheme="minorHAnsi" w:hAnsiTheme="minorHAnsi"/>
          <w:bCs/>
          <w:i/>
          <w:sz w:val="22"/>
          <w:szCs w:val="22"/>
          <w:lang w:val="fr-FR"/>
        </w:rPr>
        <w:t>reçu</w:t>
      </w:r>
      <w:r w:rsidRPr="00042E8F">
        <w:rPr>
          <w:rFonts w:asciiTheme="minorHAnsi" w:hAnsiTheme="minorHAnsi"/>
          <w:bCs/>
          <w:i/>
          <w:sz w:val="22"/>
          <w:szCs w:val="22"/>
          <w:lang w:val="fr-FR"/>
        </w:rPr>
        <w:t xml:space="preserve"> une ZVL. </w:t>
      </w:r>
    </w:p>
    <w:p w14:paraId="5878B55D" w14:textId="3E7CA1C2" w:rsidR="00042E8F" w:rsidRDefault="00042E8F" w:rsidP="0087687F">
      <w:pPr>
        <w:spacing w:before="100" w:beforeAutospacing="1" w:after="100" w:afterAutospacing="1" w:line="360" w:lineRule="auto"/>
        <w:contextualSpacing/>
        <w:jc w:val="both"/>
        <w:rPr>
          <w:rFonts w:asciiTheme="minorHAnsi" w:hAnsiTheme="minorHAnsi"/>
          <w:bCs/>
          <w:i/>
          <w:sz w:val="22"/>
          <w:szCs w:val="22"/>
          <w:lang w:val="fr-FR"/>
        </w:rPr>
      </w:pPr>
      <w:r w:rsidRPr="00042E8F">
        <w:rPr>
          <w:rFonts w:asciiTheme="minorHAnsi" w:hAnsiTheme="minorHAnsi"/>
          <w:bCs/>
          <w:i/>
          <w:sz w:val="22"/>
          <w:szCs w:val="22"/>
          <w:lang w:val="fr-FR"/>
        </w:rPr>
        <w:t>*En cas d'infection par le zona, la vaccination est recommandée après 6 à 12 mois au plus tôt.</w:t>
      </w:r>
      <w:r>
        <w:rPr>
          <w:rFonts w:asciiTheme="minorHAnsi" w:hAnsiTheme="minorHAnsi"/>
          <w:bCs/>
          <w:i/>
          <w:sz w:val="22"/>
          <w:szCs w:val="22"/>
          <w:lang w:val="fr-FR"/>
        </w:rPr>
        <w:t xml:space="preserve"> </w:t>
      </w:r>
    </w:p>
    <w:p w14:paraId="757290D5" w14:textId="77777777" w:rsidR="0087687F" w:rsidRPr="008A3D01" w:rsidRDefault="0087687F" w:rsidP="0087687F">
      <w:pPr>
        <w:shd w:val="clear" w:color="auto" w:fill="FFFFFF"/>
        <w:spacing w:before="100" w:beforeAutospacing="1" w:after="100" w:afterAutospacing="1"/>
        <w:contextualSpacing/>
        <w:jc w:val="both"/>
        <w:rPr>
          <w:rFonts w:asciiTheme="minorHAnsi" w:hAnsiTheme="minorHAnsi"/>
          <w:bCs/>
          <w:i/>
          <w:sz w:val="22"/>
          <w:szCs w:val="22"/>
          <w:lang w:val="fr-FR"/>
        </w:rPr>
      </w:pPr>
    </w:p>
    <w:p w14:paraId="05865890" w14:textId="77777777" w:rsidR="0087687F" w:rsidRPr="008A3D01" w:rsidRDefault="0087687F" w:rsidP="0087687F">
      <w:pPr>
        <w:shd w:val="clear" w:color="auto" w:fill="FFFFFF"/>
        <w:spacing w:before="100" w:beforeAutospacing="1" w:after="100" w:afterAutospacing="1" w:line="360" w:lineRule="auto"/>
        <w:contextualSpacing/>
        <w:jc w:val="both"/>
        <w:rPr>
          <w:rFonts w:asciiTheme="minorHAnsi" w:hAnsiTheme="minorHAnsi"/>
          <w:b/>
          <w:sz w:val="22"/>
          <w:szCs w:val="22"/>
          <w:lang w:val="fr-FR"/>
        </w:rPr>
      </w:pPr>
    </w:p>
    <w:p w14:paraId="0E0030F5" w14:textId="1D91BA64" w:rsidR="0087687F" w:rsidRPr="008A3D01" w:rsidRDefault="0087687F" w:rsidP="0087687F">
      <w:pPr>
        <w:shd w:val="clear" w:color="auto" w:fill="FFFFFF"/>
        <w:spacing w:before="100" w:beforeAutospacing="1" w:after="100" w:afterAutospacing="1" w:line="360" w:lineRule="auto"/>
        <w:contextualSpacing/>
        <w:jc w:val="both"/>
        <w:rPr>
          <w:rFonts w:asciiTheme="minorHAnsi" w:hAnsiTheme="minorHAnsi"/>
          <w:b/>
          <w:i/>
          <w:sz w:val="22"/>
          <w:szCs w:val="22"/>
          <w:lang w:val="fr-FR"/>
        </w:rPr>
      </w:pPr>
      <w:r w:rsidRPr="008A3D01">
        <w:rPr>
          <w:rFonts w:asciiTheme="minorHAnsi" w:hAnsiTheme="minorHAnsi"/>
          <w:b/>
          <w:sz w:val="22"/>
          <w:szCs w:val="22"/>
          <w:lang w:val="fr-FR"/>
        </w:rPr>
        <w:t xml:space="preserve">H4. </w:t>
      </w:r>
      <w:r w:rsidR="009D03C3" w:rsidRPr="009D03C3">
        <w:rPr>
          <w:rFonts w:asciiTheme="minorHAnsi" w:hAnsiTheme="minorHAnsi"/>
          <w:b/>
          <w:sz w:val="22"/>
          <w:szCs w:val="22"/>
          <w:lang w:val="fr-FR"/>
        </w:rPr>
        <w:t>Il est approprié de faire du Td (anatoxine tétanique-diphtérique) tous les 10 ans</w:t>
      </w:r>
      <w:r w:rsidR="009D03C3">
        <w:rPr>
          <w:rFonts w:asciiTheme="minorHAnsi" w:hAnsiTheme="minorHAnsi"/>
          <w:b/>
          <w:sz w:val="22"/>
          <w:szCs w:val="22"/>
          <w:lang w:val="fr-FR"/>
        </w:rPr>
        <w:t xml:space="preserve"> </w:t>
      </w:r>
    </w:p>
    <w:p w14:paraId="65C36E42" w14:textId="26530AEC" w:rsidR="009D03C3" w:rsidRDefault="009D03C3" w:rsidP="009B6E20">
      <w:pPr>
        <w:shd w:val="clear" w:color="auto" w:fill="FFFFFF"/>
        <w:spacing w:before="100" w:beforeAutospacing="1" w:after="100" w:afterAutospacing="1" w:line="360" w:lineRule="auto"/>
        <w:contextualSpacing/>
        <w:jc w:val="both"/>
        <w:rPr>
          <w:rFonts w:asciiTheme="minorHAnsi" w:hAnsiTheme="minorHAnsi"/>
          <w:bCs/>
          <w:i/>
          <w:sz w:val="22"/>
          <w:szCs w:val="22"/>
          <w:lang w:val="fr-FR"/>
        </w:rPr>
      </w:pPr>
      <w:r w:rsidRPr="009D03C3">
        <w:rPr>
          <w:rFonts w:asciiTheme="minorHAnsi" w:hAnsiTheme="minorHAnsi"/>
          <w:bCs/>
          <w:i/>
          <w:sz w:val="22"/>
          <w:szCs w:val="22"/>
          <w:lang w:val="fr-FR"/>
        </w:rPr>
        <w:t xml:space="preserve">*Le vaccin contre la coqueluche peut être recommandé pour les personnes âgées (comme les grands-parents) qui sont en contact étroit avec des nourrissons de plus d'un an. Dans ce cas, </w:t>
      </w:r>
      <w:r>
        <w:rPr>
          <w:rFonts w:asciiTheme="minorHAnsi" w:hAnsiTheme="minorHAnsi"/>
          <w:bCs/>
          <w:i/>
          <w:sz w:val="22"/>
          <w:szCs w:val="22"/>
          <w:lang w:val="fr-FR"/>
        </w:rPr>
        <w:t xml:space="preserve">une seule dose de TdaP peut être administrée. </w:t>
      </w:r>
    </w:p>
    <w:p w14:paraId="425EDE20" w14:textId="77777777" w:rsidR="0087687F" w:rsidRPr="008A3D01" w:rsidRDefault="0087687F" w:rsidP="009B6E20">
      <w:pPr>
        <w:shd w:val="clear" w:color="auto" w:fill="FFFFFF"/>
        <w:spacing w:before="100" w:beforeAutospacing="1" w:after="100" w:afterAutospacing="1"/>
        <w:contextualSpacing/>
        <w:jc w:val="both"/>
        <w:rPr>
          <w:rFonts w:asciiTheme="minorHAnsi" w:hAnsiTheme="minorHAnsi"/>
          <w:bCs/>
          <w:i/>
          <w:sz w:val="22"/>
          <w:szCs w:val="22"/>
          <w:lang w:val="fr-FR"/>
        </w:rPr>
      </w:pPr>
    </w:p>
    <w:p w14:paraId="7D4B442D" w14:textId="77777777" w:rsidR="0087687F" w:rsidRPr="008A3D01"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p>
    <w:p w14:paraId="4B835B79" w14:textId="77777777" w:rsidR="0087687F" w:rsidRPr="008A3D01" w:rsidRDefault="0087687F" w:rsidP="009B6E20">
      <w:pPr>
        <w:jc w:val="both"/>
        <w:rPr>
          <w:rFonts w:asciiTheme="minorHAnsi" w:hAnsiTheme="minorHAnsi"/>
          <w:b/>
          <w:sz w:val="22"/>
          <w:szCs w:val="22"/>
          <w:lang w:val="fr-FR"/>
        </w:rPr>
      </w:pPr>
    </w:p>
    <w:p w14:paraId="095904CE" w14:textId="1AB5BB64" w:rsidR="0087687F" w:rsidRPr="008A3D01" w:rsidRDefault="008A4F48" w:rsidP="008874FC">
      <w:pPr>
        <w:spacing w:line="360" w:lineRule="auto"/>
        <w:jc w:val="both"/>
        <w:rPr>
          <w:rFonts w:asciiTheme="minorHAnsi" w:hAnsiTheme="minorHAnsi"/>
          <w:sz w:val="22"/>
          <w:szCs w:val="22"/>
          <w:lang w:val="fr-FR"/>
        </w:rPr>
      </w:pPr>
      <w:r w:rsidRPr="008A3D01">
        <w:rPr>
          <w:rFonts w:ascii="Calibri" w:hAnsi="Calibri" w:cs="Calibri"/>
          <w:b/>
          <w:sz w:val="22"/>
          <w:szCs w:val="22"/>
          <w:lang w:val="fr-FR"/>
        </w:rPr>
        <w:t>#</w:t>
      </w:r>
      <w:r w:rsidR="0087687F" w:rsidRPr="008A3D01">
        <w:rPr>
          <w:rFonts w:asciiTheme="minorHAnsi" w:hAnsiTheme="minorHAnsi"/>
          <w:b/>
          <w:sz w:val="22"/>
          <w:szCs w:val="22"/>
          <w:lang w:val="fr-FR"/>
        </w:rPr>
        <w:t xml:space="preserve">H5. </w:t>
      </w:r>
      <w:r w:rsidR="009D03C3" w:rsidRPr="009D03C3">
        <w:rPr>
          <w:rFonts w:asciiTheme="minorHAnsi" w:hAnsiTheme="minorHAnsi"/>
          <w:b/>
          <w:sz w:val="22"/>
          <w:szCs w:val="22"/>
          <w:lang w:val="fr-FR"/>
        </w:rPr>
        <w:t xml:space="preserve">Il convient de vacciner contre le méningocoque les cas partant </w:t>
      </w:r>
      <w:r w:rsidR="009D03C3">
        <w:rPr>
          <w:rFonts w:asciiTheme="minorHAnsi" w:hAnsiTheme="minorHAnsi"/>
          <w:b/>
          <w:sz w:val="22"/>
          <w:szCs w:val="22"/>
          <w:lang w:val="fr-FR"/>
        </w:rPr>
        <w:t>au Hajj</w:t>
      </w:r>
    </w:p>
    <w:p w14:paraId="02B3223D" w14:textId="77777777" w:rsidR="009D03C3" w:rsidRDefault="009D03C3" w:rsidP="008874FC">
      <w:pPr>
        <w:spacing w:line="360" w:lineRule="auto"/>
        <w:jc w:val="both"/>
        <w:rPr>
          <w:rFonts w:asciiTheme="minorHAnsi" w:hAnsiTheme="minorHAnsi"/>
          <w:i/>
          <w:sz w:val="22"/>
          <w:szCs w:val="22"/>
          <w:lang w:val="fr-FR"/>
        </w:rPr>
      </w:pPr>
      <w:r w:rsidRPr="009D03C3">
        <w:rPr>
          <w:rFonts w:asciiTheme="minorHAnsi" w:hAnsiTheme="minorHAnsi"/>
          <w:i/>
          <w:sz w:val="22"/>
          <w:szCs w:val="22"/>
          <w:lang w:val="fr-FR"/>
        </w:rPr>
        <w:t xml:space="preserve">*Il est recommandé au moins 10 jours avant le Hajj. </w:t>
      </w:r>
    </w:p>
    <w:p w14:paraId="532BF38B" w14:textId="582AF2D8" w:rsidR="009D03C3" w:rsidRDefault="009D03C3" w:rsidP="008874FC">
      <w:pPr>
        <w:spacing w:line="360" w:lineRule="auto"/>
        <w:jc w:val="both"/>
        <w:rPr>
          <w:rFonts w:asciiTheme="minorHAnsi" w:hAnsiTheme="minorHAnsi"/>
          <w:i/>
          <w:sz w:val="22"/>
          <w:szCs w:val="22"/>
          <w:lang w:val="fr-FR"/>
        </w:rPr>
      </w:pPr>
      <w:r w:rsidRPr="009D03C3">
        <w:rPr>
          <w:rFonts w:asciiTheme="minorHAnsi" w:hAnsiTheme="minorHAnsi"/>
          <w:i/>
          <w:sz w:val="22"/>
          <w:szCs w:val="22"/>
          <w:lang w:val="fr-FR"/>
        </w:rPr>
        <w:t>*Si vous voyagez à nouveau après 5 ans, la dose doit être répétée.</w:t>
      </w:r>
      <w:r>
        <w:rPr>
          <w:rFonts w:asciiTheme="minorHAnsi" w:hAnsiTheme="minorHAnsi"/>
          <w:i/>
          <w:sz w:val="22"/>
          <w:szCs w:val="22"/>
          <w:lang w:val="fr-FR"/>
        </w:rPr>
        <w:t xml:space="preserve"> </w:t>
      </w:r>
    </w:p>
    <w:p w14:paraId="03A4C15E" w14:textId="77777777" w:rsidR="0087687F" w:rsidRPr="008A3D01" w:rsidRDefault="0087687F" w:rsidP="0087687F">
      <w:pPr>
        <w:jc w:val="both"/>
        <w:rPr>
          <w:rFonts w:asciiTheme="minorHAnsi" w:hAnsiTheme="minorHAnsi"/>
          <w:b/>
          <w:i/>
          <w:sz w:val="22"/>
          <w:szCs w:val="22"/>
          <w:lang w:val="fr-FR"/>
        </w:rPr>
      </w:pPr>
    </w:p>
    <w:p w14:paraId="35ACFA5E" w14:textId="77777777" w:rsidR="0087687F" w:rsidRPr="008A3D01" w:rsidRDefault="0087687F" w:rsidP="0087687F">
      <w:pPr>
        <w:jc w:val="both"/>
        <w:rPr>
          <w:rFonts w:asciiTheme="minorHAnsi" w:hAnsiTheme="minorHAnsi"/>
          <w:b/>
          <w:i/>
          <w:color w:val="5B9BD5" w:themeColor="accent5"/>
          <w:sz w:val="22"/>
          <w:szCs w:val="22"/>
          <w:u w:val="single"/>
          <w:lang w:val="fr-FR"/>
        </w:rPr>
      </w:pPr>
    </w:p>
    <w:p w14:paraId="480DBEC4" w14:textId="77777777" w:rsidR="0087687F" w:rsidRPr="008A3D01" w:rsidRDefault="0087687F" w:rsidP="0087687F">
      <w:pPr>
        <w:jc w:val="both"/>
        <w:rPr>
          <w:rFonts w:asciiTheme="minorHAnsi" w:hAnsiTheme="minorHAnsi"/>
          <w:b/>
          <w:iCs/>
          <w:color w:val="000000" w:themeColor="text1"/>
          <w:sz w:val="22"/>
          <w:szCs w:val="22"/>
          <w:lang w:val="fr-FR"/>
        </w:rPr>
      </w:pPr>
    </w:p>
    <w:p w14:paraId="525C3E24" w14:textId="77777777" w:rsidR="000A315F" w:rsidRPr="008A3D01" w:rsidRDefault="000A315F" w:rsidP="0087687F">
      <w:pPr>
        <w:jc w:val="both"/>
        <w:rPr>
          <w:rFonts w:asciiTheme="minorHAnsi" w:hAnsiTheme="minorHAnsi"/>
          <w:b/>
          <w:iCs/>
          <w:color w:val="000000" w:themeColor="text1"/>
          <w:sz w:val="22"/>
          <w:szCs w:val="22"/>
          <w:lang w:val="fr-FR"/>
        </w:rPr>
      </w:pPr>
    </w:p>
    <w:p w14:paraId="37C8DC38" w14:textId="5CA60421" w:rsidR="000A315F" w:rsidRPr="008A3D01" w:rsidRDefault="000A315F" w:rsidP="000A315F">
      <w:pPr>
        <w:spacing w:line="360" w:lineRule="auto"/>
        <w:jc w:val="both"/>
        <w:rPr>
          <w:rFonts w:asciiTheme="minorHAnsi" w:hAnsiTheme="minorHAnsi"/>
          <w:b/>
          <w:sz w:val="28"/>
          <w:szCs w:val="28"/>
          <w:lang w:val="fr-FR"/>
        </w:rPr>
      </w:pPr>
      <w:r w:rsidRPr="008A3D01">
        <w:rPr>
          <w:rFonts w:asciiTheme="minorHAnsi" w:hAnsiTheme="minorHAnsi"/>
          <w:b/>
          <w:sz w:val="28"/>
          <w:szCs w:val="28"/>
          <w:lang w:val="fr-FR"/>
        </w:rPr>
        <w:t xml:space="preserve">I: </w:t>
      </w:r>
      <w:r w:rsidR="009D03C3">
        <w:rPr>
          <w:rFonts w:asciiTheme="minorHAnsi" w:hAnsiTheme="minorHAnsi"/>
          <w:b/>
          <w:sz w:val="28"/>
          <w:szCs w:val="28"/>
          <w:lang w:val="fr-FR"/>
        </w:rPr>
        <w:t>Les suppléments</w:t>
      </w:r>
      <w:r w:rsidRPr="008A3D01">
        <w:rPr>
          <w:rFonts w:asciiTheme="minorHAnsi" w:hAnsiTheme="minorHAnsi"/>
          <w:b/>
          <w:sz w:val="28"/>
          <w:szCs w:val="28"/>
          <w:lang w:val="fr-FR"/>
        </w:rPr>
        <w:t>.</w:t>
      </w:r>
    </w:p>
    <w:p w14:paraId="2FB534D3" w14:textId="77777777" w:rsidR="0087687F" w:rsidRPr="008A3D01" w:rsidRDefault="0087687F" w:rsidP="0087687F">
      <w:pPr>
        <w:jc w:val="both"/>
        <w:rPr>
          <w:rFonts w:asciiTheme="minorHAnsi" w:hAnsiTheme="minorHAnsi"/>
          <w:b/>
          <w:i/>
          <w:color w:val="5B9BD5" w:themeColor="accent5"/>
          <w:sz w:val="22"/>
          <w:szCs w:val="22"/>
          <w:u w:val="single"/>
          <w:lang w:val="fr-FR"/>
        </w:rPr>
      </w:pPr>
    </w:p>
    <w:p w14:paraId="55B84C61" w14:textId="77777777" w:rsidR="000A315F" w:rsidRPr="008A3D01" w:rsidRDefault="000A315F" w:rsidP="0087687F">
      <w:pPr>
        <w:jc w:val="both"/>
        <w:rPr>
          <w:rFonts w:asciiTheme="minorHAnsi" w:hAnsiTheme="minorHAnsi"/>
          <w:b/>
          <w:i/>
          <w:color w:val="5B9BD5" w:themeColor="accent5"/>
          <w:sz w:val="22"/>
          <w:szCs w:val="22"/>
          <w:u w:val="single"/>
          <w:lang w:val="fr-FR"/>
        </w:rPr>
      </w:pPr>
    </w:p>
    <w:p w14:paraId="1A571B41" w14:textId="77777777" w:rsidR="008874FC" w:rsidRPr="008A3D01" w:rsidRDefault="008874FC" w:rsidP="0087687F">
      <w:pPr>
        <w:jc w:val="both"/>
        <w:rPr>
          <w:rFonts w:asciiTheme="minorHAnsi" w:hAnsiTheme="minorHAnsi"/>
          <w:b/>
          <w:i/>
          <w:color w:val="5B9BD5" w:themeColor="accent5"/>
          <w:sz w:val="22"/>
          <w:szCs w:val="22"/>
          <w:u w:val="single"/>
          <w:lang w:val="fr-FR"/>
        </w:rPr>
      </w:pPr>
    </w:p>
    <w:p w14:paraId="1ABD4350" w14:textId="1390E717" w:rsidR="0087687F" w:rsidRPr="008A3D01" w:rsidRDefault="0087687F" w:rsidP="0087687F">
      <w:pPr>
        <w:autoSpaceDE w:val="0"/>
        <w:autoSpaceDN w:val="0"/>
        <w:adjustRightInd w:val="0"/>
        <w:spacing w:line="360" w:lineRule="auto"/>
        <w:jc w:val="both"/>
        <w:rPr>
          <w:rFonts w:asciiTheme="minorHAnsi" w:hAnsiTheme="minorHAnsi"/>
          <w:b/>
          <w:sz w:val="22"/>
          <w:szCs w:val="22"/>
          <w:lang w:val="fr-FR"/>
        </w:rPr>
      </w:pPr>
      <w:r w:rsidRPr="008A3D01">
        <w:rPr>
          <w:rFonts w:asciiTheme="minorHAnsi" w:hAnsiTheme="minorHAnsi"/>
          <w:b/>
          <w:sz w:val="22"/>
          <w:szCs w:val="22"/>
          <w:lang w:val="fr-FR"/>
        </w:rPr>
        <w:t xml:space="preserve">I1. </w:t>
      </w:r>
      <w:r w:rsidR="009D03C3" w:rsidRPr="009D03C3">
        <w:rPr>
          <w:rFonts w:asciiTheme="minorHAnsi" w:hAnsiTheme="minorHAnsi"/>
          <w:b/>
          <w:sz w:val="22"/>
          <w:szCs w:val="22"/>
          <w:lang w:val="fr-FR"/>
        </w:rPr>
        <w:t>Chez les personnes âgées souffrant de malnutrition (MN) ou à risque de malnutrition (MNR), l'initiation de suppléments nutritionnels oraux (ONS) est appropriée si le conseil nutritionnel et la supplémentation nutritionnelle ne sont pas suffisants pour augmenter l'apport alimentaire et atteindre les objectifs nutritionnels.</w:t>
      </w:r>
    </w:p>
    <w:p w14:paraId="4D779C6A"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 xml:space="preserve">*Il existe plus de preuves concernant l'initiation de l'ONS chez les personnes âgées atteintes d'une maladie chronique. </w:t>
      </w:r>
    </w:p>
    <w:p w14:paraId="3E5F864E"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 xml:space="preserve">*Il est recommandé que la teneur en ONS contienne au moins 400 kcal d'énergie et 30 g de protéines par jour, et que l'ONS soit poursuivi pendant au moins 1 mois. </w:t>
      </w:r>
    </w:p>
    <w:p w14:paraId="10035803"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 xml:space="preserve">*Il convient d'évaluer les cas donnés à l'ONS une fois par mois. </w:t>
      </w:r>
    </w:p>
    <w:p w14:paraId="183ECEA8"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lastRenderedPageBreak/>
        <w:t xml:space="preserve">*La valeur recommandée pour l'apport énergétique chez les personnes âgées est de 30 kcal/kg/jour pour guider le traitement. </w:t>
      </w:r>
    </w:p>
    <w:p w14:paraId="32825423"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 xml:space="preserve">*Chez les personnes âgées en bonne santé, l'apport en protéines est recommandé de 1,0 à 1,2 g/kg/jour. </w:t>
      </w:r>
    </w:p>
    <w:p w14:paraId="2D157FD4" w14:textId="77777777"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*Pour les personnes âgées atteintes de maladies aiguës ou chroniques, l'apport en protéines est recommandé entre 1,2 et 1,5 g/kg/jour.</w:t>
      </w:r>
    </w:p>
    <w:p w14:paraId="24135560" w14:textId="4CE29FB3" w:rsidR="009D03C3" w:rsidRDefault="009D03C3" w:rsidP="0087687F">
      <w:pPr>
        <w:autoSpaceDE w:val="0"/>
        <w:autoSpaceDN w:val="0"/>
        <w:adjustRightInd w:val="0"/>
        <w:spacing w:line="360" w:lineRule="auto"/>
        <w:jc w:val="both"/>
        <w:rPr>
          <w:rFonts w:asciiTheme="minorHAnsi" w:hAnsiTheme="minorHAnsi"/>
          <w:bCs/>
          <w:i/>
          <w:sz w:val="22"/>
          <w:szCs w:val="22"/>
          <w:lang w:val="fr-FR"/>
        </w:rPr>
      </w:pPr>
      <w:r w:rsidRPr="009D03C3">
        <w:rPr>
          <w:rFonts w:asciiTheme="minorHAnsi" w:hAnsiTheme="minorHAnsi"/>
          <w:bCs/>
          <w:i/>
          <w:sz w:val="22"/>
          <w:szCs w:val="22"/>
          <w:lang w:val="fr-FR"/>
        </w:rPr>
        <w:t xml:space="preserve"> *Pour les personnes âgées souffrant d'une maladie grave, d'une blessure ou de malnutrition, il peut être nécessaire d'augmenter l'apport en protéines de 1,5 g/kg/jour à 2,0 g/kg/jour.</w:t>
      </w:r>
      <w:r>
        <w:rPr>
          <w:rFonts w:asciiTheme="minorHAnsi" w:hAnsiTheme="minorHAnsi"/>
          <w:bCs/>
          <w:i/>
          <w:sz w:val="22"/>
          <w:szCs w:val="22"/>
          <w:lang w:val="fr-FR"/>
        </w:rPr>
        <w:t xml:space="preserve"> </w:t>
      </w:r>
    </w:p>
    <w:p w14:paraId="04037E17" w14:textId="77777777" w:rsidR="0087687F" w:rsidRPr="008A3D01" w:rsidRDefault="0087687F" w:rsidP="0087687F">
      <w:pPr>
        <w:pStyle w:val="HTMLncedenBiimlendirilmi"/>
        <w:shd w:val="clear" w:color="auto" w:fill="FFFFFF"/>
        <w:jc w:val="both"/>
        <w:rPr>
          <w:rFonts w:asciiTheme="minorHAnsi" w:hAnsiTheme="minorHAnsi" w:cs="Times New Roman"/>
          <w:b/>
          <w:i/>
          <w:color w:val="000000"/>
          <w:sz w:val="22"/>
          <w:szCs w:val="22"/>
          <w:lang w:val="fr-FR"/>
        </w:rPr>
      </w:pPr>
    </w:p>
    <w:p w14:paraId="54CDCF08" w14:textId="77777777" w:rsidR="0087687F" w:rsidRPr="008A3D01" w:rsidRDefault="0087687F" w:rsidP="0087687F">
      <w:pPr>
        <w:pStyle w:val="HTMLncedenBiimlendirilmi"/>
        <w:shd w:val="clear" w:color="auto" w:fill="FFFFFF"/>
        <w:jc w:val="both"/>
        <w:rPr>
          <w:rFonts w:asciiTheme="minorHAnsi" w:hAnsiTheme="minorHAnsi" w:cs="Times New Roman"/>
          <w:b/>
          <w:sz w:val="22"/>
          <w:szCs w:val="22"/>
          <w:lang w:val="fr-FR"/>
        </w:rPr>
      </w:pPr>
    </w:p>
    <w:p w14:paraId="1B42BD64" w14:textId="77777777" w:rsidR="009D03C3" w:rsidRDefault="0087687F" w:rsidP="0087687F">
      <w:pPr>
        <w:pStyle w:val="HTMLncedenBiimlendirilmi"/>
        <w:shd w:val="clear" w:color="auto" w:fill="FFFFFF"/>
        <w:spacing w:line="360" w:lineRule="auto"/>
        <w:jc w:val="both"/>
        <w:rPr>
          <w:rFonts w:asciiTheme="minorHAnsi" w:hAnsiTheme="minorHAnsi" w:cs="Times New Roman"/>
          <w:b/>
          <w:sz w:val="22"/>
          <w:szCs w:val="22"/>
          <w:lang w:val="fr-FR"/>
        </w:rPr>
      </w:pPr>
      <w:r w:rsidRPr="008A3D01">
        <w:rPr>
          <w:rFonts w:asciiTheme="minorHAnsi" w:hAnsiTheme="minorHAnsi" w:cs="Times New Roman"/>
          <w:b/>
          <w:sz w:val="22"/>
          <w:szCs w:val="22"/>
          <w:lang w:val="fr-FR"/>
        </w:rPr>
        <w:t xml:space="preserve">I2. </w:t>
      </w:r>
      <w:r w:rsidR="009D03C3" w:rsidRPr="009D03C3">
        <w:rPr>
          <w:rFonts w:asciiTheme="minorHAnsi" w:hAnsiTheme="minorHAnsi" w:cs="Times New Roman"/>
          <w:b/>
          <w:sz w:val="22"/>
          <w:szCs w:val="22"/>
          <w:lang w:val="fr-FR"/>
        </w:rPr>
        <w:t>L'instauration de suppléments nutritionnels oraux (ONS) est appropriée chez les patients âgés hospitalisés atteints de MN ou de MNR (augmente la prise alimentaire et le poids corporel, réduit le risque de complications et de réadmissions)</w:t>
      </w:r>
    </w:p>
    <w:p w14:paraId="3511D80A" w14:textId="77777777" w:rsidR="009D03C3" w:rsidRDefault="009D03C3" w:rsidP="0087687F">
      <w:pPr>
        <w:pStyle w:val="HTMLncedenBiimlendirilmi"/>
        <w:shd w:val="clear" w:color="auto" w:fill="FFFFFF"/>
        <w:spacing w:line="360" w:lineRule="auto"/>
        <w:jc w:val="both"/>
        <w:rPr>
          <w:rFonts w:asciiTheme="minorHAnsi" w:hAnsiTheme="minorHAnsi" w:cs="Times New Roman"/>
          <w:bCs/>
          <w:i/>
          <w:iCs/>
          <w:sz w:val="22"/>
          <w:szCs w:val="22"/>
          <w:lang w:val="fr-FR"/>
        </w:rPr>
      </w:pPr>
      <w:r w:rsidRPr="009D03C3">
        <w:rPr>
          <w:rFonts w:asciiTheme="minorHAnsi" w:hAnsiTheme="minorHAnsi" w:cs="Times New Roman"/>
          <w:bCs/>
          <w:i/>
          <w:iCs/>
          <w:sz w:val="22"/>
          <w:szCs w:val="22"/>
          <w:lang w:val="fr-FR"/>
        </w:rPr>
        <w:t>*L'apport énergétique oral spontané est généralement faible chez les personnes âgées en hospitalisation aiguë et ne répond pas aux besoins.</w:t>
      </w:r>
    </w:p>
    <w:p w14:paraId="21C225B8" w14:textId="0899D12D" w:rsidR="009D03C3" w:rsidRDefault="009D03C3" w:rsidP="0087687F">
      <w:pPr>
        <w:pStyle w:val="HTMLncedenBiimlendirilmi"/>
        <w:shd w:val="clear" w:color="auto" w:fill="FFFFFF"/>
        <w:spacing w:line="360" w:lineRule="auto"/>
        <w:jc w:val="both"/>
        <w:rPr>
          <w:rFonts w:asciiTheme="minorHAnsi" w:hAnsiTheme="minorHAnsi" w:cs="Times New Roman"/>
          <w:bCs/>
          <w:i/>
          <w:iCs/>
          <w:sz w:val="22"/>
          <w:szCs w:val="22"/>
          <w:lang w:val="fr-FR"/>
        </w:rPr>
      </w:pPr>
      <w:r w:rsidRPr="009D03C3">
        <w:rPr>
          <w:rFonts w:asciiTheme="minorHAnsi" w:hAnsiTheme="minorHAnsi" w:cs="Times New Roman"/>
          <w:bCs/>
          <w:i/>
          <w:iCs/>
          <w:sz w:val="22"/>
          <w:szCs w:val="22"/>
          <w:lang w:val="fr-FR"/>
        </w:rPr>
        <w:t>*Après la sortie de l'hôpital, il peut être approprié de continuer à utiliser l'ONS dans la plupart des cas.</w:t>
      </w:r>
    </w:p>
    <w:p w14:paraId="6A1CFA10" w14:textId="77777777" w:rsidR="009D03C3" w:rsidRDefault="009D03C3" w:rsidP="0087687F">
      <w:pPr>
        <w:pStyle w:val="HTMLncedenBiimlendirilmi"/>
        <w:shd w:val="clear" w:color="auto" w:fill="FFFFFF"/>
        <w:spacing w:line="360" w:lineRule="auto"/>
        <w:jc w:val="both"/>
        <w:rPr>
          <w:rFonts w:asciiTheme="minorHAnsi" w:hAnsiTheme="minorHAnsi" w:cs="Times New Roman"/>
          <w:bCs/>
          <w:i/>
          <w:iCs/>
          <w:sz w:val="22"/>
          <w:szCs w:val="22"/>
          <w:lang w:val="fr-FR"/>
        </w:rPr>
      </w:pPr>
    </w:p>
    <w:p w14:paraId="6109F160" w14:textId="77777777" w:rsidR="004613B7" w:rsidRPr="008A3D01" w:rsidRDefault="004613B7" w:rsidP="0087687F">
      <w:pPr>
        <w:spacing w:line="360" w:lineRule="auto"/>
        <w:contextualSpacing/>
        <w:jc w:val="both"/>
        <w:rPr>
          <w:rFonts w:asciiTheme="minorHAnsi" w:hAnsiTheme="minorHAnsi"/>
          <w:b/>
          <w:color w:val="212121"/>
          <w:sz w:val="22"/>
          <w:szCs w:val="22"/>
          <w:shd w:val="clear" w:color="auto" w:fill="FFFFFF"/>
          <w:lang w:val="fr-FR"/>
        </w:rPr>
      </w:pPr>
    </w:p>
    <w:p w14:paraId="3B6F5289" w14:textId="77777777" w:rsidR="009D03C3" w:rsidRDefault="0087687F" w:rsidP="0087687F">
      <w:pPr>
        <w:spacing w:line="360" w:lineRule="auto"/>
        <w:contextualSpacing/>
        <w:jc w:val="both"/>
        <w:rPr>
          <w:rFonts w:asciiTheme="minorHAnsi" w:hAnsiTheme="minorHAnsi"/>
          <w:b/>
          <w:color w:val="212121"/>
          <w:sz w:val="22"/>
          <w:szCs w:val="22"/>
          <w:shd w:val="clear" w:color="auto" w:fill="FFFFFF"/>
          <w:lang w:val="fr-FR"/>
        </w:rPr>
      </w:pPr>
      <w:r w:rsidRPr="008A3D01">
        <w:rPr>
          <w:rFonts w:asciiTheme="minorHAnsi" w:hAnsiTheme="minorHAnsi"/>
          <w:b/>
          <w:color w:val="212121"/>
          <w:sz w:val="22"/>
          <w:szCs w:val="22"/>
          <w:shd w:val="clear" w:color="auto" w:fill="FFFFFF"/>
          <w:lang w:val="fr-FR"/>
        </w:rPr>
        <w:t xml:space="preserve">I3. </w:t>
      </w:r>
      <w:r w:rsidR="009D03C3" w:rsidRPr="009D03C3">
        <w:rPr>
          <w:rFonts w:asciiTheme="minorHAnsi" w:hAnsiTheme="minorHAnsi"/>
          <w:b/>
          <w:color w:val="212121"/>
          <w:sz w:val="22"/>
          <w:szCs w:val="22"/>
          <w:shd w:val="clear" w:color="auto" w:fill="FFFFFF"/>
          <w:lang w:val="fr-FR"/>
        </w:rPr>
        <w:t>Il est approprié de commencer l'ONS en postopératoire (quel que soit l'état nutritionnel) chez les patients âgés présentant une fracture de la hanche (améliore la prise alimentaire et réduit le risque de complications)</w:t>
      </w:r>
      <w:r w:rsidR="009D03C3">
        <w:rPr>
          <w:rFonts w:asciiTheme="minorHAnsi" w:hAnsiTheme="minorHAnsi"/>
          <w:b/>
          <w:color w:val="212121"/>
          <w:sz w:val="22"/>
          <w:szCs w:val="22"/>
          <w:shd w:val="clear" w:color="auto" w:fill="FFFFFF"/>
          <w:lang w:val="fr-FR"/>
        </w:rPr>
        <w:t xml:space="preserve"> </w:t>
      </w:r>
    </w:p>
    <w:p w14:paraId="6D3F6781" w14:textId="77777777" w:rsidR="009D03C3" w:rsidRDefault="009D03C3" w:rsidP="0087687F">
      <w:pPr>
        <w:spacing w:line="360" w:lineRule="auto"/>
        <w:contextualSpacing/>
        <w:jc w:val="both"/>
        <w:rPr>
          <w:rFonts w:asciiTheme="minorHAnsi" w:hAnsiTheme="minorHAnsi"/>
          <w:bCs/>
          <w:i/>
          <w:color w:val="212121"/>
          <w:sz w:val="22"/>
          <w:szCs w:val="22"/>
          <w:shd w:val="clear" w:color="auto" w:fill="FFFFFF"/>
          <w:lang w:val="fr-FR"/>
        </w:rPr>
      </w:pPr>
      <w:r w:rsidRPr="009D03C3">
        <w:rPr>
          <w:rFonts w:asciiTheme="minorHAnsi" w:hAnsiTheme="minorHAnsi"/>
          <w:bCs/>
          <w:i/>
          <w:color w:val="212121"/>
          <w:sz w:val="22"/>
          <w:szCs w:val="22"/>
          <w:shd w:val="clear" w:color="auto" w:fill="FFFFFF"/>
          <w:lang w:val="fr-FR"/>
        </w:rPr>
        <w:t xml:space="preserve">*Il n'y a pas de recommandation spécifique ONS (standard ou hyperprotéiné). </w:t>
      </w:r>
    </w:p>
    <w:p w14:paraId="2EC99A2C" w14:textId="77777777" w:rsidR="009D03C3" w:rsidRDefault="009D03C3" w:rsidP="0087687F">
      <w:pPr>
        <w:spacing w:line="360" w:lineRule="auto"/>
        <w:contextualSpacing/>
        <w:jc w:val="both"/>
        <w:rPr>
          <w:rFonts w:asciiTheme="minorHAnsi" w:hAnsiTheme="minorHAnsi"/>
          <w:bCs/>
          <w:i/>
          <w:color w:val="212121"/>
          <w:sz w:val="22"/>
          <w:szCs w:val="22"/>
          <w:shd w:val="clear" w:color="auto" w:fill="FFFFFF"/>
          <w:lang w:val="fr-FR"/>
        </w:rPr>
      </w:pPr>
      <w:r w:rsidRPr="009D03C3">
        <w:rPr>
          <w:rFonts w:asciiTheme="minorHAnsi" w:hAnsiTheme="minorHAnsi"/>
          <w:bCs/>
          <w:i/>
          <w:color w:val="212121"/>
          <w:sz w:val="22"/>
          <w:szCs w:val="22"/>
          <w:shd w:val="clear" w:color="auto" w:fill="FFFFFF"/>
          <w:lang w:val="fr-FR"/>
        </w:rPr>
        <w:t xml:space="preserve">*Il peut être approprié de donner l'ONS pendant au moins 1 mois. Dans les études, l'ONS a été utilisé entre 1 et 6 mois après une fracture de la hanche. </w:t>
      </w:r>
    </w:p>
    <w:p w14:paraId="4E46E558" w14:textId="69EFF2EC" w:rsidR="009D03C3" w:rsidRDefault="009D03C3" w:rsidP="0087687F">
      <w:pPr>
        <w:spacing w:line="360" w:lineRule="auto"/>
        <w:contextualSpacing/>
        <w:jc w:val="both"/>
        <w:rPr>
          <w:rFonts w:asciiTheme="minorHAnsi" w:hAnsiTheme="minorHAnsi"/>
          <w:bCs/>
          <w:i/>
          <w:color w:val="212121"/>
          <w:sz w:val="22"/>
          <w:szCs w:val="22"/>
          <w:shd w:val="clear" w:color="auto" w:fill="FFFFFF"/>
          <w:lang w:val="fr-FR"/>
        </w:rPr>
      </w:pPr>
      <w:r w:rsidRPr="009D03C3">
        <w:rPr>
          <w:rFonts w:asciiTheme="minorHAnsi" w:hAnsiTheme="minorHAnsi"/>
          <w:bCs/>
          <w:i/>
          <w:color w:val="212121"/>
          <w:sz w:val="22"/>
          <w:szCs w:val="22"/>
          <w:shd w:val="clear" w:color="auto" w:fill="FFFFFF"/>
          <w:lang w:val="fr-FR"/>
        </w:rPr>
        <w:t xml:space="preserve">*Une </w:t>
      </w:r>
      <w:r>
        <w:rPr>
          <w:rFonts w:asciiTheme="minorHAnsi" w:hAnsiTheme="minorHAnsi"/>
          <w:bCs/>
          <w:i/>
          <w:color w:val="212121"/>
          <w:sz w:val="22"/>
          <w:szCs w:val="22"/>
          <w:shd w:val="clear" w:color="auto" w:fill="FFFFFF"/>
          <w:lang w:val="fr-FR"/>
        </w:rPr>
        <w:t>initiation</w:t>
      </w:r>
      <w:r w:rsidRPr="009D03C3">
        <w:rPr>
          <w:rFonts w:asciiTheme="minorHAnsi" w:hAnsiTheme="minorHAnsi"/>
          <w:bCs/>
          <w:i/>
          <w:color w:val="212121"/>
          <w:sz w:val="22"/>
          <w:szCs w:val="22"/>
          <w:shd w:val="clear" w:color="auto" w:fill="FFFFFF"/>
          <w:lang w:val="fr-FR"/>
        </w:rPr>
        <w:t xml:space="preserve"> préopératoire peut également être envisagée.</w:t>
      </w:r>
    </w:p>
    <w:p w14:paraId="74665482" w14:textId="77777777" w:rsidR="000A315F" w:rsidRPr="008A3D01" w:rsidRDefault="000A315F" w:rsidP="0087687F">
      <w:pPr>
        <w:pStyle w:val="HTMLncedenBiimlendirilmi"/>
        <w:spacing w:line="360" w:lineRule="auto"/>
        <w:jc w:val="both"/>
        <w:rPr>
          <w:rFonts w:asciiTheme="minorHAnsi" w:hAnsiTheme="minorHAnsi" w:cs="Times New Roman"/>
          <w:b/>
          <w:sz w:val="22"/>
          <w:szCs w:val="22"/>
          <w:lang w:val="fr-FR"/>
        </w:rPr>
      </w:pPr>
    </w:p>
    <w:p w14:paraId="14C4E6DB" w14:textId="0F30C1D7" w:rsidR="0087687F" w:rsidRPr="008A3D01" w:rsidRDefault="0087687F" w:rsidP="000A315F">
      <w:pPr>
        <w:pStyle w:val="HTMLncedenBiimlendirilmi"/>
        <w:spacing w:line="360" w:lineRule="auto"/>
        <w:rPr>
          <w:rFonts w:asciiTheme="minorHAnsi" w:hAnsiTheme="minorHAnsi" w:cs="Times New Roman"/>
          <w:b/>
          <w:sz w:val="22"/>
          <w:szCs w:val="22"/>
          <w:lang w:val="fr-FR"/>
        </w:rPr>
      </w:pPr>
      <w:r w:rsidRPr="008A3D01">
        <w:rPr>
          <w:rFonts w:asciiTheme="minorHAnsi" w:hAnsiTheme="minorHAnsi" w:cs="Times New Roman"/>
          <w:b/>
          <w:sz w:val="22"/>
          <w:szCs w:val="22"/>
          <w:lang w:val="fr-FR"/>
        </w:rPr>
        <w:t xml:space="preserve">I4. </w:t>
      </w:r>
      <w:r w:rsidR="009D03C3" w:rsidRPr="009D03C3">
        <w:rPr>
          <w:rFonts w:asciiTheme="minorHAnsi" w:hAnsiTheme="minorHAnsi" w:cs="Times New Roman"/>
          <w:b/>
          <w:sz w:val="22"/>
          <w:szCs w:val="22"/>
          <w:lang w:val="fr-FR"/>
        </w:rPr>
        <w:t>Afin d'assurer un apport protéique et énergétique adéquat chez les patients présentant des escarres, il est approprié de commencer l'ONS en ciblant 1,2-2 g/kg/jour de protéines et 30-35 kcal/kg/jour d'énergie.</w:t>
      </w:r>
    </w:p>
    <w:p w14:paraId="384FA848" w14:textId="77777777" w:rsidR="009D03C3" w:rsidRDefault="009D03C3" w:rsidP="00C414DB">
      <w:pPr>
        <w:spacing w:line="360" w:lineRule="auto"/>
        <w:contextualSpacing/>
        <w:mirrorIndents/>
        <w:jc w:val="both"/>
        <w:rPr>
          <w:rFonts w:asciiTheme="minorHAnsi" w:hAnsiTheme="minorHAnsi"/>
          <w:bCs/>
          <w:i/>
          <w:sz w:val="22"/>
          <w:szCs w:val="22"/>
          <w:lang w:val="fr-FR"/>
        </w:rPr>
      </w:pPr>
      <w:r w:rsidRPr="009D03C3">
        <w:rPr>
          <w:rFonts w:asciiTheme="minorHAnsi" w:hAnsiTheme="minorHAnsi"/>
          <w:bCs/>
          <w:i/>
          <w:sz w:val="22"/>
          <w:szCs w:val="22"/>
          <w:lang w:val="fr-FR"/>
        </w:rPr>
        <w:t xml:space="preserve">*Chez les patients malnutris atteints d'escarres, l'utilisation d'ONS à haute teneur en protéines et en énergie enrichie en arginine, zinc et antioxydants peut être plus bénéfique. </w:t>
      </w:r>
    </w:p>
    <w:p w14:paraId="45EB3A3D" w14:textId="7C5086C8" w:rsidR="009D03C3" w:rsidRPr="009D03C3" w:rsidRDefault="009D03C3" w:rsidP="00C414DB">
      <w:pPr>
        <w:spacing w:line="360" w:lineRule="auto"/>
        <w:contextualSpacing/>
        <w:mirrorIndents/>
        <w:jc w:val="both"/>
        <w:rPr>
          <w:rFonts w:asciiTheme="minorHAnsi" w:hAnsiTheme="minorHAnsi"/>
          <w:bCs/>
          <w:i/>
          <w:sz w:val="22"/>
          <w:szCs w:val="22"/>
          <w:lang w:val="fr-FR"/>
        </w:rPr>
      </w:pPr>
      <w:r w:rsidRPr="009D03C3">
        <w:rPr>
          <w:rFonts w:asciiTheme="minorHAnsi" w:hAnsiTheme="minorHAnsi"/>
          <w:bCs/>
          <w:i/>
          <w:sz w:val="22"/>
          <w:szCs w:val="22"/>
          <w:lang w:val="fr-FR"/>
        </w:rPr>
        <w:t>*L'ajout d'arginine, de glutamine et de HMB aux produits nutritionnels peut avoir des résultats positifs chez les patients souffrant d'escarres.</w:t>
      </w:r>
    </w:p>
    <w:p w14:paraId="0DBBE518" w14:textId="7F5BDD38" w:rsidR="009D03C3" w:rsidRDefault="009D03C3" w:rsidP="00C414DB">
      <w:pPr>
        <w:spacing w:line="360" w:lineRule="auto"/>
        <w:contextualSpacing/>
        <w:mirrorIndents/>
        <w:jc w:val="both"/>
        <w:rPr>
          <w:rFonts w:asciiTheme="minorHAnsi" w:hAnsiTheme="minorHAnsi"/>
          <w:bCs/>
          <w:sz w:val="22"/>
          <w:szCs w:val="22"/>
          <w:lang w:val="fr-FR"/>
        </w:rPr>
      </w:pPr>
    </w:p>
    <w:p w14:paraId="0242A083" w14:textId="77777777" w:rsidR="005052B6" w:rsidRDefault="005052B6" w:rsidP="00C414DB">
      <w:pPr>
        <w:spacing w:line="360" w:lineRule="auto"/>
        <w:contextualSpacing/>
        <w:mirrorIndents/>
        <w:jc w:val="both"/>
        <w:rPr>
          <w:rFonts w:asciiTheme="minorHAnsi" w:hAnsiTheme="minorHAnsi"/>
          <w:bCs/>
          <w:sz w:val="22"/>
          <w:szCs w:val="22"/>
          <w:lang w:val="fr-FR"/>
        </w:rPr>
      </w:pPr>
    </w:p>
    <w:p w14:paraId="68BF3157" w14:textId="77777777" w:rsidR="00E62E1F" w:rsidRPr="008A3D01" w:rsidRDefault="00E62E1F">
      <w:pPr>
        <w:rPr>
          <w:lang w:val="fr-FR"/>
        </w:rPr>
      </w:pPr>
    </w:p>
    <w:p w14:paraId="30574E8F" w14:textId="77777777" w:rsidR="005052B6" w:rsidRPr="005052B6" w:rsidRDefault="005052B6" w:rsidP="007A6515">
      <w:pPr>
        <w:contextualSpacing/>
        <w:jc w:val="both"/>
        <w:rPr>
          <w:rFonts w:asciiTheme="minorHAnsi" w:hAnsiTheme="minorHAnsi" w:cstheme="minorHAnsi"/>
          <w:b/>
          <w:bCs/>
          <w:lang w:val="fr-FR"/>
        </w:rPr>
      </w:pPr>
      <w:r w:rsidRPr="005052B6">
        <w:rPr>
          <w:rFonts w:asciiTheme="minorHAnsi" w:hAnsiTheme="minorHAnsi" w:cstheme="minorHAnsi"/>
          <w:b/>
          <w:bCs/>
          <w:lang w:val="fr-FR"/>
        </w:rPr>
        <w:t xml:space="preserve">Abréviations : </w:t>
      </w:r>
    </w:p>
    <w:p w14:paraId="23F591FA"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IECA : inhibiteurs de l'enzyme de conversion de l'angiotensine </w:t>
      </w:r>
    </w:p>
    <w:p w14:paraId="28043248"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ARA : bloqueurs des récepteurs de l'angiotensine </w:t>
      </w:r>
    </w:p>
    <w:p w14:paraId="41D27F20"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BTM : marqueurs de remodelage osseux </w:t>
      </w:r>
    </w:p>
    <w:p w14:paraId="67FCB8A8"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ChEI : inhibiteurs de l'acétylcholinestérase </w:t>
      </w:r>
    </w:p>
    <w:p w14:paraId="211800CD"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COMT : Catéchol-O-méthyltransférase </w:t>
      </w:r>
    </w:p>
    <w:p w14:paraId="248AE315"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FE : Fraction d'éjection </w:t>
      </w:r>
    </w:p>
    <w:p w14:paraId="650486F0"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eGFR : taux de filtration glomérulaire estimé </w:t>
      </w:r>
    </w:p>
    <w:p w14:paraId="61E8408D"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FDA : Administration des aliments et des médicaments </w:t>
      </w:r>
    </w:p>
    <w:p w14:paraId="19E193DD"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FEV1 : Volume expiratoire forcé </w:t>
      </w:r>
    </w:p>
    <w:p w14:paraId="5375001C"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SIG : Système gastro-intestinal </w:t>
      </w:r>
    </w:p>
    <w:p w14:paraId="62450558"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IPSS : score international des symptômes de la prostate </w:t>
      </w:r>
    </w:p>
    <w:p w14:paraId="2A153AA6"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BPCO : maladie pulmonaire obstructive chronique </w:t>
      </w:r>
    </w:p>
    <w:p w14:paraId="091CAFF3"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DMO : Densité minérale osseuse </w:t>
      </w:r>
    </w:p>
    <w:p w14:paraId="2F1B4A5A"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TUBA : symptômes des voies urinaires inférieures </w:t>
      </w:r>
    </w:p>
    <w:p w14:paraId="31F64EEE"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MAO-B : Monoamine oxydase-B </w:t>
      </w:r>
    </w:p>
    <w:p w14:paraId="704CF00B"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IM : infarctus du myocarde </w:t>
      </w:r>
    </w:p>
    <w:p w14:paraId="231F513F"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MN : malnutrition </w:t>
      </w:r>
    </w:p>
    <w:p w14:paraId="5E377F11" w14:textId="6983B849" w:rsidR="005052B6" w:rsidRDefault="005052B6" w:rsidP="007A6515">
      <w:pPr>
        <w:contextualSpacing/>
        <w:jc w:val="both"/>
        <w:rPr>
          <w:rFonts w:asciiTheme="minorHAnsi" w:hAnsiTheme="minorHAnsi" w:cstheme="minorHAnsi"/>
          <w:bCs/>
          <w:lang w:val="fr-FR"/>
        </w:rPr>
      </w:pPr>
      <w:r>
        <w:rPr>
          <w:rFonts w:asciiTheme="minorHAnsi" w:hAnsiTheme="minorHAnsi" w:cstheme="minorHAnsi"/>
          <w:bCs/>
          <w:lang w:val="fr-FR"/>
        </w:rPr>
        <w:t>MNR</w:t>
      </w:r>
      <w:r w:rsidRPr="005052B6">
        <w:rPr>
          <w:rFonts w:asciiTheme="minorHAnsi" w:hAnsiTheme="minorHAnsi" w:cstheme="minorHAnsi"/>
          <w:bCs/>
          <w:lang w:val="fr-FR"/>
        </w:rPr>
        <w:t xml:space="preserve"> : Risque de malnutrition </w:t>
      </w:r>
    </w:p>
    <w:p w14:paraId="6D4D028B"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AINS : anti-inflammatoires non stéroïdiens </w:t>
      </w:r>
    </w:p>
    <w:p w14:paraId="242DEE1F"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OAC : Anticoagulant oral </w:t>
      </w:r>
    </w:p>
    <w:p w14:paraId="685A02AA"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ONS : Complément nutritionnel oral </w:t>
      </w:r>
    </w:p>
    <w:p w14:paraId="0A6D4267"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VRZ : vaccin recombinant contre le zona </w:t>
      </w:r>
    </w:p>
    <w:p w14:paraId="3801F9DB"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SaO2 : saturation en oxygène </w:t>
      </w:r>
    </w:p>
    <w:p w14:paraId="782612D6"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IRSN : inhibiteurs de la recapture de la sérotonine et de la noradrénaline </w:t>
      </w:r>
    </w:p>
    <w:p w14:paraId="0705AA1D" w14:textId="77777777" w:rsidR="005052B6"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 xml:space="preserve">ISRS : inhibiteurs sélectifs de la recapture de la sérotonine </w:t>
      </w:r>
    </w:p>
    <w:p w14:paraId="62396F83" w14:textId="67AD864A" w:rsidR="007A6515" w:rsidRPr="008A3D01" w:rsidRDefault="005052B6" w:rsidP="007A6515">
      <w:pPr>
        <w:contextualSpacing/>
        <w:jc w:val="both"/>
        <w:rPr>
          <w:rFonts w:asciiTheme="minorHAnsi" w:hAnsiTheme="minorHAnsi" w:cstheme="minorHAnsi"/>
          <w:bCs/>
          <w:lang w:val="fr-FR"/>
        </w:rPr>
      </w:pPr>
      <w:r w:rsidRPr="005052B6">
        <w:rPr>
          <w:rFonts w:asciiTheme="minorHAnsi" w:hAnsiTheme="minorHAnsi" w:cstheme="minorHAnsi"/>
          <w:bCs/>
          <w:lang w:val="fr-FR"/>
        </w:rPr>
        <w:t>TdaP : tétanos, diphtérie et coqueluche acellulaire ZVL : vaccin vivant contre le zona</w:t>
      </w:r>
    </w:p>
    <w:p w14:paraId="22FCF82E" w14:textId="77777777" w:rsidR="007A6515" w:rsidRPr="008A3D01" w:rsidRDefault="007A6515" w:rsidP="007A6515">
      <w:pPr>
        <w:contextualSpacing/>
        <w:jc w:val="both"/>
        <w:rPr>
          <w:rFonts w:asciiTheme="minorHAnsi" w:hAnsiTheme="minorHAnsi" w:cstheme="minorHAnsi"/>
          <w:bCs/>
          <w:lang w:val="fr-FR"/>
        </w:rPr>
      </w:pPr>
    </w:p>
    <w:p w14:paraId="229D77E1" w14:textId="1C38BD7E" w:rsidR="007A6515" w:rsidRDefault="007A6515" w:rsidP="007A6515">
      <w:pPr>
        <w:contextualSpacing/>
        <w:jc w:val="both"/>
        <w:rPr>
          <w:rFonts w:asciiTheme="minorHAnsi" w:hAnsiTheme="minorHAnsi" w:cstheme="minorHAnsi"/>
          <w:bCs/>
          <w:lang w:val="fr-FR"/>
        </w:rPr>
      </w:pPr>
    </w:p>
    <w:p w14:paraId="47CA521B" w14:textId="37BCACA7" w:rsidR="009D03C3" w:rsidRDefault="009D03C3" w:rsidP="007A6515">
      <w:pPr>
        <w:contextualSpacing/>
        <w:jc w:val="both"/>
        <w:rPr>
          <w:rFonts w:asciiTheme="minorHAnsi" w:hAnsiTheme="minorHAnsi" w:cstheme="minorHAnsi"/>
          <w:bCs/>
          <w:lang w:val="fr-FR"/>
        </w:rPr>
      </w:pPr>
    </w:p>
    <w:p w14:paraId="58D0B785" w14:textId="77777777" w:rsidR="005052B6" w:rsidRDefault="005052B6" w:rsidP="0050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000000"/>
          <w:shd w:val="clear" w:color="auto" w:fill="FFFFFF"/>
          <w:lang w:val="fr-FR"/>
        </w:rPr>
      </w:pPr>
      <w:r w:rsidRPr="00E21AE0">
        <w:rPr>
          <w:rFonts w:asciiTheme="minorHAnsi" w:hAnsiTheme="minorHAnsi" w:cstheme="minorHAnsi"/>
          <w:bCs/>
          <w:lang w:val="fr-FR"/>
        </w:rPr>
        <w:t>#</w:t>
      </w:r>
      <w:r w:rsidRPr="00720475">
        <w:rPr>
          <w:rFonts w:asciiTheme="minorHAnsi" w:hAnsiTheme="minorHAnsi" w:cstheme="minorHAnsi"/>
          <w:bCs/>
          <w:color w:val="000000"/>
          <w:shd w:val="clear" w:color="auto" w:fill="FFFFFF"/>
          <w:lang w:val="fr-FR"/>
        </w:rPr>
        <w:t xml:space="preserve">Critères </w:t>
      </w:r>
      <w:r>
        <w:rPr>
          <w:rFonts w:asciiTheme="minorHAnsi" w:hAnsiTheme="minorHAnsi" w:cstheme="minorHAnsi"/>
          <w:bCs/>
          <w:color w:val="000000"/>
          <w:shd w:val="clear" w:color="auto" w:fill="FFFFFF"/>
          <w:lang w:val="fr-FR"/>
        </w:rPr>
        <w:t>sur lesquels il n’y a pas eu</w:t>
      </w:r>
      <w:r w:rsidRPr="00720475">
        <w:rPr>
          <w:rFonts w:asciiTheme="minorHAnsi" w:hAnsiTheme="minorHAnsi" w:cstheme="minorHAnsi"/>
          <w:bCs/>
          <w:color w:val="000000"/>
          <w:shd w:val="clear" w:color="auto" w:fill="FFFFFF"/>
          <w:lang w:val="fr-FR"/>
        </w:rPr>
        <w:t xml:space="preserve"> consensus </w:t>
      </w:r>
      <w:r>
        <w:rPr>
          <w:rFonts w:asciiTheme="minorHAnsi" w:hAnsiTheme="minorHAnsi" w:cstheme="minorHAnsi"/>
          <w:bCs/>
          <w:color w:val="000000"/>
          <w:shd w:val="clear" w:color="auto" w:fill="FFFFFF"/>
          <w:lang w:val="fr-FR"/>
        </w:rPr>
        <w:t>au cours</w:t>
      </w:r>
      <w:r w:rsidRPr="00720475">
        <w:rPr>
          <w:rFonts w:asciiTheme="minorHAnsi" w:hAnsiTheme="minorHAnsi" w:cstheme="minorHAnsi"/>
          <w:bCs/>
          <w:color w:val="000000"/>
          <w:shd w:val="clear" w:color="auto" w:fill="FFFFFF"/>
          <w:lang w:val="fr-FR"/>
        </w:rPr>
        <w:t xml:space="preserve"> du panel </w:t>
      </w:r>
      <w:r>
        <w:rPr>
          <w:rFonts w:asciiTheme="minorHAnsi" w:hAnsiTheme="minorHAnsi" w:cstheme="minorHAnsi"/>
          <w:bCs/>
          <w:color w:val="000000"/>
          <w:shd w:val="clear" w:color="auto" w:fill="FFFFFF"/>
          <w:lang w:val="fr-FR"/>
        </w:rPr>
        <w:t xml:space="preserve">international </w:t>
      </w:r>
      <w:r w:rsidRPr="00720475">
        <w:rPr>
          <w:rFonts w:asciiTheme="minorHAnsi" w:hAnsiTheme="minorHAnsi" w:cstheme="minorHAnsi"/>
          <w:bCs/>
          <w:color w:val="000000"/>
          <w:shd w:val="clear" w:color="auto" w:fill="FFFFFF"/>
          <w:lang w:val="fr-FR"/>
        </w:rPr>
        <w:t>Delphi</w:t>
      </w:r>
    </w:p>
    <w:p w14:paraId="1EAAAE49" w14:textId="77777777" w:rsidR="009D03C3" w:rsidRPr="008A3D01" w:rsidRDefault="009D03C3" w:rsidP="005052B6">
      <w:pPr>
        <w:contextualSpacing/>
        <w:jc w:val="both"/>
        <w:rPr>
          <w:rFonts w:asciiTheme="minorHAnsi" w:hAnsiTheme="minorHAnsi" w:cstheme="minorHAnsi"/>
          <w:bCs/>
          <w:lang w:val="fr-FR"/>
        </w:rPr>
      </w:pPr>
    </w:p>
    <w:sectPr w:rsidR="009D03C3" w:rsidRPr="008A3D01" w:rsidSect="00686DA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F4B0" w14:textId="77777777" w:rsidR="00694685" w:rsidRDefault="00694685" w:rsidP="00504EA8">
      <w:r>
        <w:separator/>
      </w:r>
    </w:p>
  </w:endnote>
  <w:endnote w:type="continuationSeparator" w:id="0">
    <w:p w14:paraId="6A47C369" w14:textId="77777777" w:rsidR="00694685" w:rsidRDefault="00694685" w:rsidP="0050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Times New Roman"/>
    <w:charset w:val="00"/>
    <w:family w:val="auto"/>
    <w:pitch w:val="variable"/>
    <w:sig w:usb0="E50002FF" w:usb1="500079DB" w:usb2="0000001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4B01" w14:textId="77777777" w:rsidR="00694685" w:rsidRDefault="00694685" w:rsidP="00504EA8">
      <w:r>
        <w:separator/>
      </w:r>
    </w:p>
  </w:footnote>
  <w:footnote w:type="continuationSeparator" w:id="0">
    <w:p w14:paraId="5F3DD475" w14:textId="77777777" w:rsidR="00694685" w:rsidRDefault="00694685" w:rsidP="00504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F"/>
    <w:rsid w:val="00042E8F"/>
    <w:rsid w:val="00083447"/>
    <w:rsid w:val="000A315F"/>
    <w:rsid w:val="001A5946"/>
    <w:rsid w:val="0021098E"/>
    <w:rsid w:val="00220470"/>
    <w:rsid w:val="00271D01"/>
    <w:rsid w:val="002D1D53"/>
    <w:rsid w:val="003212D6"/>
    <w:rsid w:val="00381C12"/>
    <w:rsid w:val="003C46C7"/>
    <w:rsid w:val="003E5EA3"/>
    <w:rsid w:val="004613B7"/>
    <w:rsid w:val="00504EA8"/>
    <w:rsid w:val="005052B6"/>
    <w:rsid w:val="005130B0"/>
    <w:rsid w:val="00563168"/>
    <w:rsid w:val="00580A4F"/>
    <w:rsid w:val="005856FA"/>
    <w:rsid w:val="006318EC"/>
    <w:rsid w:val="0063366A"/>
    <w:rsid w:val="00686DAC"/>
    <w:rsid w:val="00694685"/>
    <w:rsid w:val="006946BB"/>
    <w:rsid w:val="006A4946"/>
    <w:rsid w:val="007109B3"/>
    <w:rsid w:val="00787C15"/>
    <w:rsid w:val="007A6515"/>
    <w:rsid w:val="00851AFB"/>
    <w:rsid w:val="008765EF"/>
    <w:rsid w:val="0087687F"/>
    <w:rsid w:val="008874FC"/>
    <w:rsid w:val="008A3D01"/>
    <w:rsid w:val="008A4F48"/>
    <w:rsid w:val="0096528C"/>
    <w:rsid w:val="00967E82"/>
    <w:rsid w:val="009B6E20"/>
    <w:rsid w:val="009D03C3"/>
    <w:rsid w:val="009D2636"/>
    <w:rsid w:val="009D3E08"/>
    <w:rsid w:val="009E5E56"/>
    <w:rsid w:val="00A07525"/>
    <w:rsid w:val="00A64DD3"/>
    <w:rsid w:val="00A67324"/>
    <w:rsid w:val="00AE7765"/>
    <w:rsid w:val="00AF4C98"/>
    <w:rsid w:val="00AF66B5"/>
    <w:rsid w:val="00B35A74"/>
    <w:rsid w:val="00B4173A"/>
    <w:rsid w:val="00C2743D"/>
    <w:rsid w:val="00C414DB"/>
    <w:rsid w:val="00CB650A"/>
    <w:rsid w:val="00CF34E0"/>
    <w:rsid w:val="00D175F8"/>
    <w:rsid w:val="00D230D8"/>
    <w:rsid w:val="00D23A56"/>
    <w:rsid w:val="00D43402"/>
    <w:rsid w:val="00D47AD0"/>
    <w:rsid w:val="00D75F55"/>
    <w:rsid w:val="00DC669A"/>
    <w:rsid w:val="00DD6238"/>
    <w:rsid w:val="00DF6CCD"/>
    <w:rsid w:val="00E62E1F"/>
    <w:rsid w:val="00E6620A"/>
    <w:rsid w:val="00E72F78"/>
    <w:rsid w:val="00E85B98"/>
    <w:rsid w:val="00E9431A"/>
    <w:rsid w:val="00F33FC1"/>
    <w:rsid w:val="00FB6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7A2C"/>
  <w15:chartTrackingRefBased/>
  <w15:docId w15:val="{41F8D6EC-50C9-4F4C-B13F-7311877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7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87687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87687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87687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Balk4">
    <w:name w:val="heading 4"/>
    <w:basedOn w:val="Normal"/>
    <w:next w:val="Normal"/>
    <w:link w:val="Balk4Char"/>
    <w:uiPriority w:val="9"/>
    <w:unhideWhenUsed/>
    <w:qFormat/>
    <w:rsid w:val="0087687F"/>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687F"/>
    <w:rPr>
      <w:rFonts w:asciiTheme="majorHAnsi" w:eastAsiaTheme="majorEastAsia" w:hAnsiTheme="majorHAnsi" w:cstheme="majorBidi"/>
      <w:b/>
      <w:bCs/>
      <w:color w:val="2F5496" w:themeColor="accent1" w:themeShade="BF"/>
      <w:sz w:val="28"/>
      <w:szCs w:val="28"/>
      <w:lang w:eastAsia="tr-TR"/>
    </w:rPr>
  </w:style>
  <w:style w:type="character" w:customStyle="1" w:styleId="Balk2Char">
    <w:name w:val="Başlık 2 Char"/>
    <w:basedOn w:val="VarsaylanParagrafYazTipi"/>
    <w:link w:val="Balk2"/>
    <w:uiPriority w:val="9"/>
    <w:rsid w:val="0087687F"/>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87687F"/>
    <w:rPr>
      <w:rFonts w:asciiTheme="majorHAnsi" w:eastAsiaTheme="majorEastAsia" w:hAnsiTheme="majorHAnsi" w:cstheme="majorBidi"/>
      <w:b/>
      <w:bCs/>
      <w:color w:val="4472C4" w:themeColor="accent1"/>
      <w:sz w:val="22"/>
      <w:szCs w:val="22"/>
      <w:lang w:eastAsia="tr-TR"/>
    </w:rPr>
  </w:style>
  <w:style w:type="character" w:customStyle="1" w:styleId="Balk4Char">
    <w:name w:val="Başlık 4 Char"/>
    <w:basedOn w:val="VarsaylanParagrafYazTipi"/>
    <w:link w:val="Balk4"/>
    <w:uiPriority w:val="9"/>
    <w:rsid w:val="0087687F"/>
    <w:rPr>
      <w:rFonts w:asciiTheme="majorHAnsi" w:eastAsiaTheme="majorEastAsia" w:hAnsiTheme="majorHAnsi" w:cstheme="majorBidi"/>
      <w:i/>
      <w:iCs/>
      <w:color w:val="2F5496" w:themeColor="accent1" w:themeShade="BF"/>
      <w:sz w:val="22"/>
      <w:szCs w:val="22"/>
      <w:lang w:eastAsia="tr-TR"/>
    </w:rPr>
  </w:style>
  <w:style w:type="paragraph" w:styleId="ListeParagraf">
    <w:name w:val="List Paragraph"/>
    <w:basedOn w:val="Normal"/>
    <w:uiPriority w:val="34"/>
    <w:qFormat/>
    <w:rsid w:val="0087687F"/>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7687F"/>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87687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87687F"/>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87687F"/>
    <w:pPr>
      <w:spacing w:before="100" w:beforeAutospacing="1" w:after="100" w:afterAutospacing="1"/>
    </w:pPr>
  </w:style>
  <w:style w:type="character" w:customStyle="1" w:styleId="h1">
    <w:name w:val="h1"/>
    <w:basedOn w:val="VarsaylanParagrafYazTipi"/>
    <w:rsid w:val="0087687F"/>
  </w:style>
  <w:style w:type="character" w:customStyle="1" w:styleId="headingendmark">
    <w:name w:val="headingendmark"/>
    <w:basedOn w:val="VarsaylanParagrafYazTipi"/>
    <w:rsid w:val="0087687F"/>
  </w:style>
  <w:style w:type="character" w:styleId="Kpr">
    <w:name w:val="Hyperlink"/>
    <w:basedOn w:val="VarsaylanParagrafYazTipi"/>
    <w:uiPriority w:val="99"/>
    <w:unhideWhenUsed/>
    <w:rsid w:val="0087687F"/>
    <w:rPr>
      <w:color w:val="0000FF"/>
      <w:u w:val="single"/>
    </w:rPr>
  </w:style>
  <w:style w:type="paragraph" w:customStyle="1" w:styleId="bulletndent1">
    <w:name w:val="bulletındent1"/>
    <w:basedOn w:val="Normal"/>
    <w:rsid w:val="0087687F"/>
    <w:pPr>
      <w:spacing w:before="100" w:beforeAutospacing="1" w:after="100" w:afterAutospacing="1"/>
    </w:pPr>
  </w:style>
  <w:style w:type="character" w:customStyle="1" w:styleId="glyph">
    <w:name w:val="glyph"/>
    <w:basedOn w:val="VarsaylanParagrafYazTipi"/>
    <w:rsid w:val="0087687F"/>
  </w:style>
  <w:style w:type="character" w:styleId="Vurgu">
    <w:name w:val="Emphasis"/>
    <w:basedOn w:val="VarsaylanParagrafYazTipi"/>
    <w:uiPriority w:val="20"/>
    <w:qFormat/>
    <w:rsid w:val="0087687F"/>
    <w:rPr>
      <w:i/>
      <w:iCs/>
    </w:rPr>
  </w:style>
  <w:style w:type="character" w:customStyle="1" w:styleId="apple-converted-space">
    <w:name w:val="apple-converted-space"/>
    <w:basedOn w:val="VarsaylanParagrafYazTipi"/>
    <w:rsid w:val="0087687F"/>
  </w:style>
  <w:style w:type="character" w:styleId="zlenenKpr">
    <w:name w:val="FollowedHyperlink"/>
    <w:basedOn w:val="VarsaylanParagrafYazTipi"/>
    <w:uiPriority w:val="99"/>
    <w:semiHidden/>
    <w:unhideWhenUsed/>
    <w:rsid w:val="0087687F"/>
    <w:rPr>
      <w:color w:val="954F72" w:themeColor="followedHyperlink"/>
      <w:u w:val="single"/>
    </w:rPr>
  </w:style>
  <w:style w:type="character" w:customStyle="1" w:styleId="nowrap">
    <w:name w:val="nowrap"/>
    <w:basedOn w:val="VarsaylanParagrafYazTipi"/>
    <w:rsid w:val="0087687F"/>
  </w:style>
  <w:style w:type="paragraph" w:customStyle="1" w:styleId="headinganchor">
    <w:name w:val="headinganchor"/>
    <w:basedOn w:val="Normal"/>
    <w:rsid w:val="0087687F"/>
    <w:pPr>
      <w:spacing w:before="100" w:beforeAutospacing="1" w:after="100" w:afterAutospacing="1"/>
    </w:pPr>
  </w:style>
  <w:style w:type="character" w:styleId="Gl">
    <w:name w:val="Strong"/>
    <w:basedOn w:val="VarsaylanParagrafYazTipi"/>
    <w:uiPriority w:val="22"/>
    <w:qFormat/>
    <w:rsid w:val="0087687F"/>
    <w:rPr>
      <w:b/>
      <w:bCs/>
    </w:rPr>
  </w:style>
  <w:style w:type="character" w:customStyle="1" w:styleId="highlighted">
    <w:name w:val="highlighted"/>
    <w:basedOn w:val="VarsaylanParagrafYazTipi"/>
    <w:rsid w:val="0087687F"/>
  </w:style>
  <w:style w:type="character" w:customStyle="1" w:styleId="h2">
    <w:name w:val="h2"/>
    <w:basedOn w:val="VarsaylanParagrafYazTipi"/>
    <w:rsid w:val="0087687F"/>
  </w:style>
  <w:style w:type="paragraph" w:customStyle="1" w:styleId="svarticle">
    <w:name w:val="svarticle"/>
    <w:basedOn w:val="Normal"/>
    <w:rsid w:val="0087687F"/>
    <w:pPr>
      <w:spacing w:before="100" w:beforeAutospacing="1" w:after="100" w:afterAutospacing="1"/>
    </w:pPr>
  </w:style>
  <w:style w:type="character" w:customStyle="1" w:styleId="highlight">
    <w:name w:val="highlight"/>
    <w:basedOn w:val="VarsaylanParagrafYazTipi"/>
    <w:rsid w:val="0087687F"/>
  </w:style>
  <w:style w:type="paragraph" w:customStyle="1" w:styleId="paragraph">
    <w:name w:val="paragraph"/>
    <w:basedOn w:val="Normal"/>
    <w:rsid w:val="0087687F"/>
    <w:pPr>
      <w:spacing w:before="100" w:beforeAutospacing="1" w:after="100" w:afterAutospacing="1"/>
    </w:pPr>
  </w:style>
  <w:style w:type="character" w:customStyle="1" w:styleId="normaltextrun">
    <w:name w:val="normaltextrun"/>
    <w:basedOn w:val="VarsaylanParagrafYazTipi"/>
    <w:rsid w:val="0087687F"/>
  </w:style>
  <w:style w:type="character" w:customStyle="1" w:styleId="spellingerror">
    <w:name w:val="spellingerror"/>
    <w:basedOn w:val="VarsaylanParagrafYazTipi"/>
    <w:rsid w:val="0087687F"/>
  </w:style>
  <w:style w:type="character" w:customStyle="1" w:styleId="eop">
    <w:name w:val="eop"/>
    <w:basedOn w:val="VarsaylanParagrafYazTipi"/>
    <w:rsid w:val="0087687F"/>
  </w:style>
  <w:style w:type="character" w:styleId="AklamaBavurusu">
    <w:name w:val="annotation reference"/>
    <w:basedOn w:val="VarsaylanParagrafYazTipi"/>
    <w:uiPriority w:val="99"/>
    <w:semiHidden/>
    <w:unhideWhenUsed/>
    <w:rsid w:val="0087687F"/>
    <w:rPr>
      <w:sz w:val="16"/>
      <w:szCs w:val="16"/>
    </w:rPr>
  </w:style>
  <w:style w:type="paragraph" w:styleId="AklamaMetni">
    <w:name w:val="annotation text"/>
    <w:basedOn w:val="Normal"/>
    <w:link w:val="AklamaMetniChar"/>
    <w:uiPriority w:val="99"/>
    <w:unhideWhenUsed/>
    <w:rsid w:val="0087687F"/>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87687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87687F"/>
    <w:rPr>
      <w:b/>
      <w:bCs/>
    </w:rPr>
  </w:style>
  <w:style w:type="character" w:customStyle="1" w:styleId="AklamaKonusuChar">
    <w:name w:val="Açıklama Konusu Char"/>
    <w:basedOn w:val="AklamaMetniChar"/>
    <w:link w:val="AklamaKonusu"/>
    <w:uiPriority w:val="99"/>
    <w:semiHidden/>
    <w:rsid w:val="0087687F"/>
    <w:rPr>
      <w:rFonts w:eastAsiaTheme="minorEastAsia"/>
      <w:b/>
      <w:bCs/>
      <w:sz w:val="20"/>
      <w:szCs w:val="20"/>
      <w:lang w:eastAsia="tr-TR"/>
    </w:rPr>
  </w:style>
  <w:style w:type="paragraph" w:styleId="BalonMetni">
    <w:name w:val="Balloon Text"/>
    <w:basedOn w:val="Normal"/>
    <w:link w:val="BalonMetniChar"/>
    <w:uiPriority w:val="99"/>
    <w:semiHidden/>
    <w:unhideWhenUsed/>
    <w:rsid w:val="0087687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87687F"/>
    <w:rPr>
      <w:rFonts w:ascii="Tahoma" w:eastAsiaTheme="minorEastAsia" w:hAnsi="Tahoma" w:cs="Tahoma"/>
      <w:sz w:val="16"/>
      <w:szCs w:val="16"/>
      <w:lang w:eastAsia="tr-TR"/>
    </w:rPr>
  </w:style>
  <w:style w:type="character" w:customStyle="1" w:styleId="medcalcfontcctab">
    <w:name w:val="medcalcfontcctab"/>
    <w:basedOn w:val="VarsaylanParagrafYazTipi"/>
    <w:rsid w:val="0087687F"/>
  </w:style>
  <w:style w:type="paragraph" w:customStyle="1" w:styleId="bulletindent1">
    <w:name w:val="bulletindent1"/>
    <w:basedOn w:val="Normal"/>
    <w:rsid w:val="0087687F"/>
    <w:pPr>
      <w:spacing w:before="100" w:beforeAutospacing="1" w:after="100" w:afterAutospacing="1"/>
    </w:pPr>
  </w:style>
  <w:style w:type="character" w:customStyle="1" w:styleId="cit">
    <w:name w:val="cit"/>
    <w:basedOn w:val="VarsaylanParagrafYazTipi"/>
    <w:rsid w:val="0087687F"/>
  </w:style>
  <w:style w:type="character" w:customStyle="1" w:styleId="fm-vol-iss-date">
    <w:name w:val="fm-vol-iss-date"/>
    <w:basedOn w:val="VarsaylanParagrafYazTipi"/>
    <w:rsid w:val="0087687F"/>
  </w:style>
  <w:style w:type="character" w:customStyle="1" w:styleId="doi">
    <w:name w:val="doi"/>
    <w:basedOn w:val="VarsaylanParagrafYazTipi"/>
    <w:rsid w:val="0087687F"/>
  </w:style>
  <w:style w:type="character" w:customStyle="1" w:styleId="fm-citation-ids-label">
    <w:name w:val="fm-citation-ids-label"/>
    <w:basedOn w:val="VarsaylanParagrafYazTipi"/>
    <w:rsid w:val="0087687F"/>
  </w:style>
  <w:style w:type="character" w:customStyle="1" w:styleId="title-text">
    <w:name w:val="title-text"/>
    <w:basedOn w:val="VarsaylanParagrafYazTipi"/>
    <w:rsid w:val="0087687F"/>
  </w:style>
  <w:style w:type="character" w:customStyle="1" w:styleId="published-date">
    <w:name w:val="published-date"/>
    <w:basedOn w:val="VarsaylanParagrafYazTipi"/>
    <w:rsid w:val="0087687F"/>
  </w:style>
  <w:style w:type="character" w:customStyle="1" w:styleId="subhead-sans">
    <w:name w:val="subhead-sans"/>
    <w:basedOn w:val="VarsaylanParagrafYazTipi"/>
    <w:rsid w:val="0087687F"/>
  </w:style>
  <w:style w:type="character" w:customStyle="1" w:styleId="zmlenmeyenBahsetme1">
    <w:name w:val="Çözümlenmeyen Bahsetme1"/>
    <w:basedOn w:val="VarsaylanParagrafYazTipi"/>
    <w:uiPriority w:val="99"/>
    <w:semiHidden/>
    <w:unhideWhenUsed/>
    <w:rsid w:val="0087687F"/>
    <w:rPr>
      <w:color w:val="808080"/>
      <w:shd w:val="clear" w:color="auto" w:fill="E6E6E6"/>
    </w:rPr>
  </w:style>
  <w:style w:type="character" w:customStyle="1" w:styleId="zmlenmeyenBahsetme2">
    <w:name w:val="Çözümlenmeyen Bahsetme2"/>
    <w:basedOn w:val="VarsaylanParagrafYazTipi"/>
    <w:uiPriority w:val="99"/>
    <w:semiHidden/>
    <w:unhideWhenUsed/>
    <w:rsid w:val="0087687F"/>
    <w:rPr>
      <w:color w:val="808080"/>
      <w:shd w:val="clear" w:color="auto" w:fill="E6E6E6"/>
    </w:rPr>
  </w:style>
  <w:style w:type="paragraph" w:styleId="Dzeltme">
    <w:name w:val="Revision"/>
    <w:hidden/>
    <w:uiPriority w:val="99"/>
    <w:semiHidden/>
    <w:rsid w:val="0087687F"/>
    <w:rPr>
      <w:rFonts w:eastAsiaTheme="minorEastAsia"/>
      <w:sz w:val="22"/>
      <w:szCs w:val="22"/>
      <w:lang w:eastAsia="tr-TR"/>
    </w:rPr>
  </w:style>
  <w:style w:type="paragraph" w:customStyle="1" w:styleId="title1">
    <w:name w:val="title1"/>
    <w:basedOn w:val="Normal"/>
    <w:rsid w:val="0087687F"/>
    <w:rPr>
      <w:sz w:val="27"/>
      <w:szCs w:val="27"/>
    </w:rPr>
  </w:style>
  <w:style w:type="paragraph" w:customStyle="1" w:styleId="desc2">
    <w:name w:val="desc2"/>
    <w:basedOn w:val="Normal"/>
    <w:rsid w:val="0087687F"/>
    <w:rPr>
      <w:sz w:val="26"/>
      <w:szCs w:val="26"/>
    </w:rPr>
  </w:style>
  <w:style w:type="paragraph" w:customStyle="1" w:styleId="details1">
    <w:name w:val="details1"/>
    <w:basedOn w:val="Normal"/>
    <w:rsid w:val="0087687F"/>
    <w:rPr>
      <w:sz w:val="22"/>
      <w:szCs w:val="22"/>
    </w:rPr>
  </w:style>
  <w:style w:type="character" w:customStyle="1" w:styleId="jrnl">
    <w:name w:val="jrnl"/>
    <w:basedOn w:val="VarsaylanParagrafYazTipi"/>
    <w:rsid w:val="0087687F"/>
  </w:style>
  <w:style w:type="character" w:customStyle="1" w:styleId="reference2">
    <w:name w:val="reference2"/>
    <w:basedOn w:val="VarsaylanParagrafYazTipi"/>
    <w:rsid w:val="0087687F"/>
  </w:style>
  <w:style w:type="paragraph" w:customStyle="1" w:styleId="p">
    <w:name w:val="p"/>
    <w:basedOn w:val="Normal"/>
    <w:rsid w:val="0087687F"/>
    <w:pPr>
      <w:spacing w:before="100" w:beforeAutospacing="1" w:after="100" w:afterAutospacing="1"/>
    </w:pPr>
  </w:style>
  <w:style w:type="character" w:customStyle="1" w:styleId="element-citation">
    <w:name w:val="element-citation"/>
    <w:basedOn w:val="VarsaylanParagrafYazTipi"/>
    <w:rsid w:val="0087687F"/>
  </w:style>
  <w:style w:type="character" w:customStyle="1" w:styleId="ref-journal">
    <w:name w:val="ref-journal"/>
    <w:basedOn w:val="VarsaylanParagrafYazTipi"/>
    <w:rsid w:val="0087687F"/>
  </w:style>
  <w:style w:type="character" w:customStyle="1" w:styleId="ref-vol">
    <w:name w:val="ref-vol"/>
    <w:basedOn w:val="VarsaylanParagrafYazTipi"/>
    <w:rsid w:val="0087687F"/>
  </w:style>
  <w:style w:type="character" w:customStyle="1" w:styleId="A0">
    <w:name w:val="A0"/>
    <w:uiPriority w:val="99"/>
    <w:rsid w:val="0087687F"/>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87687F"/>
    <w:pPr>
      <w:spacing w:before="100" w:beforeAutospacing="1" w:after="100" w:afterAutospacing="1"/>
    </w:pPr>
  </w:style>
  <w:style w:type="paragraph" w:customStyle="1" w:styleId="Saptanm">
    <w:name w:val="Saptanmış"/>
    <w:rsid w:val="0087687F"/>
    <w:pPr>
      <w:pBdr>
        <w:top w:val="nil"/>
        <w:left w:val="nil"/>
        <w:bottom w:val="nil"/>
        <w:right w:val="nil"/>
        <w:between w:val="nil"/>
        <w:bar w:val="nil"/>
      </w:pBdr>
    </w:pPr>
    <w:rPr>
      <w:rFonts w:ascii="Helvetica Neue" w:eastAsia="Helvetica Neue" w:hAnsi="Helvetica Neue" w:cs="Helvetica Neue"/>
      <w:color w:val="000000"/>
      <w:sz w:val="22"/>
      <w:szCs w:val="22"/>
      <w:bdr w:val="nil"/>
      <w:lang w:eastAsia="tr-TR"/>
    </w:rPr>
  </w:style>
  <w:style w:type="paragraph" w:customStyle="1" w:styleId="xydp98b0ef9amsonormal">
    <w:name w:val="x_ydp98b0ef9amsonormal"/>
    <w:basedOn w:val="Normal"/>
    <w:rsid w:val="0087687F"/>
    <w:pPr>
      <w:spacing w:before="100" w:beforeAutospacing="1" w:after="100" w:afterAutospacing="1"/>
    </w:pPr>
  </w:style>
  <w:style w:type="character" w:customStyle="1" w:styleId="xydp98b0ef9amsohyperlink">
    <w:name w:val="x_ydp98b0ef9amsohyperlink"/>
    <w:basedOn w:val="VarsaylanParagrafYazTipi"/>
    <w:rsid w:val="0087687F"/>
  </w:style>
  <w:style w:type="character" w:customStyle="1" w:styleId="user-generated">
    <w:name w:val="user-generated"/>
    <w:basedOn w:val="VarsaylanParagrafYazTipi"/>
    <w:rsid w:val="0087687F"/>
  </w:style>
  <w:style w:type="character" w:customStyle="1" w:styleId="zmlenmeyenBahsetme3">
    <w:name w:val="Çözümlenmeyen Bahsetme3"/>
    <w:basedOn w:val="VarsaylanParagrafYazTipi"/>
    <w:uiPriority w:val="99"/>
    <w:semiHidden/>
    <w:unhideWhenUsed/>
    <w:rsid w:val="0087687F"/>
    <w:rPr>
      <w:color w:val="808080"/>
      <w:shd w:val="clear" w:color="auto" w:fill="E6E6E6"/>
    </w:rPr>
  </w:style>
  <w:style w:type="paragraph" w:customStyle="1" w:styleId="xydpfcd73491msonormal">
    <w:name w:val="x_ydpfcd73491msonormal"/>
    <w:basedOn w:val="Normal"/>
    <w:rsid w:val="0087687F"/>
    <w:pPr>
      <w:spacing w:before="100" w:beforeAutospacing="1" w:after="100" w:afterAutospacing="1"/>
    </w:pPr>
  </w:style>
  <w:style w:type="character" w:customStyle="1" w:styleId="HTMLPreformattedChar">
    <w:name w:val="HTML Preformatted Char"/>
    <w:basedOn w:val="VarsaylanParagrafYazTipi"/>
    <w:uiPriority w:val="99"/>
    <w:rsid w:val="0087687F"/>
    <w:rPr>
      <w:rFonts w:ascii="Courier New" w:eastAsia="Times New Roman" w:hAnsi="Courier New" w:cs="Courier New"/>
      <w:sz w:val="20"/>
      <w:szCs w:val="20"/>
    </w:rPr>
  </w:style>
  <w:style w:type="character" w:customStyle="1" w:styleId="UnresolvedMention">
    <w:name w:val="Unresolved Mention"/>
    <w:basedOn w:val="VarsaylanParagrafYazTipi"/>
    <w:uiPriority w:val="99"/>
    <w:semiHidden/>
    <w:unhideWhenUsed/>
    <w:rsid w:val="009B6E20"/>
    <w:rPr>
      <w:color w:val="605E5C"/>
      <w:shd w:val="clear" w:color="auto" w:fill="E1DFDD"/>
    </w:rPr>
  </w:style>
  <w:style w:type="paragraph" w:customStyle="1" w:styleId="Normal1">
    <w:name w:val="Normal1"/>
    <w:rsid w:val="00E6620A"/>
    <w:rPr>
      <w:rFonts w:ascii="Times New Roman" w:eastAsia="Times New Roman" w:hAnsi="Times New Roman" w:cs="Times New Roman"/>
      <w:lang w:eastAsia="tr-TR"/>
    </w:rPr>
  </w:style>
  <w:style w:type="paragraph" w:styleId="stBilgi">
    <w:name w:val="header"/>
    <w:basedOn w:val="Normal"/>
    <w:link w:val="stBilgiChar"/>
    <w:uiPriority w:val="99"/>
    <w:unhideWhenUsed/>
    <w:rsid w:val="00504EA8"/>
    <w:pPr>
      <w:tabs>
        <w:tab w:val="center" w:pos="4536"/>
        <w:tab w:val="right" w:pos="9072"/>
      </w:tabs>
    </w:pPr>
  </w:style>
  <w:style w:type="character" w:customStyle="1" w:styleId="stBilgiChar">
    <w:name w:val="Üst Bilgi Char"/>
    <w:basedOn w:val="VarsaylanParagrafYazTipi"/>
    <w:link w:val="stBilgi"/>
    <w:uiPriority w:val="99"/>
    <w:rsid w:val="00504EA8"/>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504EA8"/>
    <w:pPr>
      <w:tabs>
        <w:tab w:val="center" w:pos="4536"/>
        <w:tab w:val="right" w:pos="9072"/>
      </w:tabs>
    </w:pPr>
  </w:style>
  <w:style w:type="character" w:customStyle="1" w:styleId="AltBilgiChar">
    <w:name w:val="Alt Bilgi Char"/>
    <w:basedOn w:val="VarsaylanParagrafYazTipi"/>
    <w:link w:val="AltBilgi"/>
    <w:uiPriority w:val="99"/>
    <w:rsid w:val="00504EA8"/>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793">
      <w:bodyDiv w:val="1"/>
      <w:marLeft w:val="0"/>
      <w:marRight w:val="0"/>
      <w:marTop w:val="0"/>
      <w:marBottom w:val="0"/>
      <w:divBdr>
        <w:top w:val="none" w:sz="0" w:space="0" w:color="auto"/>
        <w:left w:val="none" w:sz="0" w:space="0" w:color="auto"/>
        <w:bottom w:val="none" w:sz="0" w:space="0" w:color="auto"/>
        <w:right w:val="none" w:sz="0" w:space="0" w:color="auto"/>
      </w:divBdr>
    </w:div>
    <w:div w:id="632029641">
      <w:bodyDiv w:val="1"/>
      <w:marLeft w:val="0"/>
      <w:marRight w:val="0"/>
      <w:marTop w:val="0"/>
      <w:marBottom w:val="0"/>
      <w:divBdr>
        <w:top w:val="none" w:sz="0" w:space="0" w:color="auto"/>
        <w:left w:val="none" w:sz="0" w:space="0" w:color="auto"/>
        <w:bottom w:val="none" w:sz="0" w:space="0" w:color="auto"/>
        <w:right w:val="none" w:sz="0" w:space="0" w:color="auto"/>
      </w:divBdr>
    </w:div>
    <w:div w:id="13924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2907</Words>
  <Characters>16542</Characters>
  <Application>Microsoft Office Word</Application>
  <DocSecurity>0</DocSecurity>
  <Lines>396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Obekli</dc:creator>
  <cp:keywords/>
  <dc:description/>
  <cp:lastModifiedBy>Yüksel ŞİMŞEK</cp:lastModifiedBy>
  <cp:revision>9</cp:revision>
  <dcterms:created xsi:type="dcterms:W3CDTF">2021-10-25T06:25:00Z</dcterms:created>
  <dcterms:modified xsi:type="dcterms:W3CDTF">2021-11-26T08:38:00Z</dcterms:modified>
</cp:coreProperties>
</file>