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77C0" w14:textId="43C5B011" w:rsidR="00E9431A" w:rsidRDefault="00FE6910" w:rsidP="00E9431A">
      <w:pPr>
        <w:jc w:val="both"/>
        <w:rPr>
          <w:rFonts w:asciiTheme="minorHAnsi" w:hAnsiTheme="minorHAnsi"/>
          <w:b/>
          <w:color w:val="FF0000"/>
          <w:u w:val="single"/>
        </w:rPr>
      </w:pPr>
      <w:r w:rsidRPr="00FE6910">
        <w:rPr>
          <w:rFonts w:asciiTheme="minorHAnsi" w:hAnsiTheme="minorHAnsi"/>
          <w:b/>
          <w:color w:val="FF0000"/>
          <w:u w:val="single"/>
        </w:rPr>
        <w:t>TIME to START- MEDICIJNEN DIE GESCHIKT ZIJN OM BIJ OUDEREN TE BEGINNEN</w:t>
      </w:r>
    </w:p>
    <w:p w14:paraId="1200532C" w14:textId="77777777" w:rsidR="00FE6910" w:rsidRPr="00D23A56" w:rsidRDefault="00FE6910" w:rsidP="00E9431A">
      <w:pPr>
        <w:jc w:val="both"/>
        <w:rPr>
          <w:rFonts w:asciiTheme="minorHAnsi" w:hAnsiTheme="minorHAnsi"/>
          <w:b/>
          <w:color w:val="FF0000"/>
        </w:rPr>
      </w:pPr>
    </w:p>
    <w:p w14:paraId="62208DB5" w14:textId="7A866959" w:rsidR="00E9431A" w:rsidRDefault="00FE6910" w:rsidP="00E9431A">
      <w:pPr>
        <w:rPr>
          <w:rFonts w:asciiTheme="minorHAnsi" w:hAnsiTheme="minorHAnsi"/>
          <w:b/>
          <w:color w:val="FF0000"/>
        </w:rPr>
      </w:pPr>
      <w:r w:rsidRPr="00FE6910">
        <w:rPr>
          <w:rFonts w:asciiTheme="minorHAnsi" w:hAnsiTheme="minorHAnsi"/>
          <w:b/>
          <w:color w:val="FF0000"/>
        </w:rPr>
        <w:t>Er is een indicatie en mogelijk voordeel van het gebruik van deze groep geneesmiddelen in de omstandigheden binnen de criteria, maar het kan in de klinische praktijk vaak over het hoofd worden gezien of wordt vanwege de hoge leeftijd niet gegeven zonder een aanvullende geldige reden.</w:t>
      </w:r>
      <w:r>
        <w:rPr>
          <w:rFonts w:asciiTheme="minorHAnsi" w:hAnsiTheme="minorHAnsi"/>
          <w:b/>
          <w:color w:val="FF0000"/>
        </w:rPr>
        <w:t xml:space="preserve"> </w:t>
      </w:r>
      <w:r w:rsidRPr="00FE6910">
        <w:rPr>
          <w:rFonts w:asciiTheme="minorHAnsi" w:hAnsiTheme="minorHAnsi"/>
          <w:b/>
          <w:color w:val="FF0000"/>
        </w:rPr>
        <w:t>Het niet gebruiken van deze medicijnen onder de voorwaarden binnen de criteria wordt bescho</w:t>
      </w:r>
      <w:r>
        <w:rPr>
          <w:rFonts w:asciiTheme="minorHAnsi" w:hAnsiTheme="minorHAnsi"/>
          <w:b/>
          <w:color w:val="FF0000"/>
        </w:rPr>
        <w:t xml:space="preserve">uwd als "mogelijk ongepast medicijn </w:t>
      </w:r>
      <w:r w:rsidRPr="00FE6910">
        <w:rPr>
          <w:rFonts w:asciiTheme="minorHAnsi" w:hAnsiTheme="minorHAnsi"/>
          <w:b/>
          <w:color w:val="FF0000"/>
        </w:rPr>
        <w:t>gebruik".</w:t>
      </w:r>
      <w:r>
        <w:rPr>
          <w:rFonts w:asciiTheme="minorHAnsi" w:hAnsiTheme="minorHAnsi"/>
          <w:b/>
          <w:color w:val="FF0000"/>
        </w:rPr>
        <w:t xml:space="preserve"> </w:t>
      </w:r>
      <w:r w:rsidRPr="00FE6910">
        <w:rPr>
          <w:rFonts w:asciiTheme="minorHAnsi" w:hAnsiTheme="minorHAnsi"/>
          <w:b/>
          <w:color w:val="FF0000"/>
        </w:rPr>
        <w:t>Artsen moeten beslissingen nemen door rekening te houden met de mogelijke voor- en nadelen van het geneesmiddel bij de patiënt (b</w:t>
      </w:r>
      <w:r>
        <w:rPr>
          <w:rFonts w:asciiTheme="minorHAnsi" w:hAnsiTheme="minorHAnsi"/>
          <w:b/>
          <w:color w:val="FF0000"/>
        </w:rPr>
        <w:t>alans tussen voordelen en en nadelen</w:t>
      </w:r>
      <w:r w:rsidRPr="00FE6910">
        <w:rPr>
          <w:rFonts w:asciiTheme="minorHAnsi" w:hAnsiTheme="minorHAnsi"/>
          <w:b/>
          <w:color w:val="FF0000"/>
        </w:rPr>
        <w:t>), de verwachte levensverwachting en de behandeldoelen die worden bepaald in overeenstemming met de voorkeuren van de patiënt/zorgverlener, met alle kenmerken van de patiënt. Clinici vinden het in sommige gevallen gepast om deze groep geneesmiddelen niet te gebruiken.</w:t>
      </w:r>
    </w:p>
    <w:p w14:paraId="2B03491E" w14:textId="77777777" w:rsidR="00FE6910" w:rsidRDefault="00FE6910" w:rsidP="00E9431A">
      <w:pPr>
        <w:rPr>
          <w:rFonts w:asciiTheme="minorHAnsi" w:hAnsiTheme="minorHAnsi" w:cstheme="minorHAnsi"/>
          <w:b/>
          <w:bCs/>
          <w:sz w:val="28"/>
          <w:szCs w:val="28"/>
          <w:lang w:eastAsia="en-GB"/>
        </w:rPr>
      </w:pPr>
    </w:p>
    <w:p w14:paraId="3943D245" w14:textId="5DEB45DE" w:rsidR="00E6620A" w:rsidRDefault="00B43F39" w:rsidP="00E6620A">
      <w:pPr>
        <w:pStyle w:val="Normal1"/>
        <w:jc w:val="both"/>
        <w:rPr>
          <w:rFonts w:ascii="Calibri" w:eastAsia="Calibri" w:hAnsi="Calibri" w:cs="Calibri"/>
          <w:bCs/>
          <w:i/>
          <w:sz w:val="22"/>
          <w:szCs w:val="22"/>
        </w:rPr>
      </w:pPr>
      <w:r w:rsidRPr="00B43F39">
        <w:rPr>
          <w:rFonts w:ascii="Calibri" w:eastAsia="Calibri" w:hAnsi="Calibri" w:cs="Calibri"/>
          <w:bCs/>
          <w:i/>
          <w:sz w:val="22"/>
          <w:szCs w:val="22"/>
        </w:rPr>
        <w:t>Om klinisch ge</w:t>
      </w:r>
      <w:r>
        <w:rPr>
          <w:rFonts w:ascii="Calibri" w:eastAsia="Calibri" w:hAnsi="Calibri" w:cs="Calibri"/>
          <w:bCs/>
          <w:i/>
          <w:sz w:val="22"/>
          <w:szCs w:val="22"/>
        </w:rPr>
        <w:t>bruik te vergemakkelijken, is</w:t>
      </w:r>
      <w:r w:rsidRPr="00B43F39">
        <w:rPr>
          <w:rFonts w:ascii="Calibri" w:eastAsia="Calibri" w:hAnsi="Calibri" w:cs="Calibri"/>
          <w:bCs/>
          <w:i/>
          <w:sz w:val="22"/>
          <w:szCs w:val="22"/>
        </w:rPr>
        <w:t xml:space="preserve"> de uitleg die aan sommige criteria is toegevoegd, cursief gedrukt en met het voorvoegsel * onmiddellijk na de criteria weergegeven.</w:t>
      </w:r>
    </w:p>
    <w:p w14:paraId="7BDE4403" w14:textId="77777777" w:rsidR="00B43F39" w:rsidRPr="00E6620A" w:rsidRDefault="00B43F39" w:rsidP="00E6620A">
      <w:pPr>
        <w:pStyle w:val="Normal1"/>
        <w:jc w:val="both"/>
        <w:rPr>
          <w:rFonts w:ascii="Calibri" w:eastAsia="Calibri" w:hAnsi="Calibri" w:cs="Calibri"/>
          <w:bCs/>
          <w:i/>
          <w:sz w:val="22"/>
          <w:szCs w:val="22"/>
        </w:rPr>
      </w:pPr>
    </w:p>
    <w:p w14:paraId="11529D77" w14:textId="251304F4" w:rsidR="00E6620A" w:rsidRPr="00D23A56" w:rsidRDefault="00B43F39" w:rsidP="00E9431A">
      <w:pPr>
        <w:rPr>
          <w:rFonts w:asciiTheme="minorHAnsi" w:hAnsiTheme="minorHAnsi" w:cstheme="minorHAnsi"/>
          <w:b/>
          <w:bCs/>
          <w:sz w:val="28"/>
          <w:szCs w:val="28"/>
          <w:lang w:eastAsia="en-GB"/>
        </w:rPr>
      </w:pPr>
      <w:r w:rsidRPr="00B43F39">
        <w:rPr>
          <w:rFonts w:ascii="Calibri" w:eastAsia="Calibri" w:hAnsi="Calibri" w:cs="Calibri"/>
          <w:bCs/>
          <w:i/>
          <w:sz w:val="22"/>
          <w:szCs w:val="22"/>
        </w:rPr>
        <w:t>Referenties; Het bevat verwijzingen naar de criteria en, indien beschikbaar, toelichtingen.</w:t>
      </w:r>
    </w:p>
    <w:p w14:paraId="15E94A33" w14:textId="77777777" w:rsidR="00E9431A" w:rsidRPr="00D23A56" w:rsidRDefault="00E9431A" w:rsidP="0087687F">
      <w:pPr>
        <w:jc w:val="both"/>
        <w:rPr>
          <w:rFonts w:asciiTheme="minorHAnsi" w:hAnsiTheme="minorHAnsi"/>
          <w:b/>
          <w:color w:val="FF0000"/>
          <w:sz w:val="22"/>
          <w:szCs w:val="22"/>
          <w:u w:val="single"/>
        </w:rPr>
      </w:pPr>
    </w:p>
    <w:p w14:paraId="31D03A27" w14:textId="77777777" w:rsidR="0087687F" w:rsidRPr="00D23A56" w:rsidRDefault="0087687F" w:rsidP="0087687F">
      <w:pPr>
        <w:jc w:val="both"/>
        <w:rPr>
          <w:rFonts w:asciiTheme="minorHAnsi" w:hAnsiTheme="minorHAnsi"/>
          <w:sz w:val="22"/>
          <w:szCs w:val="22"/>
        </w:rPr>
      </w:pPr>
    </w:p>
    <w:p w14:paraId="5570A870" w14:textId="4CFBC627" w:rsidR="00E9431A" w:rsidRDefault="00B43F39" w:rsidP="00E9431A">
      <w:pPr>
        <w:rPr>
          <w:rFonts w:asciiTheme="minorHAnsi" w:hAnsiTheme="minorHAnsi" w:cstheme="minorHAnsi"/>
          <w:b/>
          <w:bCs/>
          <w:sz w:val="28"/>
          <w:szCs w:val="28"/>
          <w:u w:val="single"/>
          <w:lang w:eastAsia="en-GB"/>
        </w:rPr>
      </w:pPr>
      <w:r w:rsidRPr="00B43F39">
        <w:rPr>
          <w:rFonts w:asciiTheme="minorHAnsi" w:hAnsiTheme="minorHAnsi" w:cstheme="minorHAnsi"/>
          <w:b/>
          <w:bCs/>
          <w:sz w:val="28"/>
          <w:szCs w:val="28"/>
          <w:u w:val="single"/>
          <w:lang w:eastAsia="en-GB"/>
        </w:rPr>
        <w:t>TIME-to-START Criteria (met referentie en uitleg)</w:t>
      </w:r>
    </w:p>
    <w:p w14:paraId="71EDA04E" w14:textId="77777777" w:rsidR="00B43F39" w:rsidRPr="00D23A56" w:rsidRDefault="00B43F39" w:rsidP="00E9431A">
      <w:pPr>
        <w:rPr>
          <w:rFonts w:asciiTheme="minorHAnsi" w:hAnsiTheme="minorHAnsi" w:cstheme="minorHAnsi"/>
          <w:b/>
          <w:bCs/>
          <w:sz w:val="28"/>
          <w:szCs w:val="28"/>
          <w:lang w:eastAsia="en-GB"/>
        </w:rPr>
      </w:pPr>
    </w:p>
    <w:p w14:paraId="5DFAC606" w14:textId="77777777" w:rsidR="00E9431A" w:rsidRPr="00D23A56" w:rsidRDefault="00E9431A" w:rsidP="00E9431A">
      <w:pPr>
        <w:rPr>
          <w:rFonts w:asciiTheme="minorHAnsi" w:hAnsiTheme="minorHAnsi" w:cstheme="minorHAnsi"/>
          <w:b/>
          <w:bCs/>
          <w:sz w:val="28"/>
          <w:szCs w:val="28"/>
          <w:lang w:eastAsia="en-GB"/>
        </w:rPr>
      </w:pPr>
    </w:p>
    <w:p w14:paraId="788BBF40" w14:textId="10A7F7CD" w:rsidR="00E9431A" w:rsidRPr="00D23A56" w:rsidRDefault="00E9431A" w:rsidP="00E9431A">
      <w:pPr>
        <w:pStyle w:val="paragraph"/>
        <w:spacing w:before="0" w:beforeAutospacing="0" w:after="0" w:afterAutospacing="0" w:line="360" w:lineRule="auto"/>
        <w:jc w:val="both"/>
        <w:textAlignment w:val="baseline"/>
        <w:rPr>
          <w:rStyle w:val="normaltextrun"/>
          <w:rFonts w:asciiTheme="minorHAnsi" w:eastAsiaTheme="majorEastAsia" w:hAnsiTheme="minorHAnsi"/>
          <w:b/>
          <w:bCs/>
          <w:sz w:val="28"/>
          <w:szCs w:val="28"/>
        </w:rPr>
      </w:pPr>
      <w:r w:rsidRPr="00D23A56">
        <w:rPr>
          <w:rStyle w:val="normaltextrun"/>
          <w:rFonts w:asciiTheme="minorHAnsi" w:eastAsiaTheme="majorEastAsia" w:hAnsiTheme="minorHAnsi"/>
          <w:b/>
          <w:bCs/>
          <w:sz w:val="28"/>
          <w:szCs w:val="28"/>
        </w:rPr>
        <w:t xml:space="preserve">A: </w:t>
      </w:r>
      <w:r w:rsidR="00B43F39" w:rsidRPr="00B43F39">
        <w:rPr>
          <w:rStyle w:val="normaltextrun"/>
          <w:rFonts w:asciiTheme="minorHAnsi" w:eastAsiaTheme="majorEastAsia" w:hAnsiTheme="minorHAnsi"/>
          <w:b/>
          <w:bCs/>
          <w:sz w:val="28"/>
          <w:szCs w:val="28"/>
        </w:rPr>
        <w:t>Cardiovasculaire systeemcriteria.</w:t>
      </w:r>
    </w:p>
    <w:p w14:paraId="2434E9BF" w14:textId="77777777" w:rsidR="0087687F" w:rsidRPr="00D23A56" w:rsidRDefault="0087687F" w:rsidP="0087687F">
      <w:pPr>
        <w:jc w:val="both"/>
        <w:rPr>
          <w:rFonts w:asciiTheme="minorHAnsi" w:hAnsiTheme="minorHAnsi"/>
          <w:b/>
          <w:i/>
          <w:color w:val="5B9BD5" w:themeColor="accent5"/>
          <w:sz w:val="22"/>
          <w:szCs w:val="22"/>
          <w:u w:val="single"/>
        </w:rPr>
      </w:pPr>
    </w:p>
    <w:p w14:paraId="1CF802A8" w14:textId="77777777" w:rsidR="00E9431A" w:rsidRPr="00D23A56" w:rsidRDefault="00E9431A" w:rsidP="0087687F">
      <w:pPr>
        <w:jc w:val="both"/>
        <w:rPr>
          <w:rFonts w:asciiTheme="minorHAnsi" w:hAnsiTheme="minorHAnsi"/>
          <w:b/>
          <w:i/>
          <w:color w:val="5B9BD5" w:themeColor="accent5"/>
          <w:sz w:val="22"/>
          <w:szCs w:val="22"/>
          <w:u w:val="single"/>
        </w:rPr>
      </w:pPr>
    </w:p>
    <w:p w14:paraId="718A9855" w14:textId="77777777" w:rsidR="00E9431A" w:rsidRPr="00D23A56" w:rsidRDefault="00E9431A" w:rsidP="0087687F">
      <w:pPr>
        <w:jc w:val="both"/>
        <w:rPr>
          <w:rFonts w:asciiTheme="minorHAnsi" w:hAnsiTheme="minorHAnsi"/>
          <w:b/>
          <w:i/>
          <w:color w:val="5B9BD5" w:themeColor="accent5"/>
          <w:sz w:val="22"/>
          <w:szCs w:val="22"/>
          <w:u w:val="single"/>
        </w:rPr>
      </w:pPr>
    </w:p>
    <w:p w14:paraId="6D02E2A5" w14:textId="06026BDD" w:rsidR="0087687F" w:rsidRPr="00D23A56" w:rsidRDefault="0087687F" w:rsidP="0087687F">
      <w:pPr>
        <w:spacing w:before="100" w:beforeAutospacing="1" w:after="100" w:afterAutospacing="1" w:line="360" w:lineRule="auto"/>
        <w:contextualSpacing/>
        <w:jc w:val="both"/>
        <w:rPr>
          <w:rFonts w:asciiTheme="minorHAnsi" w:hAnsiTheme="minorHAnsi"/>
          <w:b/>
          <w:sz w:val="22"/>
          <w:szCs w:val="22"/>
        </w:rPr>
      </w:pPr>
      <w:r w:rsidRPr="00D23A56">
        <w:rPr>
          <w:rFonts w:asciiTheme="minorHAnsi" w:hAnsiTheme="minorHAnsi"/>
          <w:b/>
          <w:sz w:val="22"/>
          <w:szCs w:val="22"/>
        </w:rPr>
        <w:t xml:space="preserve">A1. </w:t>
      </w:r>
      <w:r w:rsidR="00B43F39" w:rsidRPr="00B43F39">
        <w:rPr>
          <w:rFonts w:asciiTheme="minorHAnsi" w:hAnsiTheme="minorHAnsi"/>
          <w:b/>
          <w:sz w:val="22"/>
          <w:szCs w:val="22"/>
        </w:rPr>
        <w:t xml:space="preserve">Gedocumenteerde atherosclerotische coronaire hartziekte (geschiedenis van acuut coronair syndroom/coronaire angioplastiek of stenting/coronaire bypass-transplantatie/abdominale aorta-aneurysma), gedocumenteerde atherosclerotische cerebrovasculaire ziekte (geschiedenis van ischemische beroerte/TIA/vorige halsslagader-endarteriëctomie of eerdere symptomatische ziekte van de onderste extremiteit endarteriëctomie of stenting) Het is </w:t>
      </w:r>
      <w:r w:rsidR="00CE4A25">
        <w:rPr>
          <w:rFonts w:asciiTheme="minorHAnsi" w:hAnsiTheme="minorHAnsi"/>
          <w:b/>
          <w:sz w:val="22"/>
          <w:szCs w:val="22"/>
        </w:rPr>
        <w:t>geschikt</w:t>
      </w:r>
      <w:r w:rsidR="00B43F39" w:rsidRPr="00B43F39">
        <w:rPr>
          <w:rFonts w:asciiTheme="minorHAnsi" w:hAnsiTheme="minorHAnsi"/>
          <w:b/>
          <w:sz w:val="22"/>
          <w:szCs w:val="22"/>
        </w:rPr>
        <w:t xml:space="preserve"> om een ​​antibloedplaatjestherapie (aspirine of clopidogrel) te starten voor secundaire preventie bij patiënten.</w:t>
      </w:r>
    </w:p>
    <w:p w14:paraId="22BDD831" w14:textId="50FB2C21" w:rsidR="0087687F" w:rsidRPr="00D23A56" w:rsidRDefault="0087687F" w:rsidP="0087687F">
      <w:pPr>
        <w:spacing w:before="100" w:beforeAutospacing="1" w:after="100" w:afterAutospacing="1" w:line="360" w:lineRule="auto"/>
        <w:contextualSpacing/>
        <w:jc w:val="both"/>
        <w:rPr>
          <w:rFonts w:asciiTheme="minorHAnsi" w:hAnsiTheme="minorHAnsi"/>
          <w:b/>
          <w:sz w:val="22"/>
          <w:szCs w:val="22"/>
        </w:rPr>
      </w:pPr>
      <w:r w:rsidRPr="00D23A56">
        <w:rPr>
          <w:rFonts w:asciiTheme="minorHAnsi" w:hAnsiTheme="minorHAnsi"/>
          <w:bCs/>
          <w:i/>
          <w:sz w:val="22"/>
          <w:szCs w:val="22"/>
        </w:rPr>
        <w:t>*</w:t>
      </w:r>
      <w:r w:rsidR="00B43F39" w:rsidRPr="00B43F39">
        <w:t xml:space="preserve"> </w:t>
      </w:r>
      <w:r w:rsidR="00B43F39" w:rsidRPr="00B43F39">
        <w:rPr>
          <w:rFonts w:asciiTheme="minorHAnsi" w:hAnsiTheme="minorHAnsi"/>
          <w:bCs/>
          <w:i/>
          <w:sz w:val="22"/>
          <w:szCs w:val="22"/>
        </w:rPr>
        <w:t>Het starten van aspirine voor primaire cardiovasculaire preventie is in de meeste gevallen niet geschikt (vanwege een verhoogd risico op intracraniële en GI-bloeding en beperkt voordeel).</w:t>
      </w:r>
    </w:p>
    <w:p w14:paraId="681B9A34" w14:textId="77777777" w:rsidR="0087687F" w:rsidRPr="00D23A56" w:rsidRDefault="0087687F"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sz w:val="22"/>
          <w:szCs w:val="22"/>
        </w:rPr>
      </w:pPr>
    </w:p>
    <w:p w14:paraId="703454B2" w14:textId="77777777" w:rsidR="0087687F" w:rsidRPr="00D23A56" w:rsidRDefault="0087687F"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
          <w:i/>
          <w:sz w:val="22"/>
          <w:szCs w:val="22"/>
        </w:rPr>
      </w:pPr>
    </w:p>
    <w:p w14:paraId="4A6C65B4" w14:textId="7C6D0862" w:rsidR="00B43F39" w:rsidRDefault="0087687F" w:rsidP="0087687F">
      <w:pPr>
        <w:spacing w:after="100" w:afterAutospacing="1" w:line="360" w:lineRule="auto"/>
        <w:contextualSpacing/>
        <w:jc w:val="both"/>
        <w:rPr>
          <w:rFonts w:asciiTheme="minorHAnsi" w:hAnsiTheme="minorHAnsi"/>
          <w:b/>
          <w:sz w:val="22"/>
          <w:szCs w:val="22"/>
        </w:rPr>
      </w:pPr>
      <w:r w:rsidRPr="00D23A56">
        <w:rPr>
          <w:rFonts w:asciiTheme="minorHAnsi" w:hAnsiTheme="minorHAnsi"/>
          <w:b/>
          <w:sz w:val="22"/>
          <w:szCs w:val="22"/>
        </w:rPr>
        <w:t xml:space="preserve">A2. </w:t>
      </w:r>
      <w:r w:rsidR="00B43F39" w:rsidRPr="00B43F39">
        <w:rPr>
          <w:rFonts w:asciiTheme="minorHAnsi" w:hAnsiTheme="minorHAnsi"/>
          <w:b/>
          <w:sz w:val="22"/>
          <w:szCs w:val="22"/>
        </w:rPr>
        <w:t xml:space="preserve">Het is </w:t>
      </w:r>
      <w:r w:rsidR="00CE4A25">
        <w:rPr>
          <w:rFonts w:asciiTheme="minorHAnsi" w:hAnsiTheme="minorHAnsi"/>
          <w:b/>
          <w:sz w:val="22"/>
          <w:szCs w:val="22"/>
        </w:rPr>
        <w:t>geschikt</w:t>
      </w:r>
      <w:r w:rsidR="00B43F39" w:rsidRPr="00B43F39">
        <w:rPr>
          <w:rFonts w:asciiTheme="minorHAnsi" w:hAnsiTheme="minorHAnsi"/>
          <w:b/>
          <w:sz w:val="22"/>
          <w:szCs w:val="22"/>
        </w:rPr>
        <w:t xml:space="preserve"> om statinetherapie te starten voor secundaire preventie bij patiënten met gedocumenteerde atherosclerotische coronaire hartziekte</w:t>
      </w:r>
      <w:r w:rsidR="00B43F39">
        <w:rPr>
          <w:rFonts w:asciiTheme="minorHAnsi" w:hAnsiTheme="minorHAnsi"/>
          <w:b/>
          <w:sz w:val="22"/>
          <w:szCs w:val="22"/>
        </w:rPr>
        <w:t xml:space="preserve"> </w:t>
      </w:r>
      <w:r w:rsidR="00B43F39" w:rsidRPr="00B43F39">
        <w:rPr>
          <w:rFonts w:asciiTheme="minorHAnsi" w:hAnsiTheme="minorHAnsi"/>
          <w:b/>
          <w:sz w:val="22"/>
          <w:szCs w:val="22"/>
        </w:rPr>
        <w:t>(voorbij acuut coronair syndroom/coronaire angioplastiek of stenting/coronaire bypasstransplantatie/abdominaal aorta-</w:t>
      </w:r>
      <w:r w:rsidR="00B43F39" w:rsidRPr="00B43F39">
        <w:rPr>
          <w:rFonts w:asciiTheme="minorHAnsi" w:hAnsiTheme="minorHAnsi"/>
          <w:b/>
          <w:sz w:val="22"/>
          <w:szCs w:val="22"/>
        </w:rPr>
        <w:lastRenderedPageBreak/>
        <w:t>aneurysma), gedocumenteerde cerebrovasculaire ziekte</w:t>
      </w:r>
      <w:r w:rsidR="00B43F39">
        <w:rPr>
          <w:rFonts w:asciiTheme="minorHAnsi" w:hAnsiTheme="minorHAnsi"/>
          <w:b/>
          <w:sz w:val="22"/>
          <w:szCs w:val="22"/>
        </w:rPr>
        <w:t xml:space="preserve"> </w:t>
      </w:r>
      <w:r w:rsidR="00B43F39" w:rsidRPr="00B43F39">
        <w:rPr>
          <w:rFonts w:asciiTheme="minorHAnsi" w:hAnsiTheme="minorHAnsi"/>
          <w:b/>
          <w:sz w:val="22"/>
          <w:szCs w:val="22"/>
        </w:rPr>
        <w:t>(vorige ischemische beroerte/TIA/vorige halsslagader-endarteriëctomie of stenting) of perifere vaatziekte.</w:t>
      </w:r>
    </w:p>
    <w:p w14:paraId="525D38F6" w14:textId="77777777" w:rsidR="00B43F39" w:rsidRDefault="00B43F39" w:rsidP="0087687F">
      <w:pPr>
        <w:spacing w:after="100" w:afterAutospacing="1" w:line="360" w:lineRule="auto"/>
        <w:contextualSpacing/>
        <w:jc w:val="both"/>
        <w:rPr>
          <w:rFonts w:asciiTheme="minorHAnsi" w:hAnsiTheme="minorHAnsi"/>
          <w:b/>
          <w:sz w:val="22"/>
          <w:szCs w:val="22"/>
        </w:rPr>
      </w:pPr>
    </w:p>
    <w:p w14:paraId="13615CF6" w14:textId="77777777" w:rsidR="00B43F39" w:rsidRDefault="0087687F" w:rsidP="0087687F">
      <w:pPr>
        <w:spacing w:after="100" w:afterAutospacing="1" w:line="360" w:lineRule="auto"/>
        <w:contextualSpacing/>
        <w:jc w:val="both"/>
        <w:rPr>
          <w:rFonts w:asciiTheme="minorHAnsi" w:hAnsiTheme="minorHAnsi"/>
          <w:bCs/>
          <w:i/>
          <w:sz w:val="22"/>
          <w:szCs w:val="22"/>
        </w:rPr>
      </w:pPr>
      <w:r w:rsidRPr="00D23A56">
        <w:rPr>
          <w:rFonts w:asciiTheme="minorHAnsi" w:hAnsiTheme="minorHAnsi"/>
          <w:b/>
          <w:sz w:val="22"/>
          <w:szCs w:val="22"/>
        </w:rPr>
        <w:t>*</w:t>
      </w:r>
      <w:r w:rsidR="00B43F39" w:rsidRPr="00B43F39">
        <w:t xml:space="preserve"> </w:t>
      </w:r>
      <w:r w:rsidR="00B43F39" w:rsidRPr="00B43F39">
        <w:rPr>
          <w:rFonts w:asciiTheme="minorHAnsi" w:hAnsiTheme="minorHAnsi"/>
          <w:bCs/>
          <w:i/>
          <w:sz w:val="22"/>
          <w:szCs w:val="22"/>
        </w:rPr>
        <w:t>Het verwachte voordeel van statines is laag bij patiënten met een levensverwachting van &lt;2 jaar, patiënten met terminale dementie en patiënten ouder dan 85 jaar; Bijwerkingen van statines (myopathie, levertoxiciteit, enz.) zijn meer.</w:t>
      </w:r>
    </w:p>
    <w:p w14:paraId="12AAE422" w14:textId="51BDB3E6" w:rsidR="0087687F" w:rsidRPr="004613B7" w:rsidRDefault="0087687F" w:rsidP="00B43F39">
      <w:pPr>
        <w:spacing w:after="100" w:afterAutospacing="1" w:line="360" w:lineRule="auto"/>
        <w:contextualSpacing/>
        <w:jc w:val="both"/>
        <w:rPr>
          <w:rFonts w:asciiTheme="minorHAnsi" w:hAnsiTheme="minorHAnsi"/>
          <w:b/>
          <w:sz w:val="22"/>
          <w:szCs w:val="22"/>
        </w:rPr>
      </w:pPr>
      <w:r w:rsidRPr="00D23A56">
        <w:rPr>
          <w:rFonts w:asciiTheme="minorHAnsi" w:hAnsiTheme="minorHAnsi"/>
          <w:bCs/>
          <w:i/>
          <w:sz w:val="22"/>
          <w:szCs w:val="22"/>
        </w:rPr>
        <w:t>*</w:t>
      </w:r>
      <w:r w:rsidR="00B43F39" w:rsidRPr="00B43F39">
        <w:t xml:space="preserve"> </w:t>
      </w:r>
      <w:r w:rsidR="00B43F39" w:rsidRPr="00B43F39">
        <w:rPr>
          <w:rFonts w:asciiTheme="minorHAnsi" w:hAnsiTheme="minorHAnsi"/>
          <w:bCs/>
          <w:i/>
          <w:sz w:val="22"/>
          <w:szCs w:val="22"/>
        </w:rPr>
        <w:t>In deze gevallen moet de beslissing voor statinebehandeling worden bepaald door de patiënt/patiëntfamilie te informeren en door het principe van gezamenlijke besluitvorming.</w:t>
      </w:r>
      <w:r w:rsidRPr="00D23A56">
        <w:rPr>
          <w:rFonts w:asciiTheme="minorHAnsi" w:hAnsiTheme="minorHAnsi"/>
          <w:bCs/>
          <w:sz w:val="22"/>
          <w:szCs w:val="22"/>
        </w:rPr>
        <w:t xml:space="preserve"> </w:t>
      </w:r>
    </w:p>
    <w:p w14:paraId="40FEA825" w14:textId="77777777" w:rsidR="003C46C7" w:rsidRPr="00D23A56" w:rsidRDefault="003C46C7" w:rsidP="005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asciiTheme="minorHAnsi" w:hAnsiTheme="minorHAnsi"/>
          <w:color w:val="000000"/>
          <w:sz w:val="22"/>
          <w:szCs w:val="22"/>
        </w:rPr>
      </w:pPr>
    </w:p>
    <w:p w14:paraId="0D737832" w14:textId="3CC909A3" w:rsidR="003C46C7" w:rsidRPr="00D23A56" w:rsidRDefault="00B43F39"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sz w:val="22"/>
          <w:szCs w:val="22"/>
        </w:rPr>
      </w:pPr>
      <w:r w:rsidRPr="00B43F39">
        <w:rPr>
          <w:rFonts w:asciiTheme="minorHAnsi" w:hAnsiTheme="minorHAnsi"/>
          <w:b/>
          <w:sz w:val="22"/>
          <w:szCs w:val="22"/>
        </w:rPr>
        <w:t xml:space="preserve">A3. Het is </w:t>
      </w:r>
      <w:r>
        <w:rPr>
          <w:rFonts w:asciiTheme="minorHAnsi" w:hAnsiTheme="minorHAnsi"/>
          <w:b/>
          <w:sz w:val="22"/>
          <w:szCs w:val="22"/>
        </w:rPr>
        <w:t>geschikt</w:t>
      </w:r>
      <w:r w:rsidRPr="00B43F39">
        <w:rPr>
          <w:rFonts w:asciiTheme="minorHAnsi" w:hAnsiTheme="minorHAnsi"/>
          <w:b/>
          <w:sz w:val="22"/>
          <w:szCs w:val="22"/>
        </w:rPr>
        <w:t xml:space="preserve"> om antihypertensieve therapie te starten bij patiënten met een systolische bloeddruk die constant &gt;160 mmHg en/of een diastolische bloeddruk die constant &gt;90 mmHg is.</w:t>
      </w:r>
    </w:p>
    <w:p w14:paraId="27ECAC8C" w14:textId="77777777" w:rsidR="00D43402" w:rsidRPr="00D23A56" w:rsidRDefault="00D43402" w:rsidP="00D43402">
      <w:pPr>
        <w:spacing w:before="100" w:beforeAutospacing="1" w:after="100" w:afterAutospacing="1"/>
        <w:contextualSpacing/>
        <w:jc w:val="both"/>
        <w:rPr>
          <w:rFonts w:asciiTheme="minorHAnsi" w:hAnsiTheme="minorHAnsi"/>
          <w:i/>
          <w:sz w:val="22"/>
          <w:szCs w:val="22"/>
        </w:rPr>
      </w:pPr>
    </w:p>
    <w:p w14:paraId="3DA44B14" w14:textId="77777777" w:rsidR="00D43402" w:rsidRPr="00D23A56" w:rsidRDefault="00D43402" w:rsidP="00D43402">
      <w:pPr>
        <w:spacing w:before="100" w:beforeAutospacing="1" w:after="100" w:afterAutospacing="1"/>
        <w:contextualSpacing/>
        <w:jc w:val="both"/>
        <w:rPr>
          <w:rFonts w:asciiTheme="minorHAnsi" w:hAnsiTheme="minorHAnsi"/>
          <w:i/>
          <w:sz w:val="22"/>
          <w:szCs w:val="22"/>
        </w:rPr>
      </w:pPr>
    </w:p>
    <w:p w14:paraId="62E11E66" w14:textId="532BEC18" w:rsidR="0087687F" w:rsidRPr="00D23A56" w:rsidRDefault="0087687F" w:rsidP="00D43402">
      <w:pPr>
        <w:spacing w:before="100" w:beforeAutospacing="1" w:after="100" w:afterAutospacing="1" w:line="360" w:lineRule="auto"/>
        <w:contextualSpacing/>
        <w:jc w:val="both"/>
        <w:rPr>
          <w:rFonts w:asciiTheme="minorHAnsi" w:hAnsiTheme="minorHAnsi"/>
          <w:b/>
          <w:sz w:val="22"/>
          <w:szCs w:val="22"/>
        </w:rPr>
      </w:pPr>
      <w:r w:rsidRPr="00D23A56">
        <w:rPr>
          <w:rFonts w:asciiTheme="minorHAnsi" w:hAnsiTheme="minorHAnsi"/>
          <w:b/>
          <w:sz w:val="22"/>
          <w:szCs w:val="22"/>
        </w:rPr>
        <w:t xml:space="preserve">A4. </w:t>
      </w:r>
      <w:r w:rsidR="00B43F39" w:rsidRPr="00B43F39">
        <w:rPr>
          <w:rFonts w:asciiTheme="minorHAnsi" w:hAnsiTheme="minorHAnsi"/>
          <w:b/>
          <w:sz w:val="22"/>
          <w:szCs w:val="22"/>
        </w:rPr>
        <w:t xml:space="preserve">In de aanwezigheid van chronisch niet-valvulair AF is het </w:t>
      </w:r>
      <w:r w:rsidR="00B43F39">
        <w:rPr>
          <w:rFonts w:asciiTheme="minorHAnsi" w:hAnsiTheme="minorHAnsi"/>
          <w:b/>
          <w:sz w:val="22"/>
          <w:szCs w:val="22"/>
        </w:rPr>
        <w:t>geschikt</w:t>
      </w:r>
      <w:r w:rsidR="00B43F39" w:rsidRPr="00B43F39">
        <w:rPr>
          <w:rFonts w:asciiTheme="minorHAnsi" w:hAnsiTheme="minorHAnsi"/>
          <w:b/>
          <w:sz w:val="22"/>
          <w:szCs w:val="22"/>
        </w:rPr>
        <w:t xml:space="preserve"> om OAC (vitamine K-antagonisten, directe trombineremmers of factor Xa-remmers) te starten, rekening houdend met de CHA2DS2-VASc-score.</w:t>
      </w:r>
    </w:p>
    <w:p w14:paraId="71580A9D" w14:textId="15450FBB" w:rsidR="0087687F" w:rsidRPr="00D23A56" w:rsidRDefault="0087687F" w:rsidP="0087687F">
      <w:pPr>
        <w:spacing w:before="100" w:beforeAutospacing="1" w:after="100" w:afterAutospacing="1" w:line="360" w:lineRule="auto"/>
        <w:contextualSpacing/>
        <w:jc w:val="both"/>
        <w:rPr>
          <w:rFonts w:asciiTheme="minorHAnsi" w:hAnsiTheme="minorHAnsi"/>
          <w:bCs/>
          <w:i/>
          <w:iCs/>
          <w:color w:val="000000" w:themeColor="text1"/>
          <w:sz w:val="22"/>
          <w:szCs w:val="22"/>
        </w:rPr>
      </w:pPr>
      <w:r w:rsidRPr="00D23A56">
        <w:rPr>
          <w:rFonts w:asciiTheme="minorHAnsi" w:hAnsiTheme="minorHAnsi"/>
          <w:bCs/>
          <w:i/>
          <w:iCs/>
          <w:sz w:val="22"/>
          <w:szCs w:val="22"/>
        </w:rPr>
        <w:t>*</w:t>
      </w:r>
      <w:r w:rsidR="00CE4A25" w:rsidRPr="00CE4A25">
        <w:t xml:space="preserve"> </w:t>
      </w:r>
      <w:r w:rsidR="00CE4A25" w:rsidRPr="00CE4A25">
        <w:rPr>
          <w:rFonts w:asciiTheme="minorHAnsi" w:hAnsiTheme="minorHAnsi"/>
          <w:bCs/>
          <w:i/>
          <w:iCs/>
          <w:sz w:val="22"/>
          <w:szCs w:val="22"/>
        </w:rPr>
        <w:t>Het wordt aanbevolen om de voorkeur te geven aan niet-vitamine K-antagonisten (NOAC's) in plaats van vitamine K-antagonisten.</w:t>
      </w:r>
    </w:p>
    <w:p w14:paraId="3463BB8E" w14:textId="77777777" w:rsidR="004613B7" w:rsidRPr="00D23A56" w:rsidRDefault="004613B7" w:rsidP="00D4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sz w:val="22"/>
          <w:szCs w:val="22"/>
        </w:rPr>
      </w:pPr>
    </w:p>
    <w:p w14:paraId="59C8B06C" w14:textId="77777777" w:rsidR="00D43402" w:rsidRPr="00D23A56" w:rsidRDefault="00D43402" w:rsidP="00D4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sz w:val="22"/>
          <w:szCs w:val="22"/>
        </w:rPr>
      </w:pPr>
    </w:p>
    <w:p w14:paraId="4095EFFC" w14:textId="28F94511" w:rsidR="00D43402" w:rsidRPr="00D23A56" w:rsidRDefault="0087687F"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inorHAnsi" w:hAnsiTheme="minorHAnsi"/>
          <w:b/>
          <w:sz w:val="22"/>
          <w:szCs w:val="22"/>
        </w:rPr>
      </w:pPr>
      <w:r w:rsidRPr="00D23A56">
        <w:rPr>
          <w:rFonts w:asciiTheme="minorHAnsi" w:hAnsiTheme="minorHAnsi"/>
          <w:b/>
          <w:sz w:val="22"/>
          <w:szCs w:val="22"/>
        </w:rPr>
        <w:t xml:space="preserve">A5. </w:t>
      </w:r>
      <w:r w:rsidR="00CE4A25" w:rsidRPr="00CE4A25">
        <w:rPr>
          <w:rFonts w:asciiTheme="minorHAnsi" w:hAnsiTheme="minorHAnsi"/>
          <w:b/>
          <w:sz w:val="22"/>
          <w:szCs w:val="22"/>
        </w:rPr>
        <w:t xml:space="preserve">Bij aanwezigheid van systolisch hartfalen (EF&lt;= 40%) of MI met ST-elevatie is het </w:t>
      </w:r>
      <w:r w:rsidR="00CE4A25">
        <w:rPr>
          <w:rFonts w:asciiTheme="minorHAnsi" w:hAnsiTheme="minorHAnsi"/>
          <w:b/>
          <w:sz w:val="22"/>
          <w:szCs w:val="22"/>
        </w:rPr>
        <w:t>geschikt</w:t>
      </w:r>
      <w:r w:rsidR="00CE4A25" w:rsidRPr="00CE4A25">
        <w:rPr>
          <w:rFonts w:asciiTheme="minorHAnsi" w:hAnsiTheme="minorHAnsi"/>
          <w:b/>
          <w:sz w:val="22"/>
          <w:szCs w:val="22"/>
        </w:rPr>
        <w:t xml:space="preserve"> om een ​​behandeling met een ACE-remmer te starten.</w:t>
      </w:r>
    </w:p>
    <w:p w14:paraId="0368180C" w14:textId="77777777" w:rsidR="00D43402" w:rsidRPr="00D23A56" w:rsidRDefault="00D43402" w:rsidP="00D43402">
      <w:pPr>
        <w:contextualSpacing/>
        <w:jc w:val="both"/>
        <w:rPr>
          <w:rFonts w:asciiTheme="minorHAnsi" w:hAnsiTheme="minorHAnsi"/>
          <w:b/>
          <w:sz w:val="22"/>
          <w:szCs w:val="22"/>
        </w:rPr>
      </w:pPr>
    </w:p>
    <w:p w14:paraId="4B6F3EE1" w14:textId="77777777" w:rsidR="00D43402" w:rsidRPr="00D23A56" w:rsidRDefault="00D43402" w:rsidP="00D43402">
      <w:pPr>
        <w:contextualSpacing/>
        <w:jc w:val="both"/>
        <w:rPr>
          <w:rFonts w:asciiTheme="minorHAnsi" w:hAnsiTheme="minorHAnsi"/>
          <w:b/>
          <w:sz w:val="22"/>
          <w:szCs w:val="22"/>
        </w:rPr>
      </w:pPr>
    </w:p>
    <w:p w14:paraId="7AB52AD0" w14:textId="1F3E310C" w:rsidR="00CE4A25" w:rsidRDefault="0087687F" w:rsidP="00CE4A25">
      <w:pPr>
        <w:spacing w:line="360" w:lineRule="auto"/>
        <w:contextualSpacing/>
        <w:jc w:val="both"/>
        <w:rPr>
          <w:rFonts w:asciiTheme="minorHAnsi" w:hAnsiTheme="minorHAnsi"/>
          <w:b/>
          <w:sz w:val="22"/>
          <w:szCs w:val="22"/>
        </w:rPr>
      </w:pPr>
      <w:r w:rsidRPr="00D23A56">
        <w:rPr>
          <w:rFonts w:asciiTheme="minorHAnsi" w:hAnsiTheme="minorHAnsi"/>
          <w:b/>
          <w:sz w:val="22"/>
          <w:szCs w:val="22"/>
        </w:rPr>
        <w:t xml:space="preserve">A6. </w:t>
      </w:r>
      <w:r w:rsidR="00CE4A25" w:rsidRPr="00CE4A25">
        <w:rPr>
          <w:rFonts w:asciiTheme="minorHAnsi" w:hAnsiTheme="minorHAnsi"/>
          <w:b/>
          <w:sz w:val="22"/>
          <w:szCs w:val="22"/>
        </w:rPr>
        <w:t xml:space="preserve">In aanwezigheid van systolisch hartfalen (EF&lt;= 40%) of ischemische hartziekte (vanwege het anti-angineuze effect bij chronische ischemische hartziekte/sterfteverlagend effect in de post-MI-periode), behandeling met bètablokkers (bisoprolol/verlengde afgifte metoprololsuccinaat/carvedilol/nebivolol bij systolisch HF); bij ischemische hartziekte is het </w:t>
      </w:r>
      <w:r w:rsidR="00CE4A25">
        <w:rPr>
          <w:rFonts w:asciiTheme="minorHAnsi" w:hAnsiTheme="minorHAnsi"/>
          <w:b/>
          <w:sz w:val="22"/>
          <w:szCs w:val="22"/>
        </w:rPr>
        <w:t>geschikt</w:t>
      </w:r>
      <w:r w:rsidR="00CE4A25" w:rsidRPr="00CE4A25">
        <w:rPr>
          <w:rFonts w:asciiTheme="minorHAnsi" w:hAnsiTheme="minorHAnsi"/>
          <w:b/>
          <w:sz w:val="22"/>
          <w:szCs w:val="22"/>
        </w:rPr>
        <w:t xml:space="preserve"> om een ​​bètablokker te starten)</w:t>
      </w:r>
    </w:p>
    <w:p w14:paraId="78DB50A7" w14:textId="071B3AB8" w:rsidR="0087687F" w:rsidRPr="00D23A56" w:rsidRDefault="0087687F" w:rsidP="00CE4A25">
      <w:pPr>
        <w:spacing w:line="360" w:lineRule="auto"/>
        <w:contextualSpacing/>
        <w:jc w:val="both"/>
        <w:rPr>
          <w:rFonts w:asciiTheme="minorHAnsi" w:hAnsiTheme="minorHAnsi"/>
          <w:b/>
          <w:i/>
          <w:sz w:val="22"/>
          <w:szCs w:val="22"/>
          <w:u w:val="single"/>
        </w:rPr>
      </w:pPr>
      <w:r w:rsidRPr="00D23A56">
        <w:rPr>
          <w:rFonts w:asciiTheme="minorHAnsi" w:hAnsiTheme="minorHAnsi"/>
          <w:bCs/>
          <w:sz w:val="22"/>
          <w:szCs w:val="22"/>
        </w:rPr>
        <w:t>*</w:t>
      </w:r>
      <w:r w:rsidR="00CE4A25" w:rsidRPr="00CE4A25">
        <w:t xml:space="preserve"> </w:t>
      </w:r>
      <w:r w:rsidR="00CE4A25" w:rsidRPr="00CE4A25">
        <w:rPr>
          <w:rFonts w:asciiTheme="minorHAnsi" w:hAnsiTheme="minorHAnsi"/>
          <w:bCs/>
          <w:i/>
          <w:color w:val="000000"/>
          <w:sz w:val="22"/>
          <w:szCs w:val="22"/>
          <w:shd w:val="clear" w:color="auto" w:fill="FFFFFF"/>
        </w:rPr>
        <w:t>Behandeling met bètablokkers kan 3 jaar na het myocardinfarct worden stopgezet, rekening houdend met het mogelijke even</w:t>
      </w:r>
      <w:r w:rsidR="00CE4A25">
        <w:rPr>
          <w:rFonts w:asciiTheme="minorHAnsi" w:hAnsiTheme="minorHAnsi"/>
          <w:bCs/>
          <w:i/>
          <w:color w:val="000000"/>
          <w:sz w:val="22"/>
          <w:szCs w:val="22"/>
          <w:shd w:val="clear" w:color="auto" w:fill="FFFFFF"/>
        </w:rPr>
        <w:t>wicht tussen voordelen en nadelen</w:t>
      </w:r>
      <w:r w:rsidR="00CE4A25" w:rsidRPr="00CE4A25">
        <w:rPr>
          <w:rFonts w:asciiTheme="minorHAnsi" w:hAnsiTheme="minorHAnsi"/>
          <w:bCs/>
          <w:i/>
          <w:color w:val="000000"/>
          <w:sz w:val="22"/>
          <w:szCs w:val="22"/>
          <w:shd w:val="clear" w:color="auto" w:fill="FFFFFF"/>
        </w:rPr>
        <w:t>.</w:t>
      </w:r>
    </w:p>
    <w:p w14:paraId="10B21D2B" w14:textId="77777777" w:rsidR="003C46C7" w:rsidRPr="00D23A56" w:rsidRDefault="003C46C7" w:rsidP="0087687F">
      <w:pPr>
        <w:contextualSpacing/>
        <w:jc w:val="both"/>
        <w:rPr>
          <w:rFonts w:asciiTheme="minorHAnsi" w:hAnsiTheme="minorHAnsi"/>
          <w:b/>
          <w:i/>
          <w:sz w:val="22"/>
          <w:szCs w:val="22"/>
          <w:u w:val="single"/>
        </w:rPr>
      </w:pPr>
    </w:p>
    <w:p w14:paraId="0709C3A7" w14:textId="7E06CC9A" w:rsidR="00D43402" w:rsidRPr="00D23A56" w:rsidRDefault="003C46C7" w:rsidP="00D43402">
      <w:pPr>
        <w:jc w:val="both"/>
        <w:rPr>
          <w:rFonts w:asciiTheme="minorHAnsi" w:hAnsiTheme="minorHAnsi"/>
          <w:b/>
          <w:sz w:val="28"/>
          <w:szCs w:val="28"/>
        </w:rPr>
      </w:pPr>
      <w:r w:rsidRPr="00D23A56">
        <w:rPr>
          <w:rFonts w:asciiTheme="minorHAnsi" w:hAnsiTheme="minorHAnsi"/>
          <w:b/>
          <w:sz w:val="28"/>
          <w:szCs w:val="28"/>
        </w:rPr>
        <w:t xml:space="preserve">B </w:t>
      </w:r>
      <w:r w:rsidR="00CE4A25" w:rsidRPr="00CE4A25">
        <w:rPr>
          <w:rFonts w:asciiTheme="minorHAnsi" w:hAnsiTheme="minorHAnsi"/>
          <w:b/>
          <w:sz w:val="28"/>
          <w:szCs w:val="28"/>
        </w:rPr>
        <w:t>Criteria voor het centrale zenuwstelsel.</w:t>
      </w:r>
    </w:p>
    <w:p w14:paraId="4C5FAEF4" w14:textId="77777777" w:rsidR="00D43402" w:rsidRPr="00D23A56" w:rsidRDefault="003C46C7" w:rsidP="00D43402">
      <w:pPr>
        <w:jc w:val="both"/>
        <w:rPr>
          <w:rFonts w:asciiTheme="minorHAnsi" w:hAnsiTheme="minorHAnsi"/>
          <w:b/>
          <w:sz w:val="28"/>
          <w:szCs w:val="28"/>
        </w:rPr>
      </w:pPr>
      <w:r w:rsidRPr="00D23A56">
        <w:rPr>
          <w:rFonts w:asciiTheme="minorHAnsi" w:hAnsiTheme="minorHAnsi"/>
          <w:b/>
          <w:sz w:val="28"/>
          <w:szCs w:val="28"/>
        </w:rPr>
        <w:t xml:space="preserve"> </w:t>
      </w:r>
    </w:p>
    <w:p w14:paraId="6074A61B" w14:textId="7A57B537" w:rsidR="00D43402" w:rsidRPr="00D23A56" w:rsidRDefault="0087687F" w:rsidP="00D43402">
      <w:pPr>
        <w:contextualSpacing/>
        <w:jc w:val="both"/>
        <w:rPr>
          <w:rFonts w:asciiTheme="minorHAnsi" w:eastAsia="LiberationSerif" w:hAnsiTheme="minorHAnsi"/>
          <w:sz w:val="22"/>
          <w:szCs w:val="22"/>
        </w:rPr>
      </w:pPr>
      <w:r w:rsidRPr="00D23A56">
        <w:rPr>
          <w:rFonts w:asciiTheme="minorHAnsi" w:hAnsiTheme="minorHAnsi"/>
          <w:b/>
          <w:sz w:val="22"/>
          <w:szCs w:val="22"/>
        </w:rPr>
        <w:t xml:space="preserve">B1. </w:t>
      </w:r>
      <w:r w:rsidR="00CE4A25" w:rsidRPr="00CE4A25">
        <w:rPr>
          <w:rFonts w:asciiTheme="minorHAnsi" w:hAnsiTheme="minorHAnsi"/>
          <w:b/>
          <w:sz w:val="22"/>
          <w:szCs w:val="22"/>
        </w:rPr>
        <w:t xml:space="preserve">Het is </w:t>
      </w:r>
      <w:r w:rsidR="00CE4A25">
        <w:rPr>
          <w:rFonts w:asciiTheme="minorHAnsi" w:hAnsiTheme="minorHAnsi"/>
          <w:b/>
          <w:sz w:val="22"/>
          <w:szCs w:val="22"/>
        </w:rPr>
        <w:t>geschikt</w:t>
      </w:r>
      <w:r w:rsidR="00CE4A25" w:rsidRPr="00CE4A25">
        <w:rPr>
          <w:rFonts w:asciiTheme="minorHAnsi" w:hAnsiTheme="minorHAnsi"/>
          <w:b/>
          <w:sz w:val="22"/>
          <w:szCs w:val="22"/>
        </w:rPr>
        <w:t xml:space="preserve"> om een ​​behandeling met antidepressiva te starten als er sprake is van een depressieve stoornis.</w:t>
      </w:r>
    </w:p>
    <w:p w14:paraId="76155177" w14:textId="77777777" w:rsidR="00D43402" w:rsidRPr="00D23A56" w:rsidRDefault="00D43402" w:rsidP="00D43402">
      <w:pPr>
        <w:jc w:val="both"/>
        <w:rPr>
          <w:rFonts w:asciiTheme="minorHAnsi" w:eastAsia="LiberationSerif" w:hAnsiTheme="minorHAnsi"/>
          <w:sz w:val="22"/>
          <w:szCs w:val="22"/>
        </w:rPr>
      </w:pPr>
    </w:p>
    <w:p w14:paraId="3CBB6568" w14:textId="77777777" w:rsidR="00CE4A25" w:rsidRDefault="0087687F" w:rsidP="00CE4A25">
      <w:pPr>
        <w:spacing w:line="360" w:lineRule="auto"/>
        <w:jc w:val="both"/>
        <w:rPr>
          <w:rFonts w:asciiTheme="minorHAnsi" w:hAnsiTheme="minorHAnsi"/>
          <w:b/>
          <w:sz w:val="22"/>
          <w:szCs w:val="22"/>
        </w:rPr>
      </w:pPr>
      <w:r w:rsidRPr="00D23A56">
        <w:rPr>
          <w:rFonts w:asciiTheme="minorHAnsi" w:hAnsiTheme="minorHAnsi"/>
          <w:b/>
          <w:sz w:val="22"/>
          <w:szCs w:val="22"/>
        </w:rPr>
        <w:t xml:space="preserve">B2. </w:t>
      </w:r>
      <w:r w:rsidR="00CE4A25" w:rsidRPr="00CE4A25">
        <w:rPr>
          <w:rFonts w:asciiTheme="minorHAnsi" w:hAnsiTheme="minorHAnsi"/>
          <w:b/>
          <w:sz w:val="22"/>
          <w:szCs w:val="22"/>
        </w:rPr>
        <w:t xml:space="preserve">Bij aanhoudende, ernstige angst die de functionaliteit aantast, is het </w:t>
      </w:r>
      <w:r w:rsidR="00CE4A25">
        <w:rPr>
          <w:rFonts w:asciiTheme="minorHAnsi" w:hAnsiTheme="minorHAnsi"/>
          <w:b/>
          <w:sz w:val="22"/>
          <w:szCs w:val="22"/>
        </w:rPr>
        <w:t>geschikt</w:t>
      </w:r>
      <w:r w:rsidR="00CE4A25" w:rsidRPr="00CE4A25">
        <w:rPr>
          <w:rFonts w:asciiTheme="minorHAnsi" w:hAnsiTheme="minorHAnsi"/>
          <w:b/>
          <w:sz w:val="22"/>
          <w:szCs w:val="22"/>
        </w:rPr>
        <w:t xml:space="preserve"> om een ​​behandeling met SSRI (SNRI of pregabaline als SSRI gecontra-indiceerd is) te starten.</w:t>
      </w:r>
    </w:p>
    <w:p w14:paraId="41B5723A" w14:textId="17251629" w:rsidR="004613B7" w:rsidRDefault="0087687F" w:rsidP="00CE4A25">
      <w:pPr>
        <w:spacing w:line="360" w:lineRule="auto"/>
        <w:jc w:val="both"/>
        <w:rPr>
          <w:rFonts w:asciiTheme="minorHAnsi" w:hAnsiTheme="minorHAnsi"/>
          <w:bCs/>
          <w:i/>
          <w:color w:val="212121"/>
          <w:sz w:val="22"/>
          <w:szCs w:val="22"/>
          <w:shd w:val="clear" w:color="auto" w:fill="FFFFFF"/>
        </w:rPr>
      </w:pPr>
      <w:r w:rsidRPr="00D23A56">
        <w:rPr>
          <w:rFonts w:asciiTheme="minorHAnsi" w:hAnsiTheme="minorHAnsi"/>
          <w:bCs/>
          <w:i/>
          <w:color w:val="212121"/>
          <w:sz w:val="22"/>
          <w:szCs w:val="22"/>
          <w:shd w:val="clear" w:color="auto" w:fill="FFFFFF"/>
        </w:rPr>
        <w:lastRenderedPageBreak/>
        <w:t>*</w:t>
      </w:r>
      <w:r w:rsidR="00CE4A25" w:rsidRPr="00CE4A25">
        <w:t xml:space="preserve"> </w:t>
      </w:r>
      <w:r w:rsidR="00CE4A25" w:rsidRPr="00CE4A25">
        <w:rPr>
          <w:rFonts w:asciiTheme="minorHAnsi" w:hAnsiTheme="minorHAnsi"/>
          <w:bCs/>
          <w:i/>
          <w:color w:val="212121"/>
          <w:sz w:val="22"/>
          <w:szCs w:val="22"/>
          <w:shd w:val="clear" w:color="auto" w:fill="FFFFFF"/>
        </w:rPr>
        <w:t>Buspiron monotherapie kan worden gebruikt voor de behandeling van angst bij patiënten die geen baat hebben bij SSRI's of deze niet verdragen, als er geen begeleidende depressie is.</w:t>
      </w:r>
    </w:p>
    <w:p w14:paraId="04CFD3E7" w14:textId="77777777" w:rsidR="00CE4A25" w:rsidRDefault="00CE4A25" w:rsidP="00CE4A25">
      <w:pPr>
        <w:spacing w:line="360" w:lineRule="auto"/>
        <w:jc w:val="both"/>
        <w:rPr>
          <w:rFonts w:asciiTheme="minorHAnsi" w:hAnsiTheme="minorHAnsi"/>
          <w:sz w:val="22"/>
          <w:szCs w:val="22"/>
        </w:rPr>
      </w:pPr>
    </w:p>
    <w:p w14:paraId="2E8512F8" w14:textId="31497DAC" w:rsidR="0087687F" w:rsidRDefault="008A4F48" w:rsidP="0087687F">
      <w:pPr>
        <w:spacing w:before="100" w:beforeAutospacing="1" w:after="100" w:afterAutospacing="1" w:line="360" w:lineRule="auto"/>
        <w:contextualSpacing/>
        <w:jc w:val="both"/>
        <w:rPr>
          <w:rFonts w:asciiTheme="minorHAnsi" w:hAnsiTheme="minorHAnsi"/>
          <w:b/>
          <w:color w:val="000000"/>
          <w:sz w:val="22"/>
          <w:szCs w:val="22"/>
        </w:rPr>
      </w:pPr>
      <w:r>
        <w:rPr>
          <w:rFonts w:ascii="Calibri" w:hAnsi="Calibri" w:cs="Calibri"/>
          <w:b/>
          <w:sz w:val="22"/>
          <w:szCs w:val="22"/>
        </w:rPr>
        <w:t>#</w:t>
      </w:r>
      <w:r w:rsidR="0087687F" w:rsidRPr="00D23A56">
        <w:rPr>
          <w:rFonts w:asciiTheme="minorHAnsi" w:hAnsiTheme="minorHAnsi"/>
          <w:b/>
          <w:sz w:val="22"/>
          <w:szCs w:val="22"/>
        </w:rPr>
        <w:t xml:space="preserve">B3. </w:t>
      </w:r>
      <w:r w:rsidR="00CE4A25" w:rsidRPr="00CE4A25">
        <w:rPr>
          <w:rFonts w:asciiTheme="minorHAnsi" w:hAnsiTheme="minorHAnsi"/>
          <w:b/>
          <w:color w:val="000000"/>
          <w:sz w:val="22"/>
          <w:szCs w:val="22"/>
        </w:rPr>
        <w:t xml:space="preserve">Het is </w:t>
      </w:r>
      <w:r w:rsidR="00CE4A25">
        <w:rPr>
          <w:rFonts w:asciiTheme="minorHAnsi" w:hAnsiTheme="minorHAnsi"/>
          <w:b/>
          <w:color w:val="000000"/>
          <w:sz w:val="22"/>
          <w:szCs w:val="22"/>
        </w:rPr>
        <w:t>geschikt</w:t>
      </w:r>
      <w:r w:rsidR="00CE4A25" w:rsidRPr="00CE4A25">
        <w:rPr>
          <w:rFonts w:asciiTheme="minorHAnsi" w:hAnsiTheme="minorHAnsi"/>
          <w:b/>
          <w:color w:val="000000"/>
          <w:sz w:val="22"/>
          <w:szCs w:val="22"/>
        </w:rPr>
        <w:t xml:space="preserve"> om de ChEi-therapie te starten bij de ziekte van Alzheimer in een vroeg stadium van het middenstadium.</w:t>
      </w:r>
    </w:p>
    <w:p w14:paraId="35AE1ED8" w14:textId="77777777" w:rsidR="00CE4A25" w:rsidRPr="00D23A56" w:rsidRDefault="00CE4A25" w:rsidP="0087687F">
      <w:pPr>
        <w:spacing w:before="100" w:beforeAutospacing="1" w:after="100" w:afterAutospacing="1" w:line="360" w:lineRule="auto"/>
        <w:contextualSpacing/>
        <w:jc w:val="both"/>
        <w:rPr>
          <w:rFonts w:asciiTheme="minorHAnsi" w:hAnsiTheme="minorHAnsi"/>
          <w:b/>
          <w:color w:val="000000"/>
          <w:sz w:val="22"/>
          <w:szCs w:val="22"/>
        </w:rPr>
      </w:pPr>
    </w:p>
    <w:p w14:paraId="296C2AEC" w14:textId="77777777" w:rsidR="00CE4A25" w:rsidRDefault="0087687F" w:rsidP="0087687F">
      <w:pPr>
        <w:spacing w:before="100" w:beforeAutospacing="1" w:after="100" w:afterAutospacing="1" w:line="360" w:lineRule="auto"/>
        <w:contextualSpacing/>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CE4A25" w:rsidRPr="00CE4A25">
        <w:t xml:space="preserve"> </w:t>
      </w:r>
      <w:r w:rsidR="00CE4A25" w:rsidRPr="00CE4A25">
        <w:rPr>
          <w:rFonts w:asciiTheme="minorHAnsi" w:hAnsiTheme="minorHAnsi"/>
          <w:bCs/>
          <w:i/>
          <w:color w:val="000000"/>
          <w:sz w:val="22"/>
          <w:szCs w:val="22"/>
        </w:rPr>
        <w:t>Er is bewijs voor de start van ChEi-therapie bij de ziekte van Alzheimer.</w:t>
      </w:r>
    </w:p>
    <w:p w14:paraId="36D2281E" w14:textId="77777777" w:rsidR="00CE4A25" w:rsidRDefault="0087687F" w:rsidP="0087687F">
      <w:pPr>
        <w:spacing w:before="100" w:beforeAutospacing="1" w:after="100" w:afterAutospacing="1" w:line="360" w:lineRule="auto"/>
        <w:contextualSpacing/>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CE4A25" w:rsidRPr="00CE4A25">
        <w:t xml:space="preserve"> </w:t>
      </w:r>
      <w:r w:rsidR="00CE4A25" w:rsidRPr="00CE4A25">
        <w:rPr>
          <w:rFonts w:asciiTheme="minorHAnsi" w:hAnsiTheme="minorHAnsi"/>
          <w:bCs/>
          <w:i/>
          <w:color w:val="000000"/>
          <w:sz w:val="22"/>
          <w:szCs w:val="22"/>
        </w:rPr>
        <w:t>Bewijs en FDA-goedkeuring voor alle 3 cholinesteraseremmers (donepezil, galantamine, rivastigmine) bij vroege tot matige ziekte van Alzheimer</w:t>
      </w:r>
    </w:p>
    <w:p w14:paraId="2D0DFFAB" w14:textId="161F11CF" w:rsidR="0087687F" w:rsidRPr="00D23A56" w:rsidRDefault="0087687F" w:rsidP="0087687F">
      <w:pPr>
        <w:spacing w:before="100" w:beforeAutospacing="1" w:after="100" w:afterAutospacing="1" w:line="360" w:lineRule="auto"/>
        <w:contextualSpacing/>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CE4A25" w:rsidRPr="00CE4A25">
        <w:t xml:space="preserve"> </w:t>
      </w:r>
      <w:r w:rsidR="00CE4A25" w:rsidRPr="00CE4A25">
        <w:rPr>
          <w:rFonts w:asciiTheme="minorHAnsi" w:hAnsiTheme="minorHAnsi"/>
          <w:bCs/>
          <w:i/>
          <w:color w:val="000000"/>
          <w:sz w:val="22"/>
          <w:szCs w:val="22"/>
        </w:rPr>
        <w:t>Er is bewijs en FDA-goedkeuring voor donepezil bij de ziekte van Alzheimer in een vergevorderd stadium.</w:t>
      </w:r>
    </w:p>
    <w:p w14:paraId="4FE5F0ED" w14:textId="77777777" w:rsidR="00CE4A25" w:rsidRDefault="0087687F" w:rsidP="0087687F">
      <w:pPr>
        <w:spacing w:before="100" w:beforeAutospacing="1" w:after="100" w:afterAutospacing="1" w:line="360" w:lineRule="auto"/>
        <w:contextualSpacing/>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CE4A25" w:rsidRPr="00CE4A25">
        <w:t xml:space="preserve"> </w:t>
      </w:r>
      <w:r w:rsidR="00CE4A25" w:rsidRPr="00CE4A25">
        <w:rPr>
          <w:rFonts w:asciiTheme="minorHAnsi" w:hAnsiTheme="minorHAnsi"/>
          <w:bCs/>
          <w:i/>
          <w:color w:val="000000"/>
          <w:sz w:val="22"/>
          <w:szCs w:val="22"/>
        </w:rPr>
        <w:t>Er is bewijs en goedkeuring door de FDA voor de start van rivastigmine bij dementie bij de ziekte van Parkinson. Er zijn onderzoeken die aantonen dat donepezil gunstig kan zijn bij dementie bij de ziekte van Parkinson.</w:t>
      </w:r>
    </w:p>
    <w:p w14:paraId="0523C1B0" w14:textId="77777777" w:rsidR="00CE4A25" w:rsidRDefault="0087687F" w:rsidP="0087687F">
      <w:pPr>
        <w:spacing w:before="100" w:beforeAutospacing="1" w:after="100" w:afterAutospacing="1" w:line="360" w:lineRule="auto"/>
        <w:contextualSpacing/>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CE4A25" w:rsidRPr="00CE4A25">
        <w:t xml:space="preserve"> </w:t>
      </w:r>
      <w:r w:rsidR="00CE4A25" w:rsidRPr="00CE4A25">
        <w:rPr>
          <w:rFonts w:asciiTheme="minorHAnsi" w:hAnsiTheme="minorHAnsi"/>
          <w:bCs/>
          <w:i/>
          <w:color w:val="000000"/>
          <w:sz w:val="22"/>
          <w:szCs w:val="22"/>
        </w:rPr>
        <w:t>Er is geen definitief bewijs voor het gebruik van ChEi bij dementie met Lewy-lichaampjes en vasculaire dementie, maar het gebruik ervan kan worden aanbevolen.</w:t>
      </w:r>
    </w:p>
    <w:p w14:paraId="74638C83" w14:textId="77777777" w:rsidR="00CE4A25" w:rsidRDefault="0087687F" w:rsidP="0087687F">
      <w:pPr>
        <w:spacing w:before="100" w:beforeAutospacing="1" w:after="100" w:afterAutospacing="1" w:line="360" w:lineRule="auto"/>
        <w:contextualSpacing/>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CE4A25" w:rsidRPr="00CE4A25">
        <w:t xml:space="preserve"> </w:t>
      </w:r>
      <w:r w:rsidR="00CE4A25" w:rsidRPr="00CE4A25">
        <w:rPr>
          <w:rFonts w:asciiTheme="minorHAnsi" w:hAnsiTheme="minorHAnsi"/>
          <w:bCs/>
          <w:i/>
          <w:color w:val="000000"/>
          <w:sz w:val="22"/>
          <w:szCs w:val="22"/>
        </w:rPr>
        <w:t>Er zijn onderzoeken die aantonen dat donepezil en rivastigmine gunstig kunnen zijn bij dementie met Lewy-lichaampjes. FDA-goedkeuring is niet beschikbaar voor ChEi bij dementie met Lewy-lichaampjes</w:t>
      </w:r>
    </w:p>
    <w:p w14:paraId="7EAB2522" w14:textId="050F335E" w:rsidR="0087687F" w:rsidRPr="00D23A56" w:rsidRDefault="0087687F" w:rsidP="00CE4A25">
      <w:pPr>
        <w:spacing w:before="100" w:beforeAutospacing="1" w:after="100" w:afterAutospacing="1" w:line="360" w:lineRule="auto"/>
        <w:contextualSpacing/>
        <w:jc w:val="both"/>
        <w:rPr>
          <w:rFonts w:asciiTheme="minorHAnsi" w:hAnsiTheme="minorHAnsi"/>
          <w:color w:val="000000"/>
          <w:sz w:val="22"/>
          <w:szCs w:val="22"/>
        </w:rPr>
      </w:pPr>
      <w:r w:rsidRPr="00D23A56">
        <w:rPr>
          <w:rFonts w:asciiTheme="minorHAnsi" w:hAnsiTheme="minorHAnsi"/>
          <w:bCs/>
          <w:i/>
          <w:color w:val="000000"/>
          <w:sz w:val="22"/>
          <w:szCs w:val="22"/>
        </w:rPr>
        <w:t>*</w:t>
      </w:r>
      <w:r w:rsidR="00CE4A25" w:rsidRPr="00CE4A25">
        <w:t xml:space="preserve"> </w:t>
      </w:r>
      <w:r w:rsidR="00CE4A25" w:rsidRPr="00CE4A25">
        <w:rPr>
          <w:rFonts w:asciiTheme="minorHAnsi" w:hAnsiTheme="minorHAnsi"/>
          <w:bCs/>
          <w:i/>
          <w:color w:val="000000"/>
          <w:sz w:val="22"/>
          <w:szCs w:val="22"/>
        </w:rPr>
        <w:t>Er zijn onderzoeken die aantonen dat cholinesteraseremmers gunstig kunnen zijn bij vasculaire dementie. FDA-goedkeuring bij vasculaire dementie is niet beschikbaar voor een van hun ChEi.</w:t>
      </w:r>
    </w:p>
    <w:p w14:paraId="06BC92B3" w14:textId="77777777" w:rsidR="0087687F" w:rsidRPr="00D23A56" w:rsidRDefault="0087687F"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000000"/>
          <w:sz w:val="22"/>
          <w:szCs w:val="22"/>
        </w:rPr>
      </w:pPr>
    </w:p>
    <w:p w14:paraId="0B548E8F" w14:textId="09691BE9" w:rsidR="0087687F" w:rsidRPr="00D23A56" w:rsidRDefault="008A4F48" w:rsidP="0087687F">
      <w:pPr>
        <w:shd w:val="clear" w:color="auto" w:fill="FFFFFF"/>
        <w:spacing w:before="100" w:beforeAutospacing="1" w:after="100" w:afterAutospacing="1" w:line="360" w:lineRule="auto"/>
        <w:contextualSpacing/>
        <w:jc w:val="both"/>
        <w:rPr>
          <w:rFonts w:asciiTheme="minorHAnsi" w:hAnsiTheme="minorHAnsi"/>
          <w:bCs/>
          <w:color w:val="000000"/>
          <w:sz w:val="22"/>
          <w:szCs w:val="22"/>
        </w:rPr>
      </w:pPr>
      <w:r>
        <w:rPr>
          <w:rFonts w:ascii="Calibri" w:hAnsi="Calibri" w:cs="Calibri"/>
          <w:b/>
          <w:sz w:val="22"/>
          <w:szCs w:val="22"/>
        </w:rPr>
        <w:t>#</w:t>
      </w:r>
      <w:r w:rsidR="0087687F" w:rsidRPr="00D23A56">
        <w:rPr>
          <w:rFonts w:asciiTheme="minorHAnsi" w:hAnsiTheme="minorHAnsi"/>
          <w:b/>
          <w:color w:val="000000"/>
          <w:sz w:val="22"/>
          <w:szCs w:val="22"/>
        </w:rPr>
        <w:t xml:space="preserve">B4. </w:t>
      </w:r>
      <w:r w:rsidR="00CE4A25" w:rsidRPr="00CE4A25">
        <w:rPr>
          <w:rFonts w:asciiTheme="minorHAnsi" w:hAnsiTheme="minorHAnsi"/>
          <w:b/>
          <w:color w:val="000000"/>
          <w:sz w:val="22"/>
          <w:szCs w:val="22"/>
        </w:rPr>
        <w:t xml:space="preserve">Het is </w:t>
      </w:r>
      <w:r w:rsidR="00CE4A25">
        <w:rPr>
          <w:rFonts w:asciiTheme="minorHAnsi" w:hAnsiTheme="minorHAnsi"/>
          <w:b/>
          <w:color w:val="000000"/>
          <w:sz w:val="22"/>
          <w:szCs w:val="22"/>
        </w:rPr>
        <w:t>geschikt</w:t>
      </w:r>
      <w:r w:rsidR="00CE4A25" w:rsidRPr="00CE4A25">
        <w:rPr>
          <w:rFonts w:asciiTheme="minorHAnsi" w:hAnsiTheme="minorHAnsi"/>
          <w:b/>
          <w:color w:val="000000"/>
          <w:sz w:val="22"/>
          <w:szCs w:val="22"/>
        </w:rPr>
        <w:t xml:space="preserve"> om de behandeling met memantine te starten bij matige tot gevorderde ziekte van Alzheimer.</w:t>
      </w:r>
    </w:p>
    <w:p w14:paraId="45EDB9E6" w14:textId="0A2304BA" w:rsidR="0087687F" w:rsidRPr="00D23A56" w:rsidRDefault="0087687F" w:rsidP="0087687F">
      <w:pPr>
        <w:shd w:val="clear" w:color="auto" w:fill="FFFFFF"/>
        <w:spacing w:before="100" w:beforeAutospacing="1" w:after="100" w:afterAutospacing="1" w:line="360" w:lineRule="auto"/>
        <w:contextualSpacing/>
        <w:jc w:val="both"/>
        <w:rPr>
          <w:rFonts w:asciiTheme="minorHAnsi" w:hAnsiTheme="minorHAnsi"/>
          <w:bCs/>
          <w:color w:val="000000"/>
          <w:sz w:val="22"/>
          <w:szCs w:val="22"/>
        </w:rPr>
      </w:pPr>
      <w:r w:rsidRPr="00D23A56">
        <w:rPr>
          <w:rFonts w:asciiTheme="minorHAnsi" w:hAnsiTheme="minorHAnsi"/>
          <w:bCs/>
          <w:i/>
          <w:color w:val="000000"/>
          <w:sz w:val="22"/>
          <w:szCs w:val="22"/>
        </w:rPr>
        <w:t>*</w:t>
      </w:r>
      <w:r w:rsidR="00CE4A25" w:rsidRPr="00CE4A25">
        <w:t xml:space="preserve"> </w:t>
      </w:r>
      <w:r w:rsidR="00CE4A25" w:rsidRPr="00CE4A25">
        <w:rPr>
          <w:rFonts w:asciiTheme="minorHAnsi" w:hAnsiTheme="minorHAnsi"/>
          <w:bCs/>
          <w:i/>
          <w:color w:val="000000"/>
          <w:sz w:val="22"/>
          <w:szCs w:val="22"/>
        </w:rPr>
        <w:t>Memantine kan ook werkzaam zijn bij vasculaire dementie.</w:t>
      </w:r>
    </w:p>
    <w:p w14:paraId="704BB0D8" w14:textId="6FC8F31A" w:rsidR="0087687F" w:rsidRPr="00D23A56" w:rsidRDefault="0087687F" w:rsidP="00D43402">
      <w:pPr>
        <w:shd w:val="clear" w:color="auto" w:fill="FFFFFF"/>
        <w:spacing w:before="100" w:beforeAutospacing="1" w:after="100" w:afterAutospacing="1"/>
        <w:contextualSpacing/>
        <w:jc w:val="both"/>
        <w:rPr>
          <w:rFonts w:asciiTheme="minorHAnsi" w:hAnsiTheme="minorHAnsi"/>
          <w:bCs/>
          <w:i/>
          <w:sz w:val="22"/>
          <w:szCs w:val="22"/>
        </w:rPr>
      </w:pPr>
      <w:r w:rsidRPr="00D23A56">
        <w:rPr>
          <w:rFonts w:asciiTheme="minorHAnsi" w:hAnsiTheme="minorHAnsi"/>
          <w:bCs/>
          <w:i/>
          <w:sz w:val="22"/>
          <w:szCs w:val="22"/>
        </w:rPr>
        <w:t>*</w:t>
      </w:r>
      <w:r w:rsidR="00CE4A25" w:rsidRPr="00CE4A25">
        <w:t xml:space="preserve"> </w:t>
      </w:r>
      <w:r w:rsidR="00CE4A25" w:rsidRPr="00CE4A25">
        <w:rPr>
          <w:rFonts w:asciiTheme="minorHAnsi" w:hAnsiTheme="minorHAnsi"/>
          <w:bCs/>
          <w:i/>
          <w:sz w:val="22"/>
          <w:szCs w:val="22"/>
        </w:rPr>
        <w:t>Memantine kan gunstig zijn bij gedrags- en psychiatrische symptomen van dementie (BPSD).</w:t>
      </w:r>
    </w:p>
    <w:p w14:paraId="671A19EB" w14:textId="77777777" w:rsidR="00D43402" w:rsidRDefault="00D43402" w:rsidP="00D43402">
      <w:pPr>
        <w:shd w:val="clear" w:color="auto" w:fill="FFFFFF"/>
        <w:spacing w:before="100" w:beforeAutospacing="1" w:after="100" w:afterAutospacing="1"/>
        <w:contextualSpacing/>
        <w:rPr>
          <w:rFonts w:asciiTheme="minorHAnsi" w:hAnsiTheme="minorHAnsi"/>
          <w:color w:val="000000"/>
          <w:sz w:val="22"/>
          <w:szCs w:val="22"/>
        </w:rPr>
      </w:pPr>
    </w:p>
    <w:p w14:paraId="6F613C63" w14:textId="77777777" w:rsidR="00D23A56" w:rsidRPr="00D23A56" w:rsidRDefault="00D23A56" w:rsidP="00D43402">
      <w:pPr>
        <w:shd w:val="clear" w:color="auto" w:fill="FFFFFF"/>
        <w:spacing w:before="100" w:beforeAutospacing="1" w:after="100" w:afterAutospacing="1"/>
        <w:contextualSpacing/>
        <w:rPr>
          <w:rFonts w:asciiTheme="minorHAnsi" w:hAnsiTheme="minorHAnsi"/>
          <w:color w:val="000000"/>
          <w:sz w:val="22"/>
          <w:szCs w:val="22"/>
        </w:rPr>
      </w:pPr>
    </w:p>
    <w:p w14:paraId="7B207435" w14:textId="77777777" w:rsidR="00CE4A25" w:rsidRDefault="008A4F48" w:rsidP="00CE4A25">
      <w:pPr>
        <w:shd w:val="clear" w:color="auto" w:fill="FFFFFF"/>
        <w:spacing w:before="100" w:beforeAutospacing="1" w:after="100" w:afterAutospacing="1" w:line="360" w:lineRule="auto"/>
        <w:contextualSpacing/>
        <w:rPr>
          <w:rFonts w:asciiTheme="minorHAnsi" w:hAnsiTheme="minorHAnsi"/>
          <w:b/>
          <w:sz w:val="22"/>
          <w:szCs w:val="22"/>
        </w:rPr>
      </w:pPr>
      <w:r>
        <w:rPr>
          <w:rFonts w:ascii="Calibri" w:hAnsi="Calibri" w:cs="Calibri"/>
          <w:b/>
          <w:sz w:val="22"/>
          <w:szCs w:val="22"/>
        </w:rPr>
        <w:t>#</w:t>
      </w:r>
      <w:r w:rsidR="0087687F" w:rsidRPr="00D23A56">
        <w:rPr>
          <w:rFonts w:asciiTheme="minorHAnsi" w:hAnsiTheme="minorHAnsi"/>
          <w:b/>
          <w:sz w:val="22"/>
          <w:szCs w:val="22"/>
        </w:rPr>
        <w:t xml:space="preserve">B5. </w:t>
      </w:r>
      <w:r w:rsidR="00CE4A25" w:rsidRPr="00CE4A25">
        <w:rPr>
          <w:rFonts w:asciiTheme="minorHAnsi" w:hAnsiTheme="minorHAnsi"/>
          <w:b/>
          <w:sz w:val="22"/>
          <w:szCs w:val="22"/>
        </w:rPr>
        <w:t>Het is aangewezen om de behandeling met propranolol of pyrimidon te starten bij patiënten met essentiële tremor die de functionaliteit aantast.</w:t>
      </w:r>
    </w:p>
    <w:p w14:paraId="1405DB10" w14:textId="07D6CFE1" w:rsidR="0087687F" w:rsidRPr="00D23A56" w:rsidRDefault="0087687F" w:rsidP="00CE4A25">
      <w:pPr>
        <w:shd w:val="clear" w:color="auto" w:fill="FFFFFF"/>
        <w:spacing w:before="100" w:beforeAutospacing="1" w:after="100" w:afterAutospacing="1" w:line="360" w:lineRule="auto"/>
        <w:contextualSpacing/>
        <w:rPr>
          <w:rFonts w:asciiTheme="minorHAnsi" w:hAnsiTheme="minorHAnsi"/>
          <w:i/>
          <w:sz w:val="22"/>
          <w:szCs w:val="22"/>
        </w:rPr>
      </w:pPr>
      <w:r w:rsidRPr="00D23A56">
        <w:rPr>
          <w:rFonts w:asciiTheme="minorHAnsi" w:hAnsiTheme="minorHAnsi"/>
          <w:sz w:val="22"/>
          <w:szCs w:val="22"/>
        </w:rPr>
        <w:t>*</w:t>
      </w:r>
      <w:r w:rsidR="00CE4A25" w:rsidRPr="00CE4A25">
        <w:t xml:space="preserve"> </w:t>
      </w:r>
      <w:r w:rsidR="00CE4A25" w:rsidRPr="00CE4A25">
        <w:rPr>
          <w:rFonts w:asciiTheme="minorHAnsi" w:hAnsiTheme="minorHAnsi"/>
          <w:i/>
          <w:sz w:val="22"/>
          <w:szCs w:val="22"/>
        </w:rPr>
        <w:t>Pyrimidon heeft geen FDA-goedkeuring.</w:t>
      </w:r>
    </w:p>
    <w:p w14:paraId="1D4A2228" w14:textId="6D834454" w:rsidR="0087687F" w:rsidRDefault="0087687F" w:rsidP="00CE4A25">
      <w:pPr>
        <w:spacing w:line="360" w:lineRule="auto"/>
        <w:jc w:val="both"/>
        <w:rPr>
          <w:rFonts w:asciiTheme="minorHAnsi" w:hAnsiTheme="minorHAnsi"/>
          <w:i/>
          <w:sz w:val="22"/>
          <w:szCs w:val="22"/>
        </w:rPr>
      </w:pPr>
      <w:r w:rsidRPr="00D23A56">
        <w:rPr>
          <w:rFonts w:asciiTheme="minorHAnsi" w:hAnsiTheme="minorHAnsi"/>
          <w:i/>
          <w:sz w:val="22"/>
          <w:szCs w:val="22"/>
        </w:rPr>
        <w:t>*</w:t>
      </w:r>
      <w:r w:rsidR="00CE4A25" w:rsidRPr="00CE4A25">
        <w:t xml:space="preserve"> </w:t>
      </w:r>
      <w:r w:rsidR="00CE4A25" w:rsidRPr="00CE4A25">
        <w:rPr>
          <w:rFonts w:asciiTheme="minorHAnsi" w:hAnsiTheme="minorHAnsi"/>
          <w:i/>
          <w:sz w:val="22"/>
          <w:szCs w:val="22"/>
        </w:rPr>
        <w:t>Bijwerkingen van pyrimidon (sedatie, duizeligheid en misselijkheid) komen vaak voor. Wanneer het wordt gebruikt, moet het met een lage dosis worden gestart en langzaam worden verhoogd.</w:t>
      </w:r>
    </w:p>
    <w:p w14:paraId="5FE1401D" w14:textId="77777777" w:rsidR="00CE4A25" w:rsidRPr="00D23A56" w:rsidRDefault="00CE4A25" w:rsidP="00CE4A25">
      <w:pPr>
        <w:spacing w:line="360" w:lineRule="auto"/>
        <w:jc w:val="both"/>
        <w:rPr>
          <w:rFonts w:asciiTheme="minorHAnsi" w:hAnsiTheme="minorHAnsi"/>
          <w:b/>
          <w:i/>
          <w:sz w:val="22"/>
          <w:szCs w:val="22"/>
        </w:rPr>
      </w:pPr>
    </w:p>
    <w:p w14:paraId="225983E4" w14:textId="2A1EEDEC" w:rsidR="00AF4C98" w:rsidRPr="00D23A56" w:rsidRDefault="0087687F" w:rsidP="00CE4A25">
      <w:pPr>
        <w:jc w:val="both"/>
        <w:rPr>
          <w:rFonts w:asciiTheme="minorHAnsi" w:hAnsiTheme="minorHAnsi"/>
          <w:sz w:val="22"/>
          <w:szCs w:val="22"/>
          <w:lang w:eastAsia="en-GB"/>
        </w:rPr>
      </w:pPr>
      <w:r w:rsidRPr="00D23A56">
        <w:rPr>
          <w:rFonts w:asciiTheme="minorHAnsi" w:hAnsiTheme="minorHAnsi"/>
          <w:b/>
          <w:sz w:val="22"/>
          <w:szCs w:val="22"/>
        </w:rPr>
        <w:t xml:space="preserve">B6. </w:t>
      </w:r>
      <w:r w:rsidR="00CE4A25" w:rsidRPr="00CE4A25">
        <w:rPr>
          <w:rFonts w:asciiTheme="minorHAnsi" w:hAnsiTheme="minorHAnsi"/>
          <w:b/>
          <w:sz w:val="22"/>
          <w:szCs w:val="22"/>
        </w:rPr>
        <w:t xml:space="preserve">In aanwezigheid van de idiopathische ziekte van Parkinson die functionele (functionele) stoornis en invaliditeit veroorzaakt, is het </w:t>
      </w:r>
      <w:r w:rsidR="00CE4A25">
        <w:rPr>
          <w:rFonts w:asciiTheme="minorHAnsi" w:hAnsiTheme="minorHAnsi"/>
          <w:b/>
          <w:sz w:val="22"/>
          <w:szCs w:val="22"/>
        </w:rPr>
        <w:t>geschikt</w:t>
      </w:r>
      <w:r w:rsidR="00CE4A25" w:rsidRPr="00CE4A25">
        <w:rPr>
          <w:rFonts w:asciiTheme="minorHAnsi" w:hAnsiTheme="minorHAnsi"/>
          <w:b/>
          <w:sz w:val="22"/>
          <w:szCs w:val="22"/>
        </w:rPr>
        <w:t xml:space="preserve"> om de behandeling met L-dopa te starten</w:t>
      </w:r>
    </w:p>
    <w:p w14:paraId="68C87009" w14:textId="77777777" w:rsidR="0087687F" w:rsidRPr="00D23A56" w:rsidRDefault="0087687F" w:rsidP="0087687F">
      <w:pPr>
        <w:spacing w:before="100" w:beforeAutospacing="1" w:after="100" w:afterAutospacing="1"/>
        <w:contextualSpacing/>
        <w:jc w:val="both"/>
        <w:rPr>
          <w:rFonts w:asciiTheme="minorHAnsi" w:hAnsiTheme="minorHAnsi"/>
          <w:sz w:val="22"/>
          <w:szCs w:val="22"/>
        </w:rPr>
      </w:pPr>
    </w:p>
    <w:p w14:paraId="6C7F062C" w14:textId="77777777" w:rsidR="00B4173A" w:rsidRPr="00D23A56" w:rsidRDefault="00B4173A" w:rsidP="0087687F">
      <w:pPr>
        <w:spacing w:before="100" w:beforeAutospacing="1" w:after="100" w:afterAutospacing="1"/>
        <w:contextualSpacing/>
        <w:jc w:val="both"/>
        <w:rPr>
          <w:rFonts w:asciiTheme="minorHAnsi" w:hAnsiTheme="minorHAnsi"/>
          <w:sz w:val="22"/>
          <w:szCs w:val="22"/>
        </w:rPr>
      </w:pPr>
    </w:p>
    <w:p w14:paraId="397AED01" w14:textId="054C4BC6" w:rsidR="00F33FC1" w:rsidRPr="00D23A56" w:rsidRDefault="0087687F" w:rsidP="0092157C">
      <w:pPr>
        <w:spacing w:line="360" w:lineRule="auto"/>
        <w:jc w:val="both"/>
        <w:rPr>
          <w:rFonts w:asciiTheme="minorHAnsi" w:hAnsiTheme="minorHAnsi"/>
          <w:b/>
          <w:color w:val="000000"/>
          <w:sz w:val="22"/>
          <w:szCs w:val="22"/>
        </w:rPr>
      </w:pPr>
      <w:r w:rsidRPr="00D23A56">
        <w:rPr>
          <w:rFonts w:asciiTheme="minorHAnsi" w:hAnsiTheme="minorHAnsi"/>
          <w:b/>
          <w:sz w:val="22"/>
          <w:szCs w:val="22"/>
        </w:rPr>
        <w:lastRenderedPageBreak/>
        <w:t xml:space="preserve">B7. </w:t>
      </w:r>
      <w:r w:rsidR="0092157C" w:rsidRPr="0092157C">
        <w:rPr>
          <w:rFonts w:asciiTheme="minorHAnsi" w:hAnsiTheme="minorHAnsi"/>
          <w:b/>
          <w:sz w:val="22"/>
          <w:szCs w:val="22"/>
        </w:rPr>
        <w:t xml:space="preserve">Wanneer aan-uit motorische fluctuaties optreden bij idiopathische Parkinson-patiënten, is het </w:t>
      </w:r>
      <w:r w:rsidR="0059022D">
        <w:rPr>
          <w:rFonts w:asciiTheme="minorHAnsi" w:hAnsiTheme="minorHAnsi"/>
          <w:b/>
          <w:sz w:val="22"/>
          <w:szCs w:val="22"/>
        </w:rPr>
        <w:t>geschikt</w:t>
      </w:r>
      <w:r w:rsidR="0092157C" w:rsidRPr="0092157C">
        <w:rPr>
          <w:rFonts w:asciiTheme="minorHAnsi" w:hAnsiTheme="minorHAnsi"/>
          <w:b/>
          <w:sz w:val="22"/>
          <w:szCs w:val="22"/>
        </w:rPr>
        <w:t xml:space="preserve"> om een ​​MAO-B-remmer of COMT-remmer toe te voegen aan de L-dopa-therapie.</w:t>
      </w:r>
    </w:p>
    <w:p w14:paraId="3BE31887" w14:textId="77777777" w:rsidR="00F33FC1" w:rsidRPr="00D23A56" w:rsidRDefault="00F33FC1" w:rsidP="00D43402">
      <w:pPr>
        <w:shd w:val="clear" w:color="auto" w:fill="FFFFFF"/>
        <w:spacing w:before="100" w:beforeAutospacing="1" w:after="100" w:afterAutospacing="1"/>
        <w:contextualSpacing/>
        <w:jc w:val="both"/>
        <w:rPr>
          <w:rFonts w:asciiTheme="minorHAnsi" w:hAnsiTheme="minorHAnsi"/>
          <w:b/>
          <w:color w:val="000000"/>
          <w:sz w:val="22"/>
          <w:szCs w:val="22"/>
        </w:rPr>
      </w:pPr>
    </w:p>
    <w:p w14:paraId="637CCFA2" w14:textId="359438A4" w:rsidR="0059022D" w:rsidRDefault="0087687F" w:rsidP="0087687F">
      <w:pPr>
        <w:shd w:val="clear" w:color="auto" w:fill="FFFFFF"/>
        <w:spacing w:before="100" w:beforeAutospacing="1" w:after="100" w:afterAutospacing="1" w:line="360" w:lineRule="auto"/>
        <w:contextualSpacing/>
        <w:jc w:val="both"/>
        <w:rPr>
          <w:rFonts w:asciiTheme="minorHAnsi" w:hAnsiTheme="minorHAnsi"/>
          <w:b/>
          <w:color w:val="000000"/>
          <w:sz w:val="22"/>
          <w:szCs w:val="22"/>
        </w:rPr>
      </w:pPr>
      <w:r w:rsidRPr="00D23A56">
        <w:rPr>
          <w:rFonts w:asciiTheme="minorHAnsi" w:hAnsiTheme="minorHAnsi"/>
          <w:b/>
          <w:color w:val="000000"/>
          <w:sz w:val="22"/>
          <w:szCs w:val="22"/>
        </w:rPr>
        <w:t xml:space="preserve">B8. </w:t>
      </w:r>
      <w:r w:rsidR="0059022D" w:rsidRPr="0059022D">
        <w:rPr>
          <w:rFonts w:asciiTheme="minorHAnsi" w:hAnsiTheme="minorHAnsi"/>
          <w:b/>
          <w:color w:val="000000"/>
          <w:sz w:val="22"/>
          <w:szCs w:val="22"/>
        </w:rPr>
        <w:t>Bij patiënten met het rustelozebenensyndroom bij wie ijzertekort en chronisch nierfalen zijn uitgesloten, moeten alfa-2-delta-calciumkanaalblokkers (pregabaline, gabapentine) of dopamine-agonisten (pramipexol/ropinirol/rotigotine) worden gestart als de sympt</w:t>
      </w:r>
      <w:r w:rsidR="0059022D">
        <w:rPr>
          <w:rFonts w:asciiTheme="minorHAnsi" w:hAnsiTheme="minorHAnsi"/>
          <w:b/>
          <w:color w:val="000000"/>
          <w:sz w:val="22"/>
          <w:szCs w:val="22"/>
        </w:rPr>
        <w:t>omen de kwaliteit van het leven negatief beinvloed.</w:t>
      </w:r>
    </w:p>
    <w:p w14:paraId="79E60F3F" w14:textId="0AE6876E" w:rsidR="004613B7" w:rsidRPr="00D23A56" w:rsidRDefault="0087687F" w:rsidP="0059022D">
      <w:pPr>
        <w:shd w:val="clear" w:color="auto" w:fill="FFFFFF"/>
        <w:spacing w:before="100" w:beforeAutospacing="1" w:after="100" w:afterAutospacing="1" w:line="360" w:lineRule="auto"/>
        <w:contextualSpacing/>
        <w:jc w:val="both"/>
        <w:rPr>
          <w:rFonts w:asciiTheme="minorHAnsi" w:hAnsiTheme="minorHAnsi"/>
          <w:b/>
          <w:i/>
          <w:color w:val="5B9BD5" w:themeColor="accent5"/>
          <w:sz w:val="22"/>
          <w:szCs w:val="22"/>
          <w:u w:val="single"/>
        </w:rPr>
      </w:pPr>
      <w:r w:rsidRPr="00D23A56">
        <w:rPr>
          <w:rFonts w:asciiTheme="minorHAnsi" w:hAnsiTheme="minorHAnsi"/>
          <w:bCs/>
          <w:i/>
          <w:color w:val="000000"/>
          <w:sz w:val="22"/>
          <w:szCs w:val="22"/>
        </w:rPr>
        <w:t>*</w:t>
      </w:r>
      <w:r w:rsidR="0059022D" w:rsidRPr="0059022D">
        <w:t xml:space="preserve"> </w:t>
      </w:r>
      <w:r w:rsidR="0059022D" w:rsidRPr="0059022D">
        <w:rPr>
          <w:rFonts w:asciiTheme="minorHAnsi" w:hAnsiTheme="minorHAnsi"/>
          <w:bCs/>
          <w:i/>
          <w:color w:val="000000"/>
          <w:sz w:val="22"/>
          <w:szCs w:val="22"/>
        </w:rPr>
        <w:t>Behandeling met levodopa (50-200 mg) kan geschikt zijn, vooral in gevallen met intermitterende symptomen. Het kan ook de voorkeur hebben in symptomatische gevallen met nierfalen.</w:t>
      </w:r>
    </w:p>
    <w:p w14:paraId="01B07368" w14:textId="77777777" w:rsidR="0087687F" w:rsidRPr="00D23A56" w:rsidRDefault="0087687F" w:rsidP="00D43402">
      <w:pPr>
        <w:contextualSpacing/>
        <w:jc w:val="both"/>
        <w:rPr>
          <w:rFonts w:asciiTheme="minorHAnsi" w:hAnsiTheme="minorHAnsi"/>
          <w:b/>
          <w:i/>
          <w:color w:val="5B9BD5" w:themeColor="accent5"/>
          <w:sz w:val="22"/>
          <w:szCs w:val="22"/>
          <w:u w:val="single"/>
        </w:rPr>
      </w:pPr>
    </w:p>
    <w:p w14:paraId="69481546" w14:textId="77777777" w:rsidR="00F33FC1" w:rsidRPr="00D23A56" w:rsidRDefault="00F33FC1" w:rsidP="00D43402">
      <w:pPr>
        <w:contextualSpacing/>
        <w:jc w:val="both"/>
        <w:rPr>
          <w:rFonts w:asciiTheme="minorHAnsi" w:hAnsiTheme="minorHAnsi"/>
          <w:b/>
          <w:i/>
          <w:color w:val="5B9BD5" w:themeColor="accent5"/>
          <w:sz w:val="22"/>
          <w:szCs w:val="22"/>
          <w:u w:val="single"/>
        </w:rPr>
      </w:pPr>
    </w:p>
    <w:p w14:paraId="7B15D85E" w14:textId="7BD2304D" w:rsidR="00F33FC1" w:rsidRPr="00D23A56" w:rsidRDefault="00F33FC1" w:rsidP="00D43402">
      <w:pPr>
        <w:spacing w:before="100" w:beforeAutospacing="1" w:after="100" w:afterAutospacing="1"/>
        <w:contextualSpacing/>
        <w:jc w:val="both"/>
        <w:rPr>
          <w:rFonts w:asciiTheme="minorHAnsi" w:hAnsiTheme="minorHAnsi"/>
          <w:b/>
          <w:sz w:val="28"/>
          <w:szCs w:val="28"/>
        </w:rPr>
      </w:pPr>
      <w:r w:rsidRPr="00D23A56">
        <w:rPr>
          <w:rFonts w:asciiTheme="minorHAnsi" w:hAnsiTheme="minorHAnsi"/>
          <w:b/>
          <w:sz w:val="28"/>
          <w:szCs w:val="28"/>
        </w:rPr>
        <w:t xml:space="preserve">C: </w:t>
      </w:r>
      <w:r w:rsidR="0059022D" w:rsidRPr="0059022D">
        <w:rPr>
          <w:rFonts w:asciiTheme="minorHAnsi" w:hAnsiTheme="minorHAnsi"/>
          <w:b/>
          <w:sz w:val="28"/>
          <w:szCs w:val="28"/>
        </w:rPr>
        <w:t>Gastro-intestinale systeemcriteria.</w:t>
      </w:r>
    </w:p>
    <w:p w14:paraId="101A92C6" w14:textId="77777777" w:rsidR="0087687F" w:rsidRPr="00D23A56" w:rsidRDefault="0087687F" w:rsidP="00D43402">
      <w:pPr>
        <w:ind w:left="360"/>
        <w:contextualSpacing/>
        <w:jc w:val="both"/>
        <w:rPr>
          <w:rFonts w:asciiTheme="minorHAnsi" w:hAnsiTheme="minorHAnsi"/>
          <w:sz w:val="22"/>
          <w:szCs w:val="22"/>
        </w:rPr>
      </w:pPr>
    </w:p>
    <w:p w14:paraId="667D7CE2" w14:textId="77777777" w:rsidR="00D43402" w:rsidRPr="00D23A56" w:rsidRDefault="00D43402" w:rsidP="00D43402">
      <w:pPr>
        <w:ind w:left="360"/>
        <w:contextualSpacing/>
        <w:jc w:val="both"/>
        <w:rPr>
          <w:rFonts w:asciiTheme="minorHAnsi" w:hAnsiTheme="minorHAnsi"/>
          <w:sz w:val="22"/>
          <w:szCs w:val="22"/>
        </w:rPr>
      </w:pPr>
    </w:p>
    <w:p w14:paraId="144D6251" w14:textId="304715A7" w:rsidR="0087687F" w:rsidRPr="00D23A56" w:rsidRDefault="0087687F" w:rsidP="0059022D">
      <w:pPr>
        <w:pStyle w:val="HTMLncedenBiimlendirilmi"/>
        <w:contextualSpacing/>
        <w:jc w:val="both"/>
        <w:rPr>
          <w:rFonts w:asciiTheme="minorHAnsi" w:hAnsiTheme="minorHAnsi"/>
          <w:b/>
          <w:iCs/>
          <w:color w:val="000000" w:themeColor="text1"/>
          <w:sz w:val="22"/>
          <w:szCs w:val="22"/>
        </w:rPr>
      </w:pPr>
      <w:r w:rsidRPr="00D23A56">
        <w:rPr>
          <w:rFonts w:asciiTheme="minorHAnsi" w:hAnsiTheme="minorHAnsi" w:cs="Times New Roman"/>
          <w:b/>
          <w:sz w:val="22"/>
          <w:szCs w:val="22"/>
        </w:rPr>
        <w:t xml:space="preserve">C1. </w:t>
      </w:r>
      <w:r w:rsidR="0059022D" w:rsidRPr="0059022D">
        <w:rPr>
          <w:rFonts w:asciiTheme="minorHAnsi" w:hAnsiTheme="minorHAnsi" w:cs="Times New Roman"/>
          <w:b/>
          <w:sz w:val="22"/>
          <w:szCs w:val="22"/>
        </w:rPr>
        <w:t xml:space="preserve">In gevallen met symptomatische constipatie die niet reageert op veranderingen in levensstijl (dieet-oefening), is het </w:t>
      </w:r>
      <w:r w:rsidR="0059022D">
        <w:rPr>
          <w:rFonts w:asciiTheme="minorHAnsi" w:hAnsiTheme="minorHAnsi" w:cs="Times New Roman"/>
          <w:b/>
          <w:sz w:val="22"/>
          <w:szCs w:val="22"/>
        </w:rPr>
        <w:t>geschikt</w:t>
      </w:r>
      <w:r w:rsidR="0059022D" w:rsidRPr="0059022D">
        <w:rPr>
          <w:rFonts w:asciiTheme="minorHAnsi" w:hAnsiTheme="minorHAnsi" w:cs="Times New Roman"/>
          <w:b/>
          <w:sz w:val="22"/>
          <w:szCs w:val="22"/>
        </w:rPr>
        <w:t xml:space="preserve"> om fecale plug-and-start-vezelondersteuning (psyllium, methylcellulose, polycarbophil, tarwedextrine) of polyethyleenglycol uit te sluiten.</w:t>
      </w:r>
    </w:p>
    <w:p w14:paraId="77C1752B" w14:textId="77777777" w:rsidR="0087687F" w:rsidRPr="00D23A56" w:rsidRDefault="0087687F" w:rsidP="0087687F">
      <w:pPr>
        <w:tabs>
          <w:tab w:val="center" w:pos="4536"/>
        </w:tabs>
        <w:jc w:val="both"/>
        <w:rPr>
          <w:rFonts w:asciiTheme="minorHAnsi" w:hAnsiTheme="minorHAnsi"/>
          <w:b/>
          <w:iCs/>
          <w:color w:val="000000" w:themeColor="text1"/>
          <w:sz w:val="22"/>
          <w:szCs w:val="22"/>
        </w:rPr>
      </w:pPr>
    </w:p>
    <w:p w14:paraId="53B8F838" w14:textId="77777777" w:rsidR="00F33FC1" w:rsidRPr="00D23A56" w:rsidRDefault="00F33FC1" w:rsidP="0087687F">
      <w:pPr>
        <w:tabs>
          <w:tab w:val="center" w:pos="4536"/>
        </w:tabs>
        <w:jc w:val="both"/>
        <w:rPr>
          <w:rFonts w:asciiTheme="minorHAnsi" w:hAnsiTheme="minorHAnsi"/>
          <w:b/>
          <w:iCs/>
          <w:color w:val="000000" w:themeColor="text1"/>
          <w:sz w:val="22"/>
          <w:szCs w:val="22"/>
        </w:rPr>
      </w:pPr>
    </w:p>
    <w:p w14:paraId="6B8EA38A" w14:textId="31FF53D8" w:rsidR="00F33FC1" w:rsidRPr="00D23A56" w:rsidRDefault="00F33FC1" w:rsidP="009B6E20">
      <w:pPr>
        <w:contextualSpacing/>
        <w:jc w:val="both"/>
        <w:rPr>
          <w:rFonts w:asciiTheme="minorHAnsi" w:hAnsiTheme="minorHAnsi"/>
          <w:b/>
          <w:sz w:val="22"/>
          <w:szCs w:val="22"/>
        </w:rPr>
      </w:pPr>
      <w:r w:rsidRPr="00D23A56">
        <w:rPr>
          <w:rFonts w:asciiTheme="minorHAnsi" w:hAnsiTheme="minorHAnsi"/>
          <w:b/>
          <w:sz w:val="28"/>
          <w:szCs w:val="28"/>
        </w:rPr>
        <w:t xml:space="preserve">D: </w:t>
      </w:r>
      <w:r w:rsidR="0059022D" w:rsidRPr="0059022D">
        <w:rPr>
          <w:rFonts w:asciiTheme="minorHAnsi" w:hAnsiTheme="minorHAnsi"/>
          <w:b/>
          <w:sz w:val="28"/>
          <w:szCs w:val="28"/>
        </w:rPr>
        <w:t>Criteria voor het ademhalingssysteem.</w:t>
      </w:r>
    </w:p>
    <w:p w14:paraId="5A24CA5C" w14:textId="77777777" w:rsidR="00F33FC1" w:rsidRPr="00D23A56" w:rsidRDefault="00F33FC1" w:rsidP="009B6E20">
      <w:pPr>
        <w:contextualSpacing/>
        <w:jc w:val="both"/>
        <w:rPr>
          <w:rFonts w:asciiTheme="minorHAnsi" w:hAnsiTheme="minorHAnsi"/>
          <w:b/>
          <w:sz w:val="22"/>
          <w:szCs w:val="22"/>
        </w:rPr>
      </w:pPr>
    </w:p>
    <w:p w14:paraId="5074148C" w14:textId="77777777" w:rsidR="009B6E20" w:rsidRPr="00D23A56" w:rsidRDefault="009B6E20" w:rsidP="009B6E20">
      <w:pPr>
        <w:spacing w:before="100" w:beforeAutospacing="1" w:after="100" w:afterAutospacing="1"/>
        <w:contextualSpacing/>
        <w:jc w:val="both"/>
        <w:rPr>
          <w:rFonts w:asciiTheme="minorHAnsi" w:hAnsiTheme="minorHAnsi"/>
          <w:b/>
          <w:sz w:val="22"/>
          <w:szCs w:val="22"/>
        </w:rPr>
      </w:pPr>
    </w:p>
    <w:p w14:paraId="44E8872D" w14:textId="4EEAD41C" w:rsidR="00F33FC1" w:rsidRPr="00D23A56" w:rsidRDefault="0087687F" w:rsidP="0059022D">
      <w:pPr>
        <w:spacing w:before="100" w:beforeAutospacing="1" w:after="100" w:afterAutospacing="1"/>
        <w:contextualSpacing/>
        <w:jc w:val="both"/>
        <w:rPr>
          <w:rFonts w:asciiTheme="minorHAnsi" w:hAnsiTheme="minorHAnsi"/>
          <w:color w:val="000000" w:themeColor="text1"/>
          <w:sz w:val="22"/>
          <w:szCs w:val="22"/>
          <w:lang w:eastAsia="en-GB"/>
        </w:rPr>
      </w:pPr>
      <w:r w:rsidRPr="00D23A56">
        <w:rPr>
          <w:rFonts w:asciiTheme="minorHAnsi" w:hAnsiTheme="minorHAnsi"/>
          <w:b/>
          <w:sz w:val="22"/>
          <w:szCs w:val="22"/>
        </w:rPr>
        <w:t xml:space="preserve">D1. </w:t>
      </w:r>
      <w:r w:rsidR="0059022D" w:rsidRPr="0059022D">
        <w:rPr>
          <w:rFonts w:asciiTheme="minorHAnsi" w:hAnsiTheme="minorHAnsi"/>
          <w:b/>
          <w:sz w:val="22"/>
          <w:szCs w:val="22"/>
        </w:rPr>
        <w:t xml:space="preserve">Het is </w:t>
      </w:r>
      <w:r w:rsidR="0059022D">
        <w:rPr>
          <w:rFonts w:asciiTheme="minorHAnsi" w:hAnsiTheme="minorHAnsi"/>
          <w:b/>
          <w:sz w:val="22"/>
          <w:szCs w:val="22"/>
        </w:rPr>
        <w:t>geschikt</w:t>
      </w:r>
      <w:r w:rsidR="0059022D" w:rsidRPr="0059022D">
        <w:rPr>
          <w:rFonts w:asciiTheme="minorHAnsi" w:hAnsiTheme="minorHAnsi"/>
          <w:b/>
          <w:sz w:val="22"/>
          <w:szCs w:val="22"/>
        </w:rPr>
        <w:t xml:space="preserve"> om bij patiënten met lichte tot matige astma of COPD regelmatig een inhalatie-bèta2-agonist of anticholinerge therapie te starten.</w:t>
      </w:r>
    </w:p>
    <w:p w14:paraId="45BB95A6" w14:textId="77777777" w:rsidR="00787C15" w:rsidRPr="00D23A56" w:rsidRDefault="00787C15" w:rsidP="009B6E20">
      <w:pPr>
        <w:spacing w:before="100" w:beforeAutospacing="1" w:after="100" w:afterAutospacing="1"/>
        <w:contextualSpacing/>
        <w:jc w:val="both"/>
        <w:rPr>
          <w:rFonts w:asciiTheme="minorHAnsi" w:hAnsiTheme="minorHAnsi"/>
          <w:b/>
          <w:sz w:val="22"/>
          <w:szCs w:val="22"/>
        </w:rPr>
      </w:pPr>
    </w:p>
    <w:p w14:paraId="4D0D911D" w14:textId="3F171F4F" w:rsidR="009B6E20" w:rsidRPr="00D23A56" w:rsidRDefault="0087687F" w:rsidP="0059022D">
      <w:pPr>
        <w:spacing w:before="100" w:beforeAutospacing="1" w:after="100" w:afterAutospacing="1"/>
        <w:contextualSpacing/>
        <w:jc w:val="both"/>
        <w:rPr>
          <w:rFonts w:asciiTheme="minorHAnsi" w:hAnsiTheme="minorHAnsi"/>
          <w:color w:val="000000" w:themeColor="text1"/>
          <w:sz w:val="22"/>
          <w:szCs w:val="22"/>
        </w:rPr>
      </w:pPr>
      <w:r w:rsidRPr="00D23A56">
        <w:rPr>
          <w:rFonts w:asciiTheme="minorHAnsi" w:hAnsiTheme="minorHAnsi"/>
          <w:b/>
          <w:color w:val="212121"/>
          <w:sz w:val="22"/>
          <w:szCs w:val="22"/>
          <w:shd w:val="clear" w:color="auto" w:fill="FFFFFF"/>
        </w:rPr>
        <w:t xml:space="preserve">D2. </w:t>
      </w:r>
      <w:r w:rsidR="0059022D" w:rsidRPr="0059022D">
        <w:rPr>
          <w:rFonts w:asciiTheme="minorHAnsi" w:hAnsiTheme="minorHAnsi"/>
          <w:b/>
          <w:color w:val="212121"/>
          <w:sz w:val="22"/>
          <w:szCs w:val="22"/>
          <w:shd w:val="clear" w:color="auto" w:fill="FFFFFF"/>
        </w:rPr>
        <w:t xml:space="preserve">Het is </w:t>
      </w:r>
      <w:r w:rsidR="0059022D">
        <w:rPr>
          <w:rFonts w:asciiTheme="minorHAnsi" w:hAnsiTheme="minorHAnsi"/>
          <w:b/>
          <w:color w:val="212121"/>
          <w:sz w:val="22"/>
          <w:szCs w:val="22"/>
          <w:shd w:val="clear" w:color="auto" w:fill="FFFFFF"/>
        </w:rPr>
        <w:t>geschikt</w:t>
      </w:r>
      <w:r w:rsidR="0059022D" w:rsidRPr="0059022D">
        <w:rPr>
          <w:rFonts w:asciiTheme="minorHAnsi" w:hAnsiTheme="minorHAnsi"/>
          <w:b/>
          <w:color w:val="212121"/>
          <w:sz w:val="22"/>
          <w:szCs w:val="22"/>
          <w:shd w:val="clear" w:color="auto" w:fill="FFFFFF"/>
        </w:rPr>
        <w:t xml:space="preserve"> om regelmatige behandeling met inhalatiecorticosteroïden te starten bij matige tot ernstige astma- of COPD-patiënten met een FEV1 &lt; 50% en terugkerende exacerbaties die behandeling met orale steroïden vereisen.</w:t>
      </w:r>
    </w:p>
    <w:p w14:paraId="1C84F64E"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000000" w:themeColor="text1"/>
          <w:sz w:val="22"/>
          <w:szCs w:val="22"/>
        </w:rPr>
      </w:pPr>
    </w:p>
    <w:p w14:paraId="2BDC61CB" w14:textId="3F66E586" w:rsidR="009B6E20" w:rsidRPr="00D23A56" w:rsidRDefault="0087687F"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000000" w:themeColor="text1"/>
          <w:sz w:val="22"/>
          <w:szCs w:val="22"/>
        </w:rPr>
      </w:pPr>
      <w:r w:rsidRPr="00D23A56">
        <w:rPr>
          <w:rFonts w:asciiTheme="minorHAnsi" w:hAnsiTheme="minorHAnsi"/>
          <w:b/>
          <w:sz w:val="22"/>
          <w:szCs w:val="22"/>
        </w:rPr>
        <w:t xml:space="preserve">D3. </w:t>
      </w:r>
      <w:r w:rsidR="0059022D" w:rsidRPr="0059022D">
        <w:rPr>
          <w:rFonts w:asciiTheme="minorHAnsi" w:hAnsiTheme="minorHAnsi"/>
          <w:b/>
          <w:sz w:val="22"/>
          <w:szCs w:val="22"/>
        </w:rPr>
        <w:t xml:space="preserve">Het is </w:t>
      </w:r>
      <w:r w:rsidR="0059022D">
        <w:rPr>
          <w:rFonts w:asciiTheme="minorHAnsi" w:hAnsiTheme="minorHAnsi"/>
          <w:b/>
          <w:sz w:val="22"/>
          <w:szCs w:val="22"/>
        </w:rPr>
        <w:t>geschikt</w:t>
      </w:r>
      <w:r w:rsidR="0059022D" w:rsidRPr="0059022D">
        <w:rPr>
          <w:rFonts w:asciiTheme="minorHAnsi" w:hAnsiTheme="minorHAnsi"/>
          <w:b/>
          <w:sz w:val="22"/>
          <w:szCs w:val="22"/>
        </w:rPr>
        <w:t xml:space="preserve"> om thuis continue zuurstoftherapie te starten bij patiënten met chronische hypoxemie (pO2&lt;= 55 mmHg of SO2&lt;= 88%)</w:t>
      </w:r>
    </w:p>
    <w:p w14:paraId="617EEDEF" w14:textId="77777777" w:rsidR="0087687F" w:rsidRPr="00D23A56" w:rsidRDefault="0087687F" w:rsidP="0087687F">
      <w:pPr>
        <w:jc w:val="both"/>
        <w:rPr>
          <w:rFonts w:asciiTheme="minorHAnsi" w:hAnsiTheme="minorHAnsi"/>
          <w:sz w:val="22"/>
          <w:szCs w:val="22"/>
        </w:rPr>
      </w:pPr>
    </w:p>
    <w:p w14:paraId="5D7AD01A" w14:textId="77777777" w:rsidR="00851AFB" w:rsidRPr="00D23A56" w:rsidRDefault="00851AFB" w:rsidP="0087687F">
      <w:pPr>
        <w:jc w:val="both"/>
        <w:rPr>
          <w:rFonts w:asciiTheme="minorHAnsi" w:hAnsiTheme="minorHAnsi"/>
          <w:sz w:val="22"/>
          <w:szCs w:val="22"/>
        </w:rPr>
      </w:pPr>
    </w:p>
    <w:p w14:paraId="4B8E4CF6" w14:textId="77777777" w:rsidR="00851AFB" w:rsidRPr="00D23A56" w:rsidRDefault="00851AFB" w:rsidP="0087687F">
      <w:pPr>
        <w:jc w:val="both"/>
        <w:rPr>
          <w:rFonts w:asciiTheme="minorHAnsi" w:hAnsiTheme="minorHAnsi"/>
          <w:sz w:val="22"/>
          <w:szCs w:val="22"/>
        </w:rPr>
      </w:pPr>
    </w:p>
    <w:p w14:paraId="2D2B5934" w14:textId="1D764AD1" w:rsidR="00851AFB" w:rsidRPr="00D23A56" w:rsidRDefault="00851AFB" w:rsidP="009B6E20">
      <w:pPr>
        <w:contextualSpacing/>
        <w:jc w:val="both"/>
        <w:rPr>
          <w:rFonts w:asciiTheme="minorHAnsi" w:hAnsiTheme="minorHAnsi"/>
          <w:b/>
          <w:sz w:val="28"/>
          <w:szCs w:val="28"/>
        </w:rPr>
      </w:pPr>
      <w:r w:rsidRPr="00D23A56">
        <w:rPr>
          <w:rFonts w:asciiTheme="minorHAnsi" w:hAnsiTheme="minorHAnsi"/>
          <w:b/>
          <w:sz w:val="28"/>
          <w:szCs w:val="28"/>
        </w:rPr>
        <w:t xml:space="preserve">E: </w:t>
      </w:r>
      <w:r w:rsidR="0059022D" w:rsidRPr="0059022D">
        <w:rPr>
          <w:rFonts w:asciiTheme="minorHAnsi" w:hAnsiTheme="minorHAnsi"/>
          <w:b/>
          <w:sz w:val="28"/>
          <w:szCs w:val="28"/>
        </w:rPr>
        <w:t>Criteria voor het bewegingsapparaat en pijnstillers.</w:t>
      </w:r>
    </w:p>
    <w:p w14:paraId="7309DF94" w14:textId="77777777" w:rsidR="00851AFB" w:rsidRPr="00D23A56" w:rsidRDefault="00851AFB" w:rsidP="009B6E20">
      <w:pPr>
        <w:spacing w:before="100" w:beforeAutospacing="1" w:after="100" w:afterAutospacing="1"/>
        <w:contextualSpacing/>
        <w:jc w:val="both"/>
        <w:rPr>
          <w:rFonts w:asciiTheme="minorHAnsi" w:hAnsiTheme="minorHAnsi"/>
          <w:b/>
          <w:color w:val="000000"/>
          <w:sz w:val="22"/>
          <w:szCs w:val="22"/>
        </w:rPr>
      </w:pPr>
    </w:p>
    <w:p w14:paraId="5CD319BD" w14:textId="77777777" w:rsidR="00851AFB" w:rsidRPr="00D23A56" w:rsidRDefault="00851AFB" w:rsidP="009B6E20">
      <w:pPr>
        <w:spacing w:before="100" w:beforeAutospacing="1" w:after="100" w:afterAutospacing="1"/>
        <w:contextualSpacing/>
        <w:jc w:val="both"/>
        <w:rPr>
          <w:rFonts w:asciiTheme="minorHAnsi" w:hAnsiTheme="minorHAnsi"/>
          <w:b/>
          <w:color w:val="000000"/>
          <w:sz w:val="22"/>
          <w:szCs w:val="22"/>
        </w:rPr>
      </w:pPr>
    </w:p>
    <w:p w14:paraId="298F53EF" w14:textId="77777777" w:rsidR="009B6E20" w:rsidRPr="00D23A56" w:rsidRDefault="009B6E20" w:rsidP="009B6E20">
      <w:pPr>
        <w:spacing w:before="100" w:beforeAutospacing="1" w:after="100" w:afterAutospacing="1"/>
        <w:contextualSpacing/>
        <w:jc w:val="both"/>
        <w:rPr>
          <w:rFonts w:asciiTheme="minorHAnsi" w:hAnsiTheme="minorHAnsi"/>
          <w:b/>
          <w:color w:val="000000"/>
          <w:sz w:val="22"/>
          <w:szCs w:val="22"/>
        </w:rPr>
      </w:pPr>
    </w:p>
    <w:p w14:paraId="10D43B7B" w14:textId="6956B63D" w:rsidR="009B6E20" w:rsidRPr="00D23A56" w:rsidRDefault="008A4F48" w:rsidP="0059022D">
      <w:pPr>
        <w:spacing w:before="100" w:beforeAutospacing="1" w:after="100" w:afterAutospacing="1" w:line="360" w:lineRule="auto"/>
        <w:contextualSpacing/>
        <w:jc w:val="both"/>
        <w:rPr>
          <w:rFonts w:asciiTheme="minorHAnsi" w:hAnsiTheme="minorHAnsi"/>
          <w:b/>
          <w:color w:val="000000"/>
          <w:sz w:val="22"/>
          <w:szCs w:val="22"/>
        </w:rPr>
      </w:pPr>
      <w:r>
        <w:rPr>
          <w:rFonts w:ascii="Calibri" w:hAnsi="Calibri" w:cs="Calibri"/>
          <w:b/>
          <w:sz w:val="22"/>
          <w:szCs w:val="22"/>
        </w:rPr>
        <w:t>#</w:t>
      </w:r>
      <w:r w:rsidR="0087687F" w:rsidRPr="00D23A56">
        <w:rPr>
          <w:rFonts w:asciiTheme="minorHAnsi" w:hAnsiTheme="minorHAnsi"/>
          <w:b/>
          <w:color w:val="000000"/>
          <w:sz w:val="22"/>
          <w:szCs w:val="22"/>
        </w:rPr>
        <w:t xml:space="preserve">E1. </w:t>
      </w:r>
      <w:r w:rsidR="0059022D" w:rsidRPr="0059022D">
        <w:rPr>
          <w:rFonts w:asciiTheme="minorHAnsi" w:hAnsiTheme="minorHAnsi"/>
          <w:b/>
          <w:color w:val="000000"/>
          <w:sz w:val="22"/>
          <w:szCs w:val="22"/>
        </w:rPr>
        <w:t xml:space="preserve">Het is </w:t>
      </w:r>
      <w:r w:rsidR="0059022D">
        <w:rPr>
          <w:rFonts w:asciiTheme="minorHAnsi" w:hAnsiTheme="minorHAnsi"/>
          <w:b/>
          <w:color w:val="000000"/>
          <w:sz w:val="22"/>
          <w:szCs w:val="22"/>
        </w:rPr>
        <w:t>geschikt</w:t>
      </w:r>
      <w:r w:rsidR="0059022D" w:rsidRPr="0059022D">
        <w:rPr>
          <w:rFonts w:asciiTheme="minorHAnsi" w:hAnsiTheme="minorHAnsi"/>
          <w:b/>
          <w:color w:val="000000"/>
          <w:sz w:val="22"/>
          <w:szCs w:val="22"/>
        </w:rPr>
        <w:t xml:space="preserve"> om substitutietherapie te starten bij patiënten met een dagelijkse vitamine D-inname via de voeding &lt;800-1000 IE of een inname van elementair calcium &lt;1000-1200 mg.</w:t>
      </w:r>
    </w:p>
    <w:p w14:paraId="31F38A20" w14:textId="77777777" w:rsidR="009B6E20" w:rsidRPr="00D23A56" w:rsidRDefault="009B6E20" w:rsidP="009B6E20">
      <w:pPr>
        <w:spacing w:before="100" w:beforeAutospacing="1" w:after="100" w:afterAutospacing="1"/>
        <w:contextualSpacing/>
        <w:jc w:val="both"/>
        <w:rPr>
          <w:rFonts w:asciiTheme="minorHAnsi" w:hAnsiTheme="minorHAnsi"/>
          <w:color w:val="000000"/>
          <w:sz w:val="22"/>
          <w:szCs w:val="22"/>
        </w:rPr>
      </w:pPr>
    </w:p>
    <w:p w14:paraId="6706B9C1" w14:textId="77777777" w:rsidR="009B6E20" w:rsidRPr="00D23A56" w:rsidRDefault="009B6E20" w:rsidP="009B6E20">
      <w:pPr>
        <w:spacing w:before="100" w:beforeAutospacing="1" w:after="100" w:afterAutospacing="1"/>
        <w:contextualSpacing/>
        <w:jc w:val="both"/>
        <w:rPr>
          <w:rFonts w:asciiTheme="minorHAnsi" w:hAnsiTheme="minorHAnsi"/>
          <w:color w:val="000000"/>
          <w:sz w:val="22"/>
          <w:szCs w:val="22"/>
        </w:rPr>
      </w:pPr>
    </w:p>
    <w:p w14:paraId="76177989" w14:textId="0F1A2990" w:rsidR="0059022D" w:rsidRDefault="0087687F" w:rsidP="004613B7">
      <w:pPr>
        <w:spacing w:before="100" w:beforeAutospacing="1" w:after="100" w:afterAutospacing="1" w:line="360" w:lineRule="auto"/>
        <w:contextualSpacing/>
        <w:jc w:val="both"/>
        <w:rPr>
          <w:rFonts w:asciiTheme="minorHAnsi" w:hAnsiTheme="minorHAnsi"/>
          <w:b/>
          <w:color w:val="000000" w:themeColor="text1"/>
          <w:sz w:val="22"/>
          <w:szCs w:val="22"/>
        </w:rPr>
      </w:pPr>
      <w:r w:rsidRPr="00D23A56">
        <w:rPr>
          <w:rFonts w:asciiTheme="minorHAnsi" w:hAnsiTheme="minorHAnsi"/>
          <w:b/>
          <w:color w:val="000000" w:themeColor="text1"/>
          <w:sz w:val="22"/>
          <w:szCs w:val="22"/>
        </w:rPr>
        <w:t xml:space="preserve">E2. </w:t>
      </w:r>
      <w:r w:rsidR="0059022D" w:rsidRPr="0059022D">
        <w:rPr>
          <w:rFonts w:asciiTheme="minorHAnsi" w:hAnsiTheme="minorHAnsi"/>
          <w:b/>
          <w:color w:val="000000" w:themeColor="text1"/>
          <w:sz w:val="22"/>
          <w:szCs w:val="22"/>
        </w:rPr>
        <w:t xml:space="preserve">Bij patiënten met gedocumenteerde osteoporose met een fragiliteitsfractuur en/of botmineraaldensitometrie T-score (femur-totaal, femurhals of lumbaal &lt;-2,5) is het </w:t>
      </w:r>
      <w:r w:rsidR="0059022D">
        <w:rPr>
          <w:rFonts w:asciiTheme="minorHAnsi" w:hAnsiTheme="minorHAnsi"/>
          <w:b/>
          <w:color w:val="000000" w:themeColor="text1"/>
          <w:sz w:val="22"/>
          <w:szCs w:val="22"/>
        </w:rPr>
        <w:t>geschikt</w:t>
      </w:r>
      <w:r w:rsidR="0059022D" w:rsidRPr="0059022D">
        <w:rPr>
          <w:rFonts w:asciiTheme="minorHAnsi" w:hAnsiTheme="minorHAnsi"/>
          <w:b/>
          <w:color w:val="000000" w:themeColor="text1"/>
          <w:sz w:val="22"/>
          <w:szCs w:val="22"/>
        </w:rPr>
        <w:t xml:space="preserve"> om een </w:t>
      </w:r>
      <w:r w:rsidR="0059022D" w:rsidRPr="0059022D">
        <w:rPr>
          <w:rFonts w:asciiTheme="minorHAnsi" w:hAnsiTheme="minorHAnsi"/>
          <w:b/>
          <w:color w:val="000000" w:themeColor="text1"/>
          <w:sz w:val="22"/>
          <w:szCs w:val="22"/>
        </w:rPr>
        <w:lastRenderedPageBreak/>
        <w:t>​​antiresorptiemiddel (bisfosfonaat, denosumab) of anabool middel (p</w:t>
      </w:r>
      <w:r w:rsidR="0059022D">
        <w:rPr>
          <w:rFonts w:asciiTheme="minorHAnsi" w:hAnsiTheme="minorHAnsi"/>
          <w:b/>
          <w:color w:val="000000" w:themeColor="text1"/>
          <w:sz w:val="22"/>
          <w:szCs w:val="22"/>
        </w:rPr>
        <w:t>arathormoonanaloog) te starten</w:t>
      </w:r>
    </w:p>
    <w:p w14:paraId="26278BF4" w14:textId="05A0DCC8" w:rsidR="009B6E20" w:rsidRPr="00D23A56" w:rsidRDefault="0087687F" w:rsidP="0059022D">
      <w:pPr>
        <w:spacing w:before="100" w:beforeAutospacing="1" w:after="100" w:afterAutospacing="1" w:line="360" w:lineRule="auto"/>
        <w:contextualSpacing/>
        <w:jc w:val="both"/>
        <w:rPr>
          <w:rFonts w:asciiTheme="minorHAnsi" w:hAnsiTheme="minorHAnsi"/>
          <w:b/>
          <w:sz w:val="22"/>
          <w:szCs w:val="22"/>
        </w:rPr>
      </w:pPr>
      <w:r w:rsidRPr="00D23A56">
        <w:rPr>
          <w:rFonts w:asciiTheme="minorHAnsi" w:hAnsiTheme="minorHAnsi"/>
          <w:b/>
          <w:color w:val="000000" w:themeColor="text1"/>
          <w:sz w:val="22"/>
          <w:szCs w:val="22"/>
        </w:rPr>
        <w:t>*</w:t>
      </w:r>
      <w:r w:rsidR="0059022D" w:rsidRPr="0059022D">
        <w:t xml:space="preserve"> </w:t>
      </w:r>
      <w:r w:rsidR="0059022D" w:rsidRPr="0059022D">
        <w:rPr>
          <w:rFonts w:asciiTheme="minorHAnsi" w:hAnsiTheme="minorHAnsi"/>
          <w:i/>
          <w:iCs/>
          <w:color w:val="222222"/>
          <w:sz w:val="22"/>
          <w:szCs w:val="22"/>
        </w:rPr>
        <w:t>De behandeling moet ook een adequate inname van vitamine D en elementair calcium omvatten.</w:t>
      </w:r>
    </w:p>
    <w:p w14:paraId="7E783457" w14:textId="77777777" w:rsidR="0059022D" w:rsidRDefault="0087687F" w:rsidP="009B6E20">
      <w:pPr>
        <w:pStyle w:val="HTMLncedenBiimlendirilmi"/>
        <w:spacing w:line="360" w:lineRule="auto"/>
        <w:contextualSpacing/>
        <w:jc w:val="both"/>
        <w:rPr>
          <w:rFonts w:asciiTheme="minorHAnsi" w:hAnsiTheme="minorHAnsi" w:cs="Times New Roman"/>
          <w:b/>
          <w:sz w:val="22"/>
          <w:szCs w:val="22"/>
        </w:rPr>
      </w:pPr>
      <w:r w:rsidRPr="00D23A56">
        <w:rPr>
          <w:rFonts w:asciiTheme="minorHAnsi" w:hAnsiTheme="minorHAnsi" w:cs="Times New Roman"/>
          <w:b/>
          <w:sz w:val="22"/>
          <w:szCs w:val="22"/>
        </w:rPr>
        <w:t xml:space="preserve">E3. </w:t>
      </w:r>
      <w:r w:rsidR="0059022D" w:rsidRPr="0059022D">
        <w:rPr>
          <w:rFonts w:asciiTheme="minorHAnsi" w:hAnsiTheme="minorHAnsi" w:cs="Times New Roman"/>
          <w:b/>
          <w:sz w:val="22"/>
          <w:szCs w:val="22"/>
        </w:rPr>
        <w:t>Langdurige (verwachte duur ≥ 3 maanden) systemische therapie met corticosteroïden wordt gestart bij patiënten die: i) 7,5 mg/dag prednisolon of een gelijkwaardige therapie met steroïden zullen krijgen, ii) als de T-score &lt; -1 is, bij alle patiënten die een dosisonafhankelijke therapie met steroïden krijgen, bisfosfonaattherapie is het goed om te beginnen</w:t>
      </w:r>
    </w:p>
    <w:p w14:paraId="1619B87D" w14:textId="4231EECE" w:rsidR="0059022D" w:rsidRDefault="0096528C" w:rsidP="00AE7765">
      <w:pPr>
        <w:pStyle w:val="HTMLncedenBiimlendirilmi"/>
        <w:spacing w:line="360" w:lineRule="auto"/>
        <w:contextualSpacing/>
        <w:jc w:val="both"/>
        <w:rPr>
          <w:rStyle w:val="nowrap"/>
          <w:rFonts w:asciiTheme="minorHAnsi" w:hAnsiTheme="minorHAnsi" w:cs="Times New Roman"/>
          <w:bCs/>
          <w:i/>
          <w:iCs/>
          <w:sz w:val="22"/>
          <w:szCs w:val="22"/>
        </w:rPr>
      </w:pPr>
      <w:r w:rsidRPr="00D23A56">
        <w:rPr>
          <w:rStyle w:val="nowrap"/>
          <w:rFonts w:asciiTheme="minorHAnsi" w:hAnsiTheme="minorHAnsi" w:cs="Times New Roman"/>
          <w:bCs/>
          <w:i/>
          <w:iCs/>
          <w:sz w:val="22"/>
          <w:szCs w:val="22"/>
        </w:rPr>
        <w:t>*&gt;</w:t>
      </w:r>
      <w:r w:rsidR="00220470">
        <w:rPr>
          <w:rStyle w:val="nowrap"/>
          <w:rFonts w:asciiTheme="minorHAnsi" w:hAnsiTheme="minorHAnsi" w:cs="Times New Roman"/>
          <w:bCs/>
          <w:i/>
          <w:iCs/>
          <w:sz w:val="22"/>
          <w:szCs w:val="22"/>
        </w:rPr>
        <w:t>=</w:t>
      </w:r>
      <w:r w:rsidR="0059022D" w:rsidRPr="0059022D">
        <w:rPr>
          <w:rStyle w:val="nowrap"/>
          <w:rFonts w:asciiTheme="minorHAnsi" w:hAnsiTheme="minorHAnsi" w:cs="Times New Roman"/>
          <w:bCs/>
          <w:i/>
          <w:iCs/>
          <w:sz w:val="22"/>
          <w:szCs w:val="22"/>
        </w:rPr>
        <w:t xml:space="preserve">Het kan </w:t>
      </w:r>
      <w:r w:rsidR="0059022D">
        <w:rPr>
          <w:rStyle w:val="nowrap"/>
          <w:rFonts w:asciiTheme="minorHAnsi" w:hAnsiTheme="minorHAnsi" w:cs="Times New Roman"/>
          <w:bCs/>
          <w:i/>
          <w:iCs/>
          <w:sz w:val="22"/>
          <w:szCs w:val="22"/>
        </w:rPr>
        <w:t>geschikt</w:t>
      </w:r>
      <w:r w:rsidR="0059022D" w:rsidRPr="0059022D">
        <w:rPr>
          <w:rStyle w:val="nowrap"/>
          <w:rFonts w:asciiTheme="minorHAnsi" w:hAnsiTheme="minorHAnsi" w:cs="Times New Roman"/>
          <w:bCs/>
          <w:i/>
          <w:iCs/>
          <w:sz w:val="22"/>
          <w:szCs w:val="22"/>
        </w:rPr>
        <w:t xml:space="preserve"> zijn om een ​​behandeling met bisfosfonaten te starten bij alle patiënten van 70 jaar die een dosisonafhankelijke langdurige (&gt;3 maanden) steroïdetherapie zullen krijgen.</w:t>
      </w:r>
    </w:p>
    <w:p w14:paraId="033FC4FB" w14:textId="28EA8001" w:rsidR="009B6E20" w:rsidRPr="00D23A56" w:rsidRDefault="00AE7765" w:rsidP="0059022D">
      <w:pPr>
        <w:pStyle w:val="HTMLncedenBiimlendirilmi"/>
        <w:spacing w:line="360" w:lineRule="auto"/>
        <w:contextualSpacing/>
        <w:jc w:val="both"/>
        <w:rPr>
          <w:rFonts w:asciiTheme="minorHAnsi" w:hAnsiTheme="minorHAnsi"/>
          <w:sz w:val="22"/>
          <w:szCs w:val="22"/>
          <w:lang w:eastAsia="en-GB"/>
        </w:rPr>
      </w:pPr>
      <w:r>
        <w:rPr>
          <w:rStyle w:val="nowrap"/>
          <w:rFonts w:asciiTheme="minorHAnsi" w:hAnsiTheme="minorHAnsi" w:cs="Times New Roman"/>
          <w:bCs/>
          <w:i/>
          <w:iCs/>
          <w:sz w:val="22"/>
          <w:szCs w:val="22"/>
        </w:rPr>
        <w:t>*</w:t>
      </w:r>
      <w:r w:rsidR="0059022D" w:rsidRPr="0059022D">
        <w:t xml:space="preserve"> </w:t>
      </w:r>
      <w:r w:rsidR="0059022D" w:rsidRPr="0059022D">
        <w:rPr>
          <w:rStyle w:val="nowrap"/>
          <w:rFonts w:asciiTheme="minorHAnsi" w:hAnsiTheme="minorHAnsi" w:cs="Times New Roman"/>
          <w:bCs/>
          <w:i/>
          <w:iCs/>
          <w:sz w:val="22"/>
          <w:szCs w:val="22"/>
        </w:rPr>
        <w:t>De behandeling moet ook een adequate inname van vitamine D en essentiële calcium omvatten.</w:t>
      </w:r>
    </w:p>
    <w:p w14:paraId="166D5A25" w14:textId="77777777" w:rsidR="009B6E20" w:rsidRPr="00D23A56" w:rsidRDefault="009B6E20" w:rsidP="0087687F">
      <w:pPr>
        <w:spacing w:line="360" w:lineRule="auto"/>
        <w:jc w:val="both"/>
        <w:rPr>
          <w:rFonts w:asciiTheme="minorHAnsi" w:hAnsiTheme="minorHAnsi"/>
          <w:b/>
          <w:sz w:val="22"/>
          <w:szCs w:val="22"/>
        </w:rPr>
      </w:pPr>
    </w:p>
    <w:p w14:paraId="6DE2DD8F" w14:textId="77777777" w:rsidR="0036677B" w:rsidRDefault="0087687F" w:rsidP="0087687F">
      <w:pPr>
        <w:spacing w:line="360" w:lineRule="auto"/>
        <w:jc w:val="both"/>
        <w:rPr>
          <w:rFonts w:asciiTheme="minorHAnsi" w:hAnsiTheme="minorHAnsi"/>
          <w:b/>
          <w:sz w:val="22"/>
          <w:szCs w:val="22"/>
        </w:rPr>
      </w:pPr>
      <w:r w:rsidRPr="00D23A56">
        <w:rPr>
          <w:rFonts w:asciiTheme="minorHAnsi" w:hAnsiTheme="minorHAnsi"/>
          <w:b/>
          <w:sz w:val="22"/>
          <w:szCs w:val="22"/>
        </w:rPr>
        <w:t xml:space="preserve">E4. </w:t>
      </w:r>
      <w:r w:rsidR="0036677B" w:rsidRPr="0036677B">
        <w:rPr>
          <w:rFonts w:asciiTheme="minorHAnsi" w:hAnsiTheme="minorHAnsi"/>
          <w:b/>
          <w:sz w:val="22"/>
          <w:szCs w:val="22"/>
        </w:rPr>
        <w:t xml:space="preserve">Het is </w:t>
      </w:r>
      <w:r w:rsidR="0036677B">
        <w:rPr>
          <w:rFonts w:asciiTheme="minorHAnsi" w:hAnsiTheme="minorHAnsi"/>
          <w:b/>
          <w:sz w:val="22"/>
          <w:szCs w:val="22"/>
        </w:rPr>
        <w:t>geschikt</w:t>
      </w:r>
      <w:r w:rsidR="0036677B" w:rsidRPr="0036677B">
        <w:rPr>
          <w:rFonts w:asciiTheme="minorHAnsi" w:hAnsiTheme="minorHAnsi"/>
          <w:b/>
          <w:sz w:val="22"/>
          <w:szCs w:val="22"/>
        </w:rPr>
        <w:t xml:space="preserve"> om een ​​langwerkende antiresorptieve therapie te starten na stopzetting van ten minste twee doses denosumab (verhoogd risico op rebound-BTM's, verlies van BMD en wervelfractuur na stopzetting van denosumab)</w:t>
      </w:r>
    </w:p>
    <w:p w14:paraId="0212F7FC" w14:textId="0AE7D980" w:rsidR="009B6E20" w:rsidRPr="00D23A56" w:rsidRDefault="0087687F" w:rsidP="0036677B">
      <w:pPr>
        <w:spacing w:line="360" w:lineRule="auto"/>
        <w:jc w:val="both"/>
        <w:rPr>
          <w:rFonts w:asciiTheme="minorHAnsi" w:hAnsiTheme="minorHAnsi"/>
          <w:b/>
          <w:sz w:val="22"/>
          <w:szCs w:val="22"/>
        </w:rPr>
      </w:pPr>
      <w:r w:rsidRPr="00D23A56">
        <w:rPr>
          <w:rFonts w:asciiTheme="minorHAnsi" w:hAnsiTheme="minorHAnsi"/>
          <w:bCs/>
          <w:i/>
          <w:iCs/>
          <w:sz w:val="22"/>
          <w:szCs w:val="22"/>
        </w:rPr>
        <w:t>*</w:t>
      </w:r>
      <w:r w:rsidR="00A67324" w:rsidRPr="00D23A56">
        <w:rPr>
          <w:rFonts w:asciiTheme="minorHAnsi" w:hAnsiTheme="minorHAnsi"/>
          <w:bCs/>
          <w:i/>
          <w:iCs/>
          <w:sz w:val="22"/>
          <w:szCs w:val="22"/>
        </w:rPr>
        <w:t xml:space="preserve"> </w:t>
      </w:r>
      <w:r w:rsidR="0036677B" w:rsidRPr="0036677B">
        <w:rPr>
          <w:rFonts w:asciiTheme="minorHAnsi" w:hAnsiTheme="minorHAnsi"/>
          <w:bCs/>
          <w:i/>
          <w:iCs/>
          <w:sz w:val="22"/>
          <w:szCs w:val="22"/>
        </w:rPr>
        <w:t>Het rebound-effect is meer uitgesproken bij patiënten bij wie de behandeling met denosumab werd stopgezet na twee doses.</w:t>
      </w:r>
    </w:p>
    <w:p w14:paraId="2CC036D2" w14:textId="77777777" w:rsidR="009B6E20" w:rsidRPr="00D23A56" w:rsidRDefault="009B6E20" w:rsidP="0087687F">
      <w:pPr>
        <w:jc w:val="both"/>
        <w:rPr>
          <w:rFonts w:asciiTheme="minorHAnsi" w:hAnsiTheme="minorHAnsi"/>
          <w:b/>
          <w:sz w:val="22"/>
          <w:szCs w:val="22"/>
        </w:rPr>
      </w:pPr>
    </w:p>
    <w:p w14:paraId="5FBED197" w14:textId="3CCA19EF" w:rsidR="0087687F" w:rsidRPr="00D23A56" w:rsidRDefault="008A4F48" w:rsidP="0087687F">
      <w:pPr>
        <w:jc w:val="both"/>
        <w:rPr>
          <w:rFonts w:asciiTheme="minorHAnsi" w:hAnsiTheme="minorHAnsi"/>
          <w:b/>
          <w:sz w:val="22"/>
          <w:szCs w:val="22"/>
        </w:rPr>
      </w:pPr>
      <w:r>
        <w:rPr>
          <w:rFonts w:ascii="Calibri" w:hAnsi="Calibri" w:cs="Calibri"/>
          <w:b/>
          <w:sz w:val="22"/>
          <w:szCs w:val="22"/>
        </w:rPr>
        <w:t>#</w:t>
      </w:r>
      <w:r w:rsidR="0087687F" w:rsidRPr="00D23A56">
        <w:rPr>
          <w:rFonts w:asciiTheme="minorHAnsi" w:hAnsiTheme="minorHAnsi"/>
          <w:b/>
          <w:sz w:val="22"/>
          <w:szCs w:val="22"/>
        </w:rPr>
        <w:t>E5.</w:t>
      </w:r>
      <w:r w:rsidR="0036677B" w:rsidRPr="0036677B">
        <w:t xml:space="preserve"> </w:t>
      </w:r>
      <w:r w:rsidR="0036677B" w:rsidRPr="0036677B">
        <w:rPr>
          <w:rFonts w:asciiTheme="minorHAnsi" w:hAnsiTheme="minorHAnsi"/>
          <w:b/>
          <w:sz w:val="22"/>
          <w:szCs w:val="22"/>
        </w:rPr>
        <w:t xml:space="preserve">Het is </w:t>
      </w:r>
      <w:r w:rsidR="0036677B">
        <w:rPr>
          <w:rFonts w:asciiTheme="minorHAnsi" w:hAnsiTheme="minorHAnsi"/>
          <w:b/>
          <w:sz w:val="22"/>
          <w:szCs w:val="22"/>
        </w:rPr>
        <w:t>geschikt</w:t>
      </w:r>
      <w:r w:rsidR="0036677B" w:rsidRPr="0036677B">
        <w:rPr>
          <w:rFonts w:asciiTheme="minorHAnsi" w:hAnsiTheme="minorHAnsi"/>
          <w:b/>
          <w:sz w:val="22"/>
          <w:szCs w:val="22"/>
        </w:rPr>
        <w:t xml:space="preserve"> om een ​​antiresorptieve therapie te starten na de behandeling met teriparatide.</w:t>
      </w:r>
    </w:p>
    <w:p w14:paraId="306D1B00" w14:textId="77777777" w:rsidR="009B6E20" w:rsidRPr="00D23A56" w:rsidRDefault="009B6E20" w:rsidP="009B6E20">
      <w:pPr>
        <w:jc w:val="both"/>
        <w:rPr>
          <w:rFonts w:asciiTheme="minorHAnsi" w:hAnsiTheme="minorHAnsi"/>
          <w:b/>
          <w:sz w:val="22"/>
          <w:szCs w:val="22"/>
        </w:rPr>
      </w:pPr>
    </w:p>
    <w:p w14:paraId="64B19941" w14:textId="77777777" w:rsidR="009B6E20" w:rsidRPr="00D23A56" w:rsidRDefault="009B6E20" w:rsidP="009B6E20">
      <w:pPr>
        <w:jc w:val="both"/>
        <w:rPr>
          <w:rFonts w:asciiTheme="minorHAnsi" w:hAnsiTheme="minorHAnsi"/>
          <w:b/>
          <w:sz w:val="22"/>
          <w:szCs w:val="22"/>
        </w:rPr>
      </w:pPr>
    </w:p>
    <w:p w14:paraId="212BCF6D" w14:textId="595F3A31" w:rsidR="0087687F" w:rsidRPr="00D23A56" w:rsidRDefault="0087687F" w:rsidP="0087687F">
      <w:pPr>
        <w:jc w:val="both"/>
        <w:rPr>
          <w:rFonts w:asciiTheme="minorHAnsi" w:hAnsiTheme="minorHAnsi"/>
          <w:sz w:val="22"/>
          <w:szCs w:val="22"/>
        </w:rPr>
      </w:pPr>
      <w:r w:rsidRPr="00D23A56">
        <w:rPr>
          <w:rFonts w:asciiTheme="minorHAnsi" w:hAnsiTheme="minorHAnsi"/>
          <w:b/>
          <w:sz w:val="22"/>
          <w:szCs w:val="22"/>
        </w:rPr>
        <w:t xml:space="preserve">E6. </w:t>
      </w:r>
      <w:r w:rsidR="0036677B" w:rsidRPr="0036677B">
        <w:rPr>
          <w:rFonts w:asciiTheme="minorHAnsi" w:hAnsiTheme="minorHAnsi"/>
          <w:b/>
          <w:sz w:val="22"/>
          <w:szCs w:val="22"/>
        </w:rPr>
        <w:t xml:space="preserve">Bij aanwezigheid van chronische actieve reumatologische ziekte is het </w:t>
      </w:r>
      <w:r w:rsidR="0036677B">
        <w:rPr>
          <w:rFonts w:asciiTheme="minorHAnsi" w:hAnsiTheme="minorHAnsi"/>
          <w:b/>
          <w:sz w:val="22"/>
          <w:szCs w:val="22"/>
        </w:rPr>
        <w:t>geschikt</w:t>
      </w:r>
      <w:r w:rsidR="0036677B" w:rsidRPr="0036677B">
        <w:rPr>
          <w:rFonts w:asciiTheme="minorHAnsi" w:hAnsiTheme="minorHAnsi"/>
          <w:b/>
          <w:sz w:val="22"/>
          <w:szCs w:val="22"/>
        </w:rPr>
        <w:t xml:space="preserve"> om een ​​ziektemodificerende therapie te starten.</w:t>
      </w:r>
    </w:p>
    <w:p w14:paraId="187FA5B2" w14:textId="77777777" w:rsidR="0087687F" w:rsidRPr="00D23A56" w:rsidRDefault="0087687F" w:rsidP="0087687F">
      <w:pPr>
        <w:spacing w:before="100" w:beforeAutospacing="1" w:after="100" w:afterAutospacing="1"/>
        <w:jc w:val="both"/>
        <w:rPr>
          <w:rFonts w:asciiTheme="minorHAnsi" w:hAnsiTheme="minorHAnsi"/>
          <w:b/>
          <w:sz w:val="22"/>
          <w:szCs w:val="22"/>
        </w:rPr>
      </w:pPr>
    </w:p>
    <w:p w14:paraId="74044AC5" w14:textId="77777777" w:rsidR="00A67324" w:rsidRPr="00D23A56" w:rsidRDefault="00A67324" w:rsidP="0087687F">
      <w:pPr>
        <w:spacing w:before="100" w:beforeAutospacing="1" w:after="100" w:afterAutospacing="1"/>
        <w:jc w:val="both"/>
        <w:rPr>
          <w:rFonts w:asciiTheme="minorHAnsi" w:hAnsiTheme="minorHAnsi"/>
          <w:b/>
          <w:sz w:val="22"/>
          <w:szCs w:val="22"/>
        </w:rPr>
      </w:pPr>
    </w:p>
    <w:p w14:paraId="63B54EBE" w14:textId="710F852A" w:rsidR="0096528C" w:rsidRPr="00D23A56" w:rsidRDefault="0087687F" w:rsidP="0096528C">
      <w:pPr>
        <w:spacing w:before="100" w:beforeAutospacing="1" w:after="100" w:afterAutospacing="1"/>
        <w:contextualSpacing/>
        <w:jc w:val="both"/>
        <w:rPr>
          <w:rFonts w:asciiTheme="minorHAnsi" w:hAnsiTheme="minorHAnsi"/>
          <w:b/>
          <w:sz w:val="22"/>
          <w:szCs w:val="22"/>
        </w:rPr>
      </w:pPr>
      <w:r w:rsidRPr="00D23A56">
        <w:rPr>
          <w:rFonts w:asciiTheme="minorHAnsi" w:hAnsiTheme="minorHAnsi"/>
          <w:b/>
          <w:sz w:val="22"/>
          <w:szCs w:val="22"/>
        </w:rPr>
        <w:t xml:space="preserve">E7. </w:t>
      </w:r>
      <w:r w:rsidR="0036677B" w:rsidRPr="0036677B">
        <w:rPr>
          <w:rFonts w:asciiTheme="minorHAnsi" w:hAnsiTheme="minorHAnsi"/>
          <w:b/>
          <w:sz w:val="22"/>
          <w:szCs w:val="22"/>
        </w:rPr>
        <w:t xml:space="preserve">Het is </w:t>
      </w:r>
      <w:r w:rsidR="0036677B">
        <w:rPr>
          <w:rFonts w:asciiTheme="minorHAnsi" w:hAnsiTheme="minorHAnsi"/>
          <w:b/>
          <w:sz w:val="22"/>
          <w:szCs w:val="22"/>
        </w:rPr>
        <w:t>geschikt</w:t>
      </w:r>
      <w:r w:rsidR="0036677B" w:rsidRPr="0036677B">
        <w:rPr>
          <w:rFonts w:asciiTheme="minorHAnsi" w:hAnsiTheme="minorHAnsi"/>
          <w:b/>
          <w:sz w:val="22"/>
          <w:szCs w:val="22"/>
        </w:rPr>
        <w:t xml:space="preserve"> om te beginnen met foliumzuursuppletie bij patiënten die methotrexaat gebruiken.</w:t>
      </w:r>
    </w:p>
    <w:p w14:paraId="3D9AAD82" w14:textId="77777777" w:rsidR="0096528C" w:rsidRPr="00D23A56" w:rsidRDefault="0096528C" w:rsidP="0096528C">
      <w:pPr>
        <w:spacing w:before="100" w:beforeAutospacing="1" w:after="100" w:afterAutospacing="1"/>
        <w:contextualSpacing/>
        <w:jc w:val="both"/>
        <w:rPr>
          <w:rFonts w:asciiTheme="minorHAnsi" w:hAnsiTheme="minorHAnsi"/>
          <w:b/>
          <w:sz w:val="22"/>
          <w:szCs w:val="22"/>
        </w:rPr>
      </w:pPr>
    </w:p>
    <w:p w14:paraId="29A90A24"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eastAsia="en-GB"/>
        </w:rPr>
      </w:pPr>
    </w:p>
    <w:p w14:paraId="54F6D215"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eastAsia="en-GB"/>
        </w:rPr>
      </w:pPr>
    </w:p>
    <w:p w14:paraId="5B19E196" w14:textId="642FE54F" w:rsidR="004613B7" w:rsidRPr="00D23A56" w:rsidRDefault="0087687F" w:rsidP="00461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eastAsia="en-GB"/>
        </w:rPr>
      </w:pPr>
      <w:r w:rsidRPr="00D23A56">
        <w:rPr>
          <w:rFonts w:asciiTheme="minorHAnsi" w:hAnsiTheme="minorHAnsi"/>
          <w:b/>
          <w:sz w:val="22"/>
          <w:szCs w:val="22"/>
        </w:rPr>
        <w:t xml:space="preserve">E8. </w:t>
      </w:r>
      <w:r w:rsidR="0036677B" w:rsidRPr="0036677B">
        <w:rPr>
          <w:rFonts w:asciiTheme="minorHAnsi" w:hAnsiTheme="minorHAnsi"/>
          <w:b/>
          <w:sz w:val="22"/>
          <w:szCs w:val="22"/>
        </w:rPr>
        <w:t xml:space="preserve">Het is </w:t>
      </w:r>
      <w:r w:rsidR="0036677B">
        <w:rPr>
          <w:rFonts w:asciiTheme="minorHAnsi" w:hAnsiTheme="minorHAnsi"/>
          <w:b/>
          <w:sz w:val="22"/>
          <w:szCs w:val="22"/>
        </w:rPr>
        <w:t>geschikt</w:t>
      </w:r>
      <w:r w:rsidR="0036677B" w:rsidRPr="0036677B">
        <w:rPr>
          <w:rFonts w:asciiTheme="minorHAnsi" w:hAnsiTheme="minorHAnsi"/>
          <w:b/>
          <w:sz w:val="22"/>
          <w:szCs w:val="22"/>
        </w:rPr>
        <w:t xml:space="preserve"> om een ​​xanthine-oxidaseremmer (voornamelijk allopurinol) te starten bij patiënten met terugkerende jichtaanvallen.</w:t>
      </w:r>
    </w:p>
    <w:p w14:paraId="0846FE06" w14:textId="77777777" w:rsidR="009B6E20" w:rsidRPr="00D23A56" w:rsidRDefault="009B6E20" w:rsidP="0087687F">
      <w:pPr>
        <w:spacing w:line="360" w:lineRule="auto"/>
        <w:jc w:val="both"/>
        <w:rPr>
          <w:rFonts w:asciiTheme="minorHAnsi" w:hAnsiTheme="minorHAnsi"/>
          <w:sz w:val="22"/>
          <w:szCs w:val="22"/>
        </w:rPr>
      </w:pPr>
    </w:p>
    <w:p w14:paraId="426FCDAD" w14:textId="1B7591B6" w:rsidR="004613B7" w:rsidRPr="004613B7" w:rsidRDefault="0087687F" w:rsidP="004613B7">
      <w:pPr>
        <w:spacing w:line="360" w:lineRule="auto"/>
        <w:jc w:val="both"/>
        <w:rPr>
          <w:rFonts w:asciiTheme="minorHAnsi" w:hAnsiTheme="minorHAnsi"/>
          <w:b/>
          <w:sz w:val="22"/>
          <w:szCs w:val="22"/>
        </w:rPr>
      </w:pPr>
      <w:r w:rsidRPr="00D23A56">
        <w:rPr>
          <w:rFonts w:asciiTheme="minorHAnsi" w:hAnsiTheme="minorHAnsi"/>
          <w:b/>
          <w:sz w:val="22"/>
          <w:szCs w:val="22"/>
        </w:rPr>
        <w:t xml:space="preserve">E9. </w:t>
      </w:r>
      <w:r w:rsidR="0036677B" w:rsidRPr="0036677B">
        <w:rPr>
          <w:rFonts w:asciiTheme="minorHAnsi" w:hAnsiTheme="minorHAnsi"/>
          <w:b/>
          <w:sz w:val="22"/>
          <w:szCs w:val="22"/>
        </w:rPr>
        <w:t xml:space="preserve">In gevallen waar andere analgetica (paracetamol, NSAID of milde opioïden) niet voldoende zijn bij de behandeling van matige tot ernstige pijn, is het </w:t>
      </w:r>
      <w:r w:rsidR="0036677B">
        <w:rPr>
          <w:rFonts w:asciiTheme="minorHAnsi" w:hAnsiTheme="minorHAnsi"/>
          <w:b/>
          <w:sz w:val="22"/>
          <w:szCs w:val="22"/>
        </w:rPr>
        <w:t>geschikt</w:t>
      </w:r>
      <w:r w:rsidR="0036677B" w:rsidRPr="0036677B">
        <w:rPr>
          <w:rFonts w:asciiTheme="minorHAnsi" w:hAnsiTheme="minorHAnsi"/>
          <w:b/>
          <w:sz w:val="22"/>
          <w:szCs w:val="22"/>
        </w:rPr>
        <w:t xml:space="preserve"> om een ​​sterkwerkende opioïdtherapie te starten.</w:t>
      </w:r>
    </w:p>
    <w:p w14:paraId="525ABC2F" w14:textId="77777777" w:rsidR="009B6E20" w:rsidRPr="00D23A56" w:rsidRDefault="009B6E20" w:rsidP="009B6E20">
      <w:pPr>
        <w:jc w:val="both"/>
        <w:rPr>
          <w:rFonts w:asciiTheme="minorHAnsi" w:hAnsiTheme="minorHAnsi"/>
          <w:sz w:val="22"/>
          <w:szCs w:val="22"/>
        </w:rPr>
      </w:pPr>
    </w:p>
    <w:p w14:paraId="4F179502" w14:textId="77F886CD" w:rsidR="0087687F" w:rsidRPr="00D23A56" w:rsidRDefault="0087687F" w:rsidP="0087687F">
      <w:pPr>
        <w:jc w:val="both"/>
        <w:rPr>
          <w:rFonts w:asciiTheme="minorHAnsi" w:hAnsiTheme="minorHAnsi"/>
          <w:b/>
          <w:i/>
          <w:sz w:val="22"/>
          <w:szCs w:val="22"/>
          <w:u w:val="single"/>
        </w:rPr>
      </w:pPr>
      <w:r w:rsidRPr="00D23A56">
        <w:rPr>
          <w:rFonts w:asciiTheme="minorHAnsi" w:hAnsiTheme="minorHAnsi"/>
          <w:b/>
          <w:sz w:val="22"/>
          <w:szCs w:val="22"/>
        </w:rPr>
        <w:lastRenderedPageBreak/>
        <w:t xml:space="preserve">E10. </w:t>
      </w:r>
      <w:r w:rsidR="0036677B" w:rsidRPr="0036677B">
        <w:rPr>
          <w:rFonts w:asciiTheme="minorHAnsi" w:hAnsiTheme="minorHAnsi"/>
          <w:b/>
          <w:sz w:val="22"/>
          <w:szCs w:val="22"/>
        </w:rPr>
        <w:t xml:space="preserve">Bij patiënten met chronische pijn die langwerkende opioïden gebruiken, is het </w:t>
      </w:r>
      <w:r w:rsidR="0036677B">
        <w:rPr>
          <w:rFonts w:asciiTheme="minorHAnsi" w:hAnsiTheme="minorHAnsi"/>
          <w:b/>
          <w:sz w:val="22"/>
          <w:szCs w:val="22"/>
        </w:rPr>
        <w:t>geschikt</w:t>
      </w:r>
      <w:r w:rsidR="0036677B" w:rsidRPr="0036677B">
        <w:rPr>
          <w:rFonts w:asciiTheme="minorHAnsi" w:hAnsiTheme="minorHAnsi"/>
          <w:b/>
          <w:sz w:val="22"/>
          <w:szCs w:val="22"/>
        </w:rPr>
        <w:t xml:space="preserve"> om bij lekkagepijn (doorbraakpijn: intermitterende ernstige pijn) kortwerkende opioïden aan de behandeling toe te voegen (risico op oncontroleerbare ernstige pijn).</w:t>
      </w:r>
    </w:p>
    <w:p w14:paraId="7A546C50" w14:textId="77777777" w:rsidR="009B6E20" w:rsidRPr="00D23A56" w:rsidRDefault="009B6E20" w:rsidP="0087687F">
      <w:pPr>
        <w:jc w:val="both"/>
        <w:rPr>
          <w:rFonts w:asciiTheme="minorHAnsi" w:hAnsiTheme="minorHAnsi"/>
          <w:sz w:val="22"/>
          <w:szCs w:val="22"/>
        </w:rPr>
      </w:pPr>
    </w:p>
    <w:p w14:paraId="13CC3DFD" w14:textId="77777777" w:rsidR="009B6E20" w:rsidRPr="00D23A56" w:rsidRDefault="009B6E20" w:rsidP="0087687F">
      <w:pPr>
        <w:jc w:val="both"/>
        <w:rPr>
          <w:rFonts w:asciiTheme="minorHAnsi" w:hAnsiTheme="minorHAnsi"/>
          <w:sz w:val="22"/>
          <w:szCs w:val="22"/>
        </w:rPr>
      </w:pPr>
    </w:p>
    <w:p w14:paraId="1D72CF61" w14:textId="77777777" w:rsidR="009B6E20" w:rsidRPr="00D23A56" w:rsidRDefault="009B6E20" w:rsidP="0087687F">
      <w:pPr>
        <w:jc w:val="both"/>
        <w:rPr>
          <w:rFonts w:asciiTheme="minorHAnsi" w:hAnsiTheme="minorHAnsi"/>
          <w:sz w:val="22"/>
          <w:szCs w:val="22"/>
        </w:rPr>
      </w:pPr>
    </w:p>
    <w:p w14:paraId="55480A7C" w14:textId="3378DF88" w:rsidR="009B6E20" w:rsidRPr="00D23A56" w:rsidRDefault="00A67324" w:rsidP="009B6E20">
      <w:pPr>
        <w:jc w:val="both"/>
        <w:rPr>
          <w:rFonts w:asciiTheme="minorHAnsi" w:hAnsiTheme="minorHAnsi"/>
          <w:sz w:val="22"/>
          <w:szCs w:val="22"/>
        </w:rPr>
      </w:pPr>
      <w:r w:rsidRPr="00D23A56">
        <w:rPr>
          <w:rFonts w:asciiTheme="minorHAnsi" w:hAnsiTheme="minorHAnsi"/>
          <w:b/>
          <w:sz w:val="28"/>
          <w:szCs w:val="28"/>
        </w:rPr>
        <w:t xml:space="preserve">F: </w:t>
      </w:r>
      <w:r w:rsidR="0036677B" w:rsidRPr="0036677B">
        <w:rPr>
          <w:rFonts w:asciiTheme="minorHAnsi" w:hAnsiTheme="minorHAnsi"/>
          <w:b/>
          <w:sz w:val="28"/>
          <w:szCs w:val="28"/>
        </w:rPr>
        <w:t>Endocriene systeemcriteria.</w:t>
      </w:r>
    </w:p>
    <w:p w14:paraId="47C70BDE" w14:textId="77777777" w:rsidR="009B6E20" w:rsidRPr="00D23A56" w:rsidRDefault="009B6E20" w:rsidP="009B6E20">
      <w:pPr>
        <w:jc w:val="both"/>
        <w:rPr>
          <w:rFonts w:asciiTheme="minorHAnsi" w:hAnsiTheme="minorHAnsi"/>
          <w:sz w:val="22"/>
          <w:szCs w:val="22"/>
        </w:rPr>
      </w:pPr>
    </w:p>
    <w:p w14:paraId="3A1F0ECD" w14:textId="77777777" w:rsidR="009B6E20" w:rsidRPr="00D23A56" w:rsidRDefault="009B6E20" w:rsidP="009B6E20">
      <w:pPr>
        <w:jc w:val="both"/>
        <w:rPr>
          <w:rFonts w:asciiTheme="minorHAnsi" w:hAnsiTheme="minorHAnsi"/>
          <w:sz w:val="22"/>
          <w:szCs w:val="22"/>
        </w:rPr>
      </w:pPr>
    </w:p>
    <w:p w14:paraId="4D73A8F5" w14:textId="0C2D7B04" w:rsidR="0036677B" w:rsidRDefault="0087687F" w:rsidP="0036677B">
      <w:pPr>
        <w:jc w:val="both"/>
        <w:rPr>
          <w:rFonts w:asciiTheme="minorHAnsi" w:hAnsiTheme="minorHAnsi"/>
          <w:b/>
          <w:sz w:val="22"/>
          <w:szCs w:val="22"/>
        </w:rPr>
      </w:pPr>
      <w:r w:rsidRPr="00D23A56">
        <w:rPr>
          <w:rFonts w:asciiTheme="minorHAnsi" w:hAnsiTheme="minorHAnsi"/>
          <w:b/>
          <w:sz w:val="22"/>
          <w:szCs w:val="22"/>
        </w:rPr>
        <w:t xml:space="preserve">F1. </w:t>
      </w:r>
      <w:r w:rsidR="0036677B" w:rsidRPr="0036677B">
        <w:rPr>
          <w:rFonts w:asciiTheme="minorHAnsi" w:hAnsiTheme="minorHAnsi"/>
          <w:b/>
          <w:sz w:val="22"/>
          <w:szCs w:val="22"/>
        </w:rPr>
        <w:t xml:space="preserve">In aanwezigheid van duidelijke proteïnurie (&gt;300 mg/dag) of microalbuminurie (&gt;30 mg/dag) bij patiënten met diabetes mellitus, is het </w:t>
      </w:r>
      <w:r w:rsidR="0036677B">
        <w:rPr>
          <w:rFonts w:asciiTheme="minorHAnsi" w:hAnsiTheme="minorHAnsi"/>
          <w:b/>
          <w:sz w:val="22"/>
          <w:szCs w:val="22"/>
        </w:rPr>
        <w:t>geschikt</w:t>
      </w:r>
      <w:r w:rsidR="0036677B" w:rsidRPr="0036677B">
        <w:rPr>
          <w:rFonts w:asciiTheme="minorHAnsi" w:hAnsiTheme="minorHAnsi"/>
          <w:b/>
          <w:sz w:val="22"/>
          <w:szCs w:val="22"/>
        </w:rPr>
        <w:t xml:space="preserve"> om ACEi- of ARB-therapie te starten.</w:t>
      </w:r>
    </w:p>
    <w:p w14:paraId="7AFD7463" w14:textId="77777777" w:rsidR="0036677B" w:rsidRDefault="0087687F" w:rsidP="0036677B">
      <w:pPr>
        <w:jc w:val="both"/>
        <w:rPr>
          <w:rFonts w:asciiTheme="minorHAnsi" w:hAnsiTheme="minorHAnsi"/>
          <w:i/>
          <w:sz w:val="22"/>
          <w:szCs w:val="22"/>
        </w:rPr>
      </w:pPr>
      <w:r w:rsidRPr="00D23A56">
        <w:rPr>
          <w:rFonts w:asciiTheme="minorHAnsi" w:hAnsiTheme="minorHAnsi"/>
          <w:sz w:val="22"/>
          <w:szCs w:val="22"/>
        </w:rPr>
        <w:t>*</w:t>
      </w:r>
      <w:r w:rsidR="0036677B" w:rsidRPr="0036677B">
        <w:t xml:space="preserve"> </w:t>
      </w:r>
      <w:r w:rsidR="0036677B" w:rsidRPr="0036677B">
        <w:rPr>
          <w:rFonts w:asciiTheme="minorHAnsi" w:hAnsiTheme="minorHAnsi"/>
          <w:i/>
          <w:sz w:val="22"/>
          <w:szCs w:val="22"/>
        </w:rPr>
        <w:t>Bij patiënten met nierfalen wordt een verhoging van de serumcreatininespiegel verwacht tijdens de beginperiode van de ACEi- of ARB-behandeling.</w:t>
      </w:r>
    </w:p>
    <w:p w14:paraId="0E73EC65" w14:textId="77777777" w:rsidR="0036677B" w:rsidRDefault="0087687F" w:rsidP="0036677B">
      <w:pPr>
        <w:jc w:val="both"/>
        <w:rPr>
          <w:rFonts w:asciiTheme="minorHAnsi" w:hAnsiTheme="minorHAnsi"/>
          <w:i/>
          <w:sz w:val="22"/>
          <w:szCs w:val="22"/>
        </w:rPr>
      </w:pPr>
      <w:r w:rsidRPr="00D23A56">
        <w:rPr>
          <w:rFonts w:asciiTheme="minorHAnsi" w:hAnsiTheme="minorHAnsi"/>
          <w:i/>
          <w:sz w:val="22"/>
          <w:szCs w:val="22"/>
        </w:rPr>
        <w:t>*</w:t>
      </w:r>
      <w:r w:rsidR="0036677B" w:rsidRPr="0036677B">
        <w:t xml:space="preserve"> </w:t>
      </w:r>
      <w:r w:rsidR="0036677B" w:rsidRPr="0036677B">
        <w:rPr>
          <w:rFonts w:asciiTheme="minorHAnsi" w:hAnsiTheme="minorHAnsi"/>
          <w:i/>
          <w:sz w:val="22"/>
          <w:szCs w:val="22"/>
        </w:rPr>
        <w:t>Als deze toename minder dan 30% is, wordt aanbevolen de behandeling voort te zetten.</w:t>
      </w:r>
    </w:p>
    <w:p w14:paraId="6973E577" w14:textId="77777777" w:rsidR="0036677B" w:rsidRDefault="0087687F" w:rsidP="0036677B">
      <w:pPr>
        <w:jc w:val="both"/>
        <w:rPr>
          <w:rFonts w:asciiTheme="minorHAnsi" w:hAnsiTheme="minorHAnsi"/>
          <w:i/>
          <w:sz w:val="22"/>
          <w:szCs w:val="22"/>
        </w:rPr>
      </w:pPr>
      <w:r w:rsidRPr="00D23A56">
        <w:rPr>
          <w:rFonts w:asciiTheme="minorHAnsi" w:hAnsiTheme="minorHAnsi"/>
          <w:i/>
          <w:sz w:val="22"/>
          <w:szCs w:val="22"/>
        </w:rPr>
        <w:t>*</w:t>
      </w:r>
      <w:r w:rsidR="0036677B" w:rsidRPr="0036677B">
        <w:t xml:space="preserve"> </w:t>
      </w:r>
      <w:r w:rsidR="0036677B" w:rsidRPr="0036677B">
        <w:rPr>
          <w:rFonts w:asciiTheme="minorHAnsi" w:hAnsiTheme="minorHAnsi"/>
          <w:i/>
          <w:sz w:val="22"/>
          <w:szCs w:val="22"/>
        </w:rPr>
        <w:t>Hoewel er geen absolute contra-indicatie is voor het starten van ACEi of ARB, wordt het mogelijk niet aanbevolen voor patiënten met een serumcreatininespiegel &gt; 3,0 mg/dl.</w:t>
      </w:r>
    </w:p>
    <w:p w14:paraId="5EB227E2" w14:textId="7D3B0A1A" w:rsidR="0087687F" w:rsidRPr="00D23A56" w:rsidRDefault="0087687F" w:rsidP="0087687F">
      <w:pPr>
        <w:jc w:val="both"/>
        <w:rPr>
          <w:rFonts w:asciiTheme="minorHAnsi" w:hAnsiTheme="minorHAnsi"/>
          <w:b/>
          <w:i/>
          <w:sz w:val="22"/>
          <w:szCs w:val="22"/>
          <w:u w:val="single"/>
        </w:rPr>
      </w:pPr>
      <w:r w:rsidRPr="00D23A56">
        <w:rPr>
          <w:rFonts w:asciiTheme="minorHAnsi" w:hAnsiTheme="minorHAnsi"/>
          <w:i/>
          <w:sz w:val="22"/>
          <w:szCs w:val="22"/>
        </w:rPr>
        <w:t>*</w:t>
      </w:r>
      <w:r w:rsidR="0036677B" w:rsidRPr="0036677B">
        <w:t xml:space="preserve"> </w:t>
      </w:r>
      <w:r w:rsidR="0036677B" w:rsidRPr="0036677B">
        <w:rPr>
          <w:rFonts w:asciiTheme="minorHAnsi" w:hAnsiTheme="minorHAnsi"/>
          <w:i/>
          <w:sz w:val="22"/>
          <w:szCs w:val="22"/>
        </w:rPr>
        <w:t>Bij patiënten met diabetes mellitus moeten de serumcreatinine- en kaliumspiegels worden gecontroleerd bij elke dosisverhoging en ten minste eenmaal per jaar binnen 1-2 weken na het begin van de ACEI-ARB-therapie (risico op hyperkaliëmie en nierfunctiestoornis).</w:t>
      </w:r>
    </w:p>
    <w:p w14:paraId="73B0EB41" w14:textId="77777777" w:rsidR="0087687F" w:rsidRPr="00D23A56" w:rsidRDefault="0087687F" w:rsidP="0087687F">
      <w:pPr>
        <w:jc w:val="both"/>
        <w:rPr>
          <w:rFonts w:asciiTheme="minorHAnsi" w:hAnsiTheme="minorHAnsi"/>
          <w:b/>
          <w:i/>
          <w:sz w:val="22"/>
          <w:szCs w:val="22"/>
          <w:u w:val="single"/>
        </w:rPr>
      </w:pPr>
    </w:p>
    <w:p w14:paraId="653E1ADE" w14:textId="77777777" w:rsidR="0087687F" w:rsidRPr="00D23A56" w:rsidRDefault="0087687F" w:rsidP="0087687F">
      <w:pPr>
        <w:jc w:val="both"/>
        <w:rPr>
          <w:rFonts w:asciiTheme="minorHAnsi" w:hAnsiTheme="minorHAnsi"/>
          <w:b/>
          <w:i/>
          <w:sz w:val="22"/>
          <w:szCs w:val="22"/>
          <w:u w:val="single"/>
        </w:rPr>
      </w:pPr>
    </w:p>
    <w:p w14:paraId="10AA98B0" w14:textId="09084ED3" w:rsidR="00A67324" w:rsidRPr="00D23A56" w:rsidRDefault="00A67324" w:rsidP="0036677B">
      <w:pPr>
        <w:spacing w:line="360" w:lineRule="auto"/>
        <w:jc w:val="both"/>
        <w:rPr>
          <w:rFonts w:asciiTheme="minorHAnsi" w:hAnsiTheme="minorHAnsi"/>
          <w:b/>
          <w:iCs/>
          <w:color w:val="000000" w:themeColor="text1"/>
          <w:sz w:val="22"/>
          <w:szCs w:val="22"/>
        </w:rPr>
      </w:pPr>
      <w:r w:rsidRPr="00D23A56">
        <w:rPr>
          <w:rFonts w:asciiTheme="minorHAnsi" w:hAnsiTheme="minorHAnsi"/>
          <w:b/>
          <w:sz w:val="28"/>
          <w:szCs w:val="28"/>
        </w:rPr>
        <w:t xml:space="preserve">G: </w:t>
      </w:r>
      <w:r w:rsidR="0036677B" w:rsidRPr="0036677B">
        <w:rPr>
          <w:rFonts w:asciiTheme="minorHAnsi" w:hAnsiTheme="minorHAnsi"/>
          <w:b/>
          <w:sz w:val="28"/>
          <w:szCs w:val="28"/>
        </w:rPr>
        <w:t>Urogenitaal systeem criteria.</w:t>
      </w:r>
    </w:p>
    <w:p w14:paraId="7BB0584C" w14:textId="77777777" w:rsidR="0087687F" w:rsidRPr="00D23A56" w:rsidRDefault="0087687F" w:rsidP="0087687F">
      <w:pPr>
        <w:jc w:val="both"/>
        <w:rPr>
          <w:rFonts w:asciiTheme="minorHAnsi" w:hAnsiTheme="minorHAnsi"/>
          <w:b/>
          <w:i/>
          <w:sz w:val="22"/>
          <w:szCs w:val="22"/>
          <w:u w:val="single"/>
        </w:rPr>
      </w:pPr>
    </w:p>
    <w:p w14:paraId="37385CF0" w14:textId="77777777" w:rsidR="009B6E20" w:rsidRPr="00D23A56" w:rsidRDefault="009B6E20" w:rsidP="0087687F">
      <w:pPr>
        <w:jc w:val="both"/>
        <w:rPr>
          <w:rFonts w:asciiTheme="minorHAnsi" w:hAnsiTheme="minorHAnsi"/>
          <w:b/>
          <w:i/>
          <w:sz w:val="22"/>
          <w:szCs w:val="22"/>
          <w:u w:val="single"/>
        </w:rPr>
      </w:pPr>
    </w:p>
    <w:p w14:paraId="08522A73" w14:textId="7284D859" w:rsidR="0087687F" w:rsidRPr="00D23A56" w:rsidRDefault="008A4F48" w:rsidP="0087687F">
      <w:pPr>
        <w:spacing w:line="360" w:lineRule="auto"/>
        <w:jc w:val="both"/>
        <w:rPr>
          <w:rFonts w:asciiTheme="minorHAnsi" w:hAnsiTheme="minorHAnsi"/>
          <w:b/>
          <w:sz w:val="22"/>
          <w:szCs w:val="22"/>
        </w:rPr>
      </w:pPr>
      <w:r>
        <w:rPr>
          <w:rFonts w:ascii="Calibri" w:hAnsi="Calibri" w:cs="Calibri"/>
          <w:b/>
          <w:sz w:val="22"/>
          <w:szCs w:val="22"/>
        </w:rPr>
        <w:t>#</w:t>
      </w:r>
      <w:r w:rsidR="0087687F" w:rsidRPr="00D23A56">
        <w:rPr>
          <w:rFonts w:asciiTheme="minorHAnsi" w:hAnsiTheme="minorHAnsi"/>
          <w:b/>
          <w:sz w:val="22"/>
          <w:szCs w:val="22"/>
        </w:rPr>
        <w:t xml:space="preserve">G1. </w:t>
      </w:r>
      <w:r w:rsidR="0036677B" w:rsidRPr="0036677B">
        <w:rPr>
          <w:rFonts w:asciiTheme="minorHAnsi" w:hAnsiTheme="minorHAnsi"/>
          <w:b/>
          <w:sz w:val="22"/>
          <w:szCs w:val="22"/>
        </w:rPr>
        <w:t>Het gebruik van alfa-1-receptorblokkers is geschikt bij patiënten met matig-ernstige (IPSS-score) symptomatische LUTS (symptomen van de lagere urinewegen) voor wie prostatectomie niet is geïndiceerd.</w:t>
      </w:r>
    </w:p>
    <w:p w14:paraId="53332749" w14:textId="77777777" w:rsidR="0087687F" w:rsidRPr="00D23A56" w:rsidRDefault="0087687F" w:rsidP="0087687F">
      <w:pPr>
        <w:jc w:val="both"/>
        <w:rPr>
          <w:rFonts w:asciiTheme="minorHAnsi" w:hAnsiTheme="minorHAnsi"/>
          <w:b/>
          <w:sz w:val="22"/>
          <w:szCs w:val="22"/>
        </w:rPr>
      </w:pPr>
    </w:p>
    <w:p w14:paraId="03B16FF8" w14:textId="77777777" w:rsidR="0087687F" w:rsidRPr="00D23A56" w:rsidRDefault="0087687F" w:rsidP="0087687F">
      <w:pPr>
        <w:jc w:val="both"/>
        <w:rPr>
          <w:rFonts w:asciiTheme="minorHAnsi" w:hAnsiTheme="minorHAnsi"/>
          <w:b/>
          <w:sz w:val="22"/>
          <w:szCs w:val="22"/>
        </w:rPr>
      </w:pPr>
    </w:p>
    <w:p w14:paraId="49213331" w14:textId="77777777" w:rsidR="00A67324" w:rsidRPr="00D23A56" w:rsidRDefault="00A67324" w:rsidP="0087687F">
      <w:pPr>
        <w:jc w:val="both"/>
        <w:rPr>
          <w:rFonts w:asciiTheme="minorHAnsi" w:hAnsiTheme="minorHAnsi"/>
          <w:b/>
          <w:sz w:val="22"/>
          <w:szCs w:val="22"/>
        </w:rPr>
      </w:pPr>
    </w:p>
    <w:p w14:paraId="19B5BE30" w14:textId="1A28DA99" w:rsidR="009B6E20" w:rsidRPr="00D23A56" w:rsidRDefault="008A4F48" w:rsidP="009B6E20">
      <w:pPr>
        <w:spacing w:line="360" w:lineRule="auto"/>
        <w:jc w:val="both"/>
        <w:rPr>
          <w:rFonts w:asciiTheme="minorHAnsi" w:hAnsiTheme="minorHAnsi"/>
          <w:b/>
          <w:sz w:val="22"/>
          <w:szCs w:val="22"/>
        </w:rPr>
      </w:pPr>
      <w:r>
        <w:rPr>
          <w:rFonts w:ascii="Calibri" w:hAnsi="Calibri" w:cs="Calibri"/>
          <w:b/>
          <w:sz w:val="22"/>
          <w:szCs w:val="22"/>
        </w:rPr>
        <w:t>#</w:t>
      </w:r>
      <w:r w:rsidR="0087687F" w:rsidRPr="00D23A56">
        <w:rPr>
          <w:rFonts w:asciiTheme="minorHAnsi" w:hAnsiTheme="minorHAnsi"/>
          <w:b/>
          <w:sz w:val="22"/>
          <w:szCs w:val="22"/>
        </w:rPr>
        <w:t xml:space="preserve">G2. </w:t>
      </w:r>
      <w:r w:rsidR="0036677B" w:rsidRPr="0036677B">
        <w:rPr>
          <w:rFonts w:asciiTheme="minorHAnsi" w:hAnsiTheme="minorHAnsi"/>
          <w:b/>
          <w:sz w:val="22"/>
          <w:szCs w:val="22"/>
        </w:rPr>
        <w:t xml:space="preserve">Bij patiënten met matige tot ernstige (IPSS-score) symptomatische LUTS (symptomen van de lagere urinewegen) waarvoor prostatectomie niet geïndiceerd is, is het, als het prostaatvolume &gt;30-40 ml is, </w:t>
      </w:r>
      <w:r w:rsidR="00515FE9">
        <w:rPr>
          <w:rFonts w:asciiTheme="minorHAnsi" w:hAnsiTheme="minorHAnsi"/>
          <w:b/>
          <w:sz w:val="22"/>
          <w:szCs w:val="22"/>
        </w:rPr>
        <w:t>geschikt</w:t>
      </w:r>
      <w:r w:rsidR="0036677B" w:rsidRPr="0036677B">
        <w:rPr>
          <w:rFonts w:asciiTheme="minorHAnsi" w:hAnsiTheme="minorHAnsi"/>
          <w:b/>
          <w:sz w:val="22"/>
          <w:szCs w:val="22"/>
        </w:rPr>
        <w:t xml:space="preserve"> om een ​​behandeling met 5-alfa-reductaseremmers te starten naast alfa-1-receptorblokker.</w:t>
      </w:r>
    </w:p>
    <w:p w14:paraId="6C4DF3AD" w14:textId="77777777" w:rsidR="009B6E20" w:rsidRPr="00D23A56" w:rsidRDefault="009B6E20" w:rsidP="009B6E20">
      <w:pPr>
        <w:spacing w:line="360" w:lineRule="auto"/>
        <w:jc w:val="both"/>
        <w:rPr>
          <w:rFonts w:asciiTheme="minorHAnsi" w:hAnsiTheme="minorHAnsi"/>
          <w:b/>
          <w:sz w:val="22"/>
          <w:szCs w:val="22"/>
        </w:rPr>
      </w:pPr>
    </w:p>
    <w:p w14:paraId="1D7E15CD" w14:textId="77777777" w:rsidR="0087687F" w:rsidRPr="00D23A56" w:rsidRDefault="0087687F" w:rsidP="0087687F">
      <w:pPr>
        <w:jc w:val="both"/>
        <w:rPr>
          <w:rFonts w:asciiTheme="minorHAnsi" w:hAnsiTheme="minorHAnsi"/>
          <w:b/>
          <w:sz w:val="22"/>
          <w:szCs w:val="22"/>
        </w:rPr>
      </w:pPr>
    </w:p>
    <w:p w14:paraId="09172BF9" w14:textId="77777777" w:rsidR="00A67324" w:rsidRPr="00D23A56" w:rsidRDefault="00A67324" w:rsidP="0087687F">
      <w:pPr>
        <w:jc w:val="both"/>
        <w:rPr>
          <w:rFonts w:asciiTheme="minorHAnsi" w:hAnsiTheme="minorHAnsi"/>
          <w:b/>
          <w:sz w:val="22"/>
          <w:szCs w:val="22"/>
        </w:rPr>
      </w:pPr>
    </w:p>
    <w:p w14:paraId="3BA95D67" w14:textId="0BA59B8D" w:rsidR="009B6E20" w:rsidRPr="00D23A56" w:rsidRDefault="0087687F" w:rsidP="00515FE9">
      <w:pPr>
        <w:spacing w:line="360" w:lineRule="auto"/>
        <w:jc w:val="both"/>
        <w:rPr>
          <w:rFonts w:asciiTheme="minorHAnsi" w:hAnsiTheme="minorHAnsi"/>
          <w:b/>
          <w:sz w:val="22"/>
          <w:szCs w:val="22"/>
        </w:rPr>
      </w:pPr>
      <w:r w:rsidRPr="00D23A56">
        <w:rPr>
          <w:rFonts w:asciiTheme="minorHAnsi" w:hAnsiTheme="minorHAnsi"/>
          <w:b/>
          <w:sz w:val="22"/>
          <w:szCs w:val="22"/>
        </w:rPr>
        <w:t xml:space="preserve">G3. </w:t>
      </w:r>
      <w:r w:rsidR="00515FE9" w:rsidRPr="00515FE9">
        <w:rPr>
          <w:rFonts w:asciiTheme="minorHAnsi" w:hAnsiTheme="minorHAnsi"/>
          <w:b/>
          <w:sz w:val="22"/>
          <w:szCs w:val="22"/>
        </w:rPr>
        <w:t xml:space="preserve">Bij symptomatische atrofische vaginitis is plaatselijke vaginale oestrogeentherapie </w:t>
      </w:r>
      <w:r w:rsidR="00515FE9">
        <w:rPr>
          <w:rFonts w:asciiTheme="minorHAnsi" w:hAnsiTheme="minorHAnsi"/>
          <w:b/>
          <w:sz w:val="22"/>
          <w:szCs w:val="22"/>
        </w:rPr>
        <w:t>geschikt</w:t>
      </w:r>
      <w:r w:rsidR="00515FE9" w:rsidRPr="00515FE9">
        <w:rPr>
          <w:rFonts w:asciiTheme="minorHAnsi" w:hAnsiTheme="minorHAnsi"/>
          <w:b/>
          <w:sz w:val="22"/>
          <w:szCs w:val="22"/>
        </w:rPr>
        <w:t>, nadat niet-hormonale behandelingen zijn geprobeerd.</w:t>
      </w:r>
    </w:p>
    <w:p w14:paraId="12C614E8"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user-generated"/>
          <w:rFonts w:asciiTheme="minorHAnsi" w:eastAsiaTheme="majorEastAsia" w:hAnsiTheme="minorHAnsi"/>
          <w:b/>
          <w:color w:val="000000"/>
          <w:sz w:val="22"/>
          <w:szCs w:val="22"/>
        </w:rPr>
      </w:pPr>
    </w:p>
    <w:p w14:paraId="541CC738"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user-generated"/>
          <w:rFonts w:asciiTheme="minorHAnsi" w:eastAsiaTheme="majorEastAsia" w:hAnsiTheme="minorHAnsi"/>
          <w:b/>
          <w:color w:val="000000"/>
          <w:sz w:val="22"/>
          <w:szCs w:val="22"/>
        </w:rPr>
      </w:pPr>
    </w:p>
    <w:p w14:paraId="6F139F5C"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user-generated"/>
          <w:rFonts w:asciiTheme="minorHAnsi" w:eastAsiaTheme="majorEastAsia" w:hAnsiTheme="minorHAnsi"/>
          <w:b/>
          <w:color w:val="000000"/>
          <w:sz w:val="22"/>
          <w:szCs w:val="22"/>
        </w:rPr>
      </w:pPr>
    </w:p>
    <w:p w14:paraId="5ED57B77" w14:textId="2B263000" w:rsidR="009B6E20" w:rsidRPr="00D23A56" w:rsidRDefault="00A67324"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ajorEastAsia" w:hAnsiTheme="minorHAnsi"/>
          <w:b/>
          <w:color w:val="000000"/>
          <w:sz w:val="22"/>
          <w:szCs w:val="22"/>
        </w:rPr>
      </w:pPr>
      <w:r w:rsidRPr="00D23A56">
        <w:rPr>
          <w:rFonts w:asciiTheme="minorHAnsi" w:hAnsiTheme="minorHAnsi"/>
          <w:b/>
          <w:sz w:val="28"/>
          <w:szCs w:val="28"/>
        </w:rPr>
        <w:t xml:space="preserve">H: </w:t>
      </w:r>
      <w:r w:rsidR="00515FE9" w:rsidRPr="00515FE9">
        <w:rPr>
          <w:rFonts w:asciiTheme="minorHAnsi" w:hAnsiTheme="minorHAnsi"/>
          <w:b/>
          <w:sz w:val="28"/>
          <w:szCs w:val="28"/>
        </w:rPr>
        <w:t>Vaccins.</w:t>
      </w:r>
    </w:p>
    <w:p w14:paraId="3EEE6590"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ajorEastAsia" w:hAnsiTheme="minorHAnsi"/>
          <w:b/>
          <w:color w:val="000000"/>
          <w:sz w:val="22"/>
          <w:szCs w:val="22"/>
        </w:rPr>
      </w:pPr>
    </w:p>
    <w:p w14:paraId="5ABB1D47"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ajorEastAsia" w:hAnsiTheme="minorHAnsi"/>
          <w:b/>
          <w:color w:val="000000"/>
          <w:sz w:val="22"/>
          <w:szCs w:val="22"/>
        </w:rPr>
      </w:pPr>
    </w:p>
    <w:p w14:paraId="575F1012" w14:textId="77777777" w:rsidR="009B6E20" w:rsidRPr="00D23A56" w:rsidRDefault="009B6E20" w:rsidP="009B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ajorEastAsia" w:hAnsiTheme="minorHAnsi"/>
          <w:b/>
          <w:color w:val="000000"/>
          <w:sz w:val="22"/>
          <w:szCs w:val="22"/>
        </w:rPr>
      </w:pPr>
    </w:p>
    <w:p w14:paraId="3AE340D5" w14:textId="7661A30F" w:rsidR="00515FE9" w:rsidRDefault="0087687F" w:rsidP="0051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
          <w:sz w:val="22"/>
          <w:szCs w:val="22"/>
        </w:rPr>
      </w:pPr>
      <w:r w:rsidRPr="00D23A56">
        <w:rPr>
          <w:rFonts w:asciiTheme="minorHAnsi" w:hAnsiTheme="minorHAnsi"/>
          <w:b/>
          <w:sz w:val="22"/>
          <w:szCs w:val="22"/>
        </w:rPr>
        <w:t xml:space="preserve">H1. </w:t>
      </w:r>
      <w:r w:rsidR="00515FE9" w:rsidRPr="00515FE9">
        <w:rPr>
          <w:rFonts w:asciiTheme="minorHAnsi" w:hAnsiTheme="minorHAnsi"/>
          <w:b/>
          <w:sz w:val="22"/>
          <w:szCs w:val="22"/>
        </w:rPr>
        <w:t xml:space="preserve">Jaarlijkse griepvaccinatie is </w:t>
      </w:r>
      <w:r w:rsidR="00515FE9">
        <w:rPr>
          <w:rFonts w:asciiTheme="minorHAnsi" w:hAnsiTheme="minorHAnsi"/>
          <w:b/>
          <w:sz w:val="22"/>
          <w:szCs w:val="22"/>
        </w:rPr>
        <w:t>geschikt</w:t>
      </w:r>
    </w:p>
    <w:p w14:paraId="610055F3" w14:textId="77777777" w:rsidR="00515FE9" w:rsidRDefault="0087687F" w:rsidP="0051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Cs/>
          <w:i/>
          <w:sz w:val="22"/>
          <w:szCs w:val="22"/>
        </w:rPr>
      </w:pPr>
      <w:r w:rsidRPr="00D23A56">
        <w:rPr>
          <w:rFonts w:asciiTheme="minorHAnsi" w:hAnsiTheme="minorHAnsi"/>
          <w:bCs/>
          <w:sz w:val="22"/>
          <w:szCs w:val="22"/>
        </w:rPr>
        <w:t>*</w:t>
      </w:r>
      <w:r w:rsidR="00515FE9" w:rsidRPr="00515FE9">
        <w:t xml:space="preserve"> </w:t>
      </w:r>
      <w:r w:rsidR="00515FE9" w:rsidRPr="00515FE9">
        <w:rPr>
          <w:rFonts w:asciiTheme="minorHAnsi" w:hAnsiTheme="minorHAnsi"/>
          <w:bCs/>
          <w:i/>
          <w:sz w:val="22"/>
          <w:szCs w:val="22"/>
        </w:rPr>
        <w:t>Trivalente hooggedoseerde en tetravalente griepvaccins zijn effectiever bij ouderen dan standaarddosis trivalente vaccins en kunnen de voorkeur hebben.</w:t>
      </w:r>
    </w:p>
    <w:p w14:paraId="774C6662" w14:textId="6A8BF60A" w:rsidR="009B6E20" w:rsidRPr="00D23A56" w:rsidRDefault="0087687F" w:rsidP="0051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Cs/>
          <w:i/>
          <w:color w:val="000000" w:themeColor="text1"/>
          <w:sz w:val="22"/>
          <w:szCs w:val="22"/>
        </w:rPr>
      </w:pPr>
      <w:r w:rsidRPr="00D23A56">
        <w:rPr>
          <w:rFonts w:asciiTheme="minorHAnsi" w:hAnsiTheme="minorHAnsi"/>
          <w:bCs/>
          <w:i/>
          <w:sz w:val="22"/>
          <w:szCs w:val="22"/>
        </w:rPr>
        <w:t xml:space="preserve">* </w:t>
      </w:r>
      <w:r w:rsidR="00515FE9" w:rsidRPr="00515FE9">
        <w:rPr>
          <w:rFonts w:asciiTheme="minorHAnsi" w:hAnsiTheme="minorHAnsi"/>
          <w:bCs/>
          <w:i/>
          <w:sz w:val="22"/>
          <w:szCs w:val="22"/>
        </w:rPr>
        <w:t>Tetravalente, trivalente en hooggedoseerde trivalente griepvaccins zijn goedgekeurd door de FDA.</w:t>
      </w:r>
    </w:p>
    <w:p w14:paraId="4900C765" w14:textId="77777777" w:rsidR="009B6E20" w:rsidRPr="00D23A56" w:rsidRDefault="009B6E20" w:rsidP="009B6E20">
      <w:pPr>
        <w:jc w:val="both"/>
        <w:rPr>
          <w:rFonts w:asciiTheme="minorHAnsi" w:hAnsiTheme="minorHAnsi"/>
          <w:bCs/>
          <w:i/>
          <w:color w:val="000000" w:themeColor="text1"/>
          <w:sz w:val="22"/>
          <w:szCs w:val="22"/>
        </w:rPr>
      </w:pPr>
    </w:p>
    <w:p w14:paraId="6C2FB1EE" w14:textId="77777777" w:rsidR="0087687F" w:rsidRPr="00D23A56" w:rsidRDefault="0087687F" w:rsidP="009B6E20">
      <w:pPr>
        <w:jc w:val="both"/>
        <w:rPr>
          <w:rFonts w:asciiTheme="minorHAnsi" w:hAnsiTheme="minorHAnsi"/>
          <w:b/>
          <w:sz w:val="22"/>
          <w:szCs w:val="22"/>
        </w:rPr>
      </w:pPr>
    </w:p>
    <w:p w14:paraId="23D3DF71" w14:textId="77777777" w:rsidR="00515FE9" w:rsidRDefault="0087687F" w:rsidP="00515FE9">
      <w:pPr>
        <w:jc w:val="both"/>
        <w:rPr>
          <w:rFonts w:asciiTheme="minorHAnsi" w:hAnsiTheme="minorHAnsi"/>
          <w:b/>
          <w:sz w:val="22"/>
          <w:szCs w:val="22"/>
        </w:rPr>
      </w:pPr>
      <w:r w:rsidRPr="00D23A56">
        <w:rPr>
          <w:rFonts w:asciiTheme="minorHAnsi" w:hAnsiTheme="minorHAnsi"/>
          <w:b/>
          <w:sz w:val="22"/>
          <w:szCs w:val="22"/>
        </w:rPr>
        <w:t xml:space="preserve">H2. </w:t>
      </w:r>
      <w:r w:rsidR="00515FE9" w:rsidRPr="00515FE9">
        <w:rPr>
          <w:rFonts w:asciiTheme="minorHAnsi" w:hAnsiTheme="minorHAnsi"/>
          <w:b/>
          <w:sz w:val="22"/>
          <w:szCs w:val="22"/>
        </w:rPr>
        <w:t>Pneumokokkenvaccin (één dosis voor elk van de 13-valente geconjugeerde en 23-valente polysacharidevaccins) is geschikt na de leeftijd van 65 jaar.</w:t>
      </w:r>
    </w:p>
    <w:p w14:paraId="2DABAEF1" w14:textId="77777777" w:rsidR="00515FE9" w:rsidRDefault="0087687F" w:rsidP="00515FE9">
      <w:pPr>
        <w:jc w:val="both"/>
        <w:rPr>
          <w:rFonts w:asciiTheme="minorHAnsi" w:hAnsiTheme="minorHAnsi"/>
          <w:bCs/>
          <w:i/>
          <w:sz w:val="22"/>
          <w:szCs w:val="22"/>
        </w:rPr>
      </w:pPr>
      <w:r w:rsidRPr="00D23A56">
        <w:rPr>
          <w:rFonts w:asciiTheme="minorHAnsi" w:hAnsiTheme="minorHAnsi"/>
          <w:bCs/>
          <w:sz w:val="22"/>
          <w:szCs w:val="22"/>
        </w:rPr>
        <w:t xml:space="preserve">i) </w:t>
      </w:r>
      <w:r w:rsidR="00515FE9" w:rsidRPr="00515FE9">
        <w:rPr>
          <w:rFonts w:asciiTheme="minorHAnsi" w:hAnsiTheme="minorHAnsi"/>
          <w:bCs/>
          <w:i/>
          <w:sz w:val="22"/>
          <w:szCs w:val="22"/>
        </w:rPr>
        <w:t>Bij personen die niet eerder tegen pneumokokken zijn gevaccineerd, moet als eerste dosis een 13-valent geconjugeerd vaccin worden toegediend, gevolgd door een 23-valent polysacharidevaccin ten minste 1 jaar later.</w:t>
      </w:r>
    </w:p>
    <w:p w14:paraId="2DA8965D" w14:textId="77777777" w:rsidR="00515FE9" w:rsidRPr="00515FE9" w:rsidRDefault="0087687F" w:rsidP="00515FE9">
      <w:pPr>
        <w:jc w:val="both"/>
        <w:rPr>
          <w:rFonts w:asciiTheme="minorHAnsi" w:hAnsiTheme="minorHAnsi"/>
          <w:bCs/>
          <w:i/>
          <w:sz w:val="22"/>
          <w:szCs w:val="22"/>
        </w:rPr>
      </w:pPr>
      <w:r w:rsidRPr="00D23A56">
        <w:rPr>
          <w:rFonts w:asciiTheme="minorHAnsi" w:hAnsiTheme="minorHAnsi"/>
          <w:bCs/>
          <w:sz w:val="22"/>
          <w:szCs w:val="22"/>
        </w:rPr>
        <w:t xml:space="preserve">ii) </w:t>
      </w:r>
      <w:r w:rsidR="00515FE9" w:rsidRPr="00515FE9">
        <w:rPr>
          <w:rFonts w:asciiTheme="minorHAnsi" w:hAnsiTheme="minorHAnsi"/>
          <w:bCs/>
          <w:i/>
          <w:sz w:val="22"/>
          <w:szCs w:val="22"/>
        </w:rPr>
        <w:t>Personen die eerder een 23-valent polysacharidevaccin hebben gekregen, dienen 1 jaar later een 13-valent geconjugeerd vaccin te krijgen.</w:t>
      </w:r>
    </w:p>
    <w:p w14:paraId="3EE20FF9" w14:textId="77777777" w:rsidR="00515FE9" w:rsidRDefault="00515FE9" w:rsidP="00515FE9">
      <w:pPr>
        <w:jc w:val="both"/>
        <w:rPr>
          <w:rFonts w:asciiTheme="minorHAnsi" w:hAnsiTheme="minorHAnsi"/>
          <w:bCs/>
          <w:i/>
          <w:sz w:val="22"/>
          <w:szCs w:val="22"/>
        </w:rPr>
      </w:pPr>
      <w:r w:rsidRPr="00515FE9">
        <w:rPr>
          <w:rFonts w:asciiTheme="minorHAnsi" w:hAnsiTheme="minorHAnsi"/>
          <w:bCs/>
          <w:i/>
          <w:sz w:val="22"/>
          <w:szCs w:val="22"/>
        </w:rPr>
        <w:t>* Als het 23-valent polysacharidevaccin werd toegediend vóór de leeftijd van 65 jaar, moet het ten minste 5 jaar na het eerste vaccin worden herhaald bij personen ouder dan 65 jaar.</w:t>
      </w:r>
    </w:p>
    <w:p w14:paraId="1491C0D6" w14:textId="4F799B95" w:rsidR="0087687F" w:rsidRPr="00D23A56" w:rsidRDefault="0087687F" w:rsidP="0087687F">
      <w:pPr>
        <w:jc w:val="both"/>
        <w:rPr>
          <w:rFonts w:asciiTheme="minorHAnsi" w:hAnsiTheme="minorHAnsi"/>
          <w:b/>
          <w:i/>
          <w:sz w:val="22"/>
          <w:szCs w:val="22"/>
        </w:rPr>
      </w:pPr>
      <w:r w:rsidRPr="00D23A56">
        <w:rPr>
          <w:rFonts w:asciiTheme="minorHAnsi" w:hAnsiTheme="minorHAnsi"/>
          <w:bCs/>
          <w:i/>
          <w:sz w:val="22"/>
          <w:szCs w:val="22"/>
        </w:rPr>
        <w:t>*</w:t>
      </w:r>
      <w:r w:rsidR="00515FE9" w:rsidRPr="00515FE9">
        <w:rPr>
          <w:rFonts w:asciiTheme="minorHAnsi" w:hAnsiTheme="minorHAnsi"/>
          <w:bCs/>
          <w:i/>
          <w:sz w:val="22"/>
          <w:szCs w:val="22"/>
        </w:rPr>
        <w:t>Het wordt aanbevolen om het 23-valent polysacharidevaccin vanaf 65 jaar elke 10 jaar te herhalen.</w:t>
      </w:r>
    </w:p>
    <w:p w14:paraId="6A018F09" w14:textId="77777777" w:rsidR="0087687F" w:rsidRPr="00D23A56" w:rsidRDefault="0087687F" w:rsidP="0087687F">
      <w:pPr>
        <w:jc w:val="both"/>
        <w:rPr>
          <w:rFonts w:asciiTheme="minorHAnsi" w:hAnsiTheme="minorHAnsi"/>
          <w:i/>
          <w:sz w:val="22"/>
          <w:szCs w:val="22"/>
        </w:rPr>
      </w:pPr>
    </w:p>
    <w:p w14:paraId="16517DA9" w14:textId="77777777" w:rsidR="00515FE9" w:rsidRDefault="0087687F" w:rsidP="00515FE9">
      <w:pPr>
        <w:shd w:val="clear" w:color="auto" w:fill="FFFFFF"/>
        <w:spacing w:before="100" w:beforeAutospacing="1" w:after="100" w:afterAutospacing="1" w:line="360" w:lineRule="auto"/>
        <w:contextualSpacing/>
        <w:jc w:val="both"/>
        <w:rPr>
          <w:rFonts w:asciiTheme="minorHAnsi" w:hAnsiTheme="minorHAnsi"/>
          <w:b/>
          <w:sz w:val="22"/>
          <w:szCs w:val="22"/>
        </w:rPr>
      </w:pPr>
      <w:r w:rsidRPr="00D23A56">
        <w:rPr>
          <w:rFonts w:asciiTheme="minorHAnsi" w:hAnsiTheme="minorHAnsi"/>
          <w:b/>
          <w:sz w:val="22"/>
          <w:szCs w:val="22"/>
        </w:rPr>
        <w:t xml:space="preserve">H3. </w:t>
      </w:r>
      <w:r w:rsidR="00515FE9" w:rsidRPr="00515FE9">
        <w:rPr>
          <w:rFonts w:asciiTheme="minorHAnsi" w:hAnsiTheme="minorHAnsi"/>
          <w:b/>
          <w:sz w:val="22"/>
          <w:szCs w:val="22"/>
        </w:rPr>
        <w:t>Herpes zoster-vaccinatie is aangewezen (vermindert het risico op gordelroosinfectie en postherpetische neuralgie)</w:t>
      </w:r>
    </w:p>
    <w:p w14:paraId="07D58175" w14:textId="77777777" w:rsidR="00515FE9" w:rsidRPr="00515FE9" w:rsidRDefault="00515FE9" w:rsidP="00515FE9">
      <w:pPr>
        <w:shd w:val="clear" w:color="auto" w:fill="FFFFFF"/>
        <w:spacing w:before="100" w:beforeAutospacing="1" w:after="100" w:afterAutospacing="1"/>
        <w:contextualSpacing/>
        <w:jc w:val="both"/>
        <w:rPr>
          <w:rFonts w:asciiTheme="minorHAnsi" w:hAnsiTheme="minorHAnsi"/>
          <w:bCs/>
          <w:i/>
          <w:sz w:val="22"/>
          <w:szCs w:val="22"/>
        </w:rPr>
      </w:pPr>
      <w:r w:rsidRPr="00515FE9">
        <w:rPr>
          <w:rFonts w:asciiTheme="minorHAnsi" w:hAnsiTheme="minorHAnsi"/>
          <w:bCs/>
          <w:i/>
          <w:sz w:val="22"/>
          <w:szCs w:val="22"/>
        </w:rPr>
        <w:t>* Vaccinatie wordt ook aanbevolen voor gevallen die eerder gordelroos of waterpokken hebben gehad.</w:t>
      </w:r>
    </w:p>
    <w:p w14:paraId="24D42319" w14:textId="77777777" w:rsidR="00515FE9" w:rsidRPr="00515FE9" w:rsidRDefault="00515FE9" w:rsidP="00515FE9">
      <w:pPr>
        <w:shd w:val="clear" w:color="auto" w:fill="FFFFFF"/>
        <w:spacing w:before="100" w:beforeAutospacing="1" w:after="100" w:afterAutospacing="1"/>
        <w:contextualSpacing/>
        <w:jc w:val="both"/>
        <w:rPr>
          <w:rFonts w:asciiTheme="minorHAnsi" w:hAnsiTheme="minorHAnsi"/>
          <w:bCs/>
          <w:i/>
          <w:sz w:val="22"/>
          <w:szCs w:val="22"/>
        </w:rPr>
      </w:pPr>
      <w:r w:rsidRPr="00515FE9">
        <w:rPr>
          <w:rFonts w:asciiTheme="minorHAnsi" w:hAnsiTheme="minorHAnsi"/>
          <w:bCs/>
          <w:i/>
          <w:sz w:val="22"/>
          <w:szCs w:val="22"/>
        </w:rPr>
        <w:t>*RZV biedt meer bescherming dan ZVL.</w:t>
      </w:r>
    </w:p>
    <w:p w14:paraId="79533565" w14:textId="77777777" w:rsidR="00515FE9" w:rsidRPr="00515FE9" w:rsidRDefault="00515FE9" w:rsidP="00515FE9">
      <w:pPr>
        <w:shd w:val="clear" w:color="auto" w:fill="FFFFFF"/>
        <w:spacing w:before="100" w:beforeAutospacing="1" w:after="100" w:afterAutospacing="1"/>
        <w:contextualSpacing/>
        <w:jc w:val="both"/>
        <w:rPr>
          <w:rFonts w:asciiTheme="minorHAnsi" w:hAnsiTheme="minorHAnsi"/>
          <w:bCs/>
          <w:i/>
          <w:sz w:val="22"/>
          <w:szCs w:val="22"/>
        </w:rPr>
      </w:pPr>
      <w:r w:rsidRPr="00515FE9">
        <w:rPr>
          <w:rFonts w:asciiTheme="minorHAnsi" w:hAnsiTheme="minorHAnsi"/>
          <w:bCs/>
          <w:i/>
          <w:sz w:val="22"/>
          <w:szCs w:val="22"/>
        </w:rPr>
        <w:t>*RZV heeft de voorkeur boven ZVL.</w:t>
      </w:r>
    </w:p>
    <w:p w14:paraId="08345031" w14:textId="77777777" w:rsidR="00515FE9" w:rsidRPr="00515FE9" w:rsidRDefault="00515FE9" w:rsidP="00515FE9">
      <w:pPr>
        <w:shd w:val="clear" w:color="auto" w:fill="FFFFFF"/>
        <w:spacing w:before="100" w:beforeAutospacing="1" w:after="100" w:afterAutospacing="1"/>
        <w:contextualSpacing/>
        <w:jc w:val="both"/>
        <w:rPr>
          <w:rFonts w:asciiTheme="minorHAnsi" w:hAnsiTheme="minorHAnsi"/>
          <w:bCs/>
          <w:i/>
          <w:sz w:val="22"/>
          <w:szCs w:val="22"/>
        </w:rPr>
      </w:pPr>
      <w:r w:rsidRPr="00515FE9">
        <w:rPr>
          <w:rFonts w:asciiTheme="minorHAnsi" w:hAnsiTheme="minorHAnsi"/>
          <w:bCs/>
          <w:i/>
          <w:sz w:val="22"/>
          <w:szCs w:val="22"/>
        </w:rPr>
        <w:t>*RZV wordt in twee doses intramusculair toegediend. De tweede dosis moet 2-6 maanden na de eerste dosis worden gegeven. Dit programma dient te worden gebruikt voor alle patiënten, inclusief patiënten met een voorgeschiedenis van herpes zoster en patiënten met eerdere ZVL.</w:t>
      </w:r>
    </w:p>
    <w:p w14:paraId="757290D5" w14:textId="59F51BE0" w:rsidR="0087687F" w:rsidRPr="00D23A56" w:rsidRDefault="00515FE9" w:rsidP="00515FE9">
      <w:pPr>
        <w:shd w:val="clear" w:color="auto" w:fill="FFFFFF"/>
        <w:spacing w:before="100" w:beforeAutospacing="1" w:after="100" w:afterAutospacing="1"/>
        <w:contextualSpacing/>
        <w:jc w:val="both"/>
        <w:rPr>
          <w:rFonts w:asciiTheme="minorHAnsi" w:hAnsiTheme="minorHAnsi"/>
          <w:bCs/>
          <w:i/>
          <w:sz w:val="22"/>
          <w:szCs w:val="22"/>
        </w:rPr>
      </w:pPr>
      <w:r w:rsidRPr="00515FE9">
        <w:rPr>
          <w:rFonts w:asciiTheme="minorHAnsi" w:hAnsiTheme="minorHAnsi"/>
          <w:bCs/>
          <w:i/>
          <w:sz w:val="22"/>
          <w:szCs w:val="22"/>
        </w:rPr>
        <w:t>*In geval van gordelroosinfectie wordt vaccinatie op zijn vroegst na 6-12 maanden aanbevolen.</w:t>
      </w:r>
    </w:p>
    <w:p w14:paraId="05865890" w14:textId="77777777" w:rsidR="0087687F" w:rsidRPr="00D23A56" w:rsidRDefault="0087687F" w:rsidP="0087687F">
      <w:pPr>
        <w:shd w:val="clear" w:color="auto" w:fill="FFFFFF"/>
        <w:spacing w:before="100" w:beforeAutospacing="1" w:after="100" w:afterAutospacing="1" w:line="360" w:lineRule="auto"/>
        <w:contextualSpacing/>
        <w:jc w:val="both"/>
        <w:rPr>
          <w:rFonts w:asciiTheme="minorHAnsi" w:hAnsiTheme="minorHAnsi"/>
          <w:b/>
          <w:sz w:val="22"/>
          <w:szCs w:val="22"/>
        </w:rPr>
      </w:pPr>
    </w:p>
    <w:p w14:paraId="27BA24A8" w14:textId="7F76CFFA" w:rsidR="00515FE9" w:rsidRDefault="0087687F" w:rsidP="009B6E20">
      <w:pPr>
        <w:shd w:val="clear" w:color="auto" w:fill="FFFFFF"/>
        <w:spacing w:before="100" w:beforeAutospacing="1" w:after="100" w:afterAutospacing="1" w:line="360" w:lineRule="auto"/>
        <w:contextualSpacing/>
        <w:jc w:val="both"/>
        <w:rPr>
          <w:rFonts w:asciiTheme="minorHAnsi" w:hAnsiTheme="minorHAnsi"/>
          <w:b/>
          <w:sz w:val="22"/>
          <w:szCs w:val="22"/>
        </w:rPr>
      </w:pPr>
      <w:r w:rsidRPr="00D23A56">
        <w:rPr>
          <w:rFonts w:asciiTheme="minorHAnsi" w:hAnsiTheme="minorHAnsi"/>
          <w:b/>
          <w:sz w:val="22"/>
          <w:szCs w:val="22"/>
        </w:rPr>
        <w:t xml:space="preserve">H4. </w:t>
      </w:r>
      <w:r w:rsidR="00515FE9" w:rsidRPr="00515FE9">
        <w:rPr>
          <w:rFonts w:asciiTheme="minorHAnsi" w:hAnsiTheme="minorHAnsi"/>
          <w:b/>
          <w:sz w:val="22"/>
          <w:szCs w:val="22"/>
        </w:rPr>
        <w:t xml:space="preserve">Het is </w:t>
      </w:r>
      <w:r w:rsidR="00515FE9">
        <w:rPr>
          <w:rFonts w:asciiTheme="minorHAnsi" w:hAnsiTheme="minorHAnsi"/>
          <w:b/>
          <w:sz w:val="22"/>
          <w:szCs w:val="22"/>
        </w:rPr>
        <w:t>geschikt</w:t>
      </w:r>
      <w:r w:rsidR="00515FE9" w:rsidRPr="00515FE9">
        <w:rPr>
          <w:rFonts w:asciiTheme="minorHAnsi" w:hAnsiTheme="minorHAnsi"/>
          <w:b/>
          <w:sz w:val="22"/>
          <w:szCs w:val="22"/>
        </w:rPr>
        <w:t xml:space="preserve"> om elke 10 jaar Td (tetanus-difterietoxoïde) uit te voeren</w:t>
      </w:r>
    </w:p>
    <w:p w14:paraId="6332DE63" w14:textId="77777777" w:rsidR="00515FE9" w:rsidRDefault="0087687F" w:rsidP="00515FE9">
      <w:pPr>
        <w:shd w:val="clear" w:color="auto" w:fill="FFFFFF"/>
        <w:spacing w:before="100" w:beforeAutospacing="1" w:after="100" w:afterAutospacing="1" w:line="360" w:lineRule="auto"/>
        <w:contextualSpacing/>
        <w:jc w:val="both"/>
        <w:rPr>
          <w:rFonts w:asciiTheme="minorHAnsi" w:hAnsiTheme="minorHAnsi"/>
          <w:bCs/>
          <w:i/>
          <w:sz w:val="22"/>
          <w:szCs w:val="22"/>
        </w:rPr>
      </w:pPr>
      <w:r w:rsidRPr="00D23A56">
        <w:rPr>
          <w:rFonts w:asciiTheme="minorHAnsi" w:hAnsiTheme="minorHAnsi"/>
          <w:bCs/>
          <w:i/>
          <w:sz w:val="22"/>
          <w:szCs w:val="22"/>
        </w:rPr>
        <w:t>*</w:t>
      </w:r>
      <w:r w:rsidR="00515FE9" w:rsidRPr="00515FE9">
        <w:t xml:space="preserve"> </w:t>
      </w:r>
      <w:r w:rsidR="00515FE9" w:rsidRPr="00515FE9">
        <w:rPr>
          <w:rFonts w:asciiTheme="minorHAnsi" w:hAnsiTheme="minorHAnsi"/>
          <w:bCs/>
          <w:i/>
          <w:sz w:val="22"/>
          <w:szCs w:val="22"/>
        </w:rPr>
        <w:t xml:space="preserve">Het kinkhoestvaccin kan worden aanbevolen voor ouderen (zoals grootouders) die nauw contact hebben met zuigelingen ouder dan 1 jaar. </w:t>
      </w:r>
    </w:p>
    <w:p w14:paraId="425EDE20" w14:textId="5D320691" w:rsidR="0087687F" w:rsidRPr="00D23A56" w:rsidRDefault="00515FE9" w:rsidP="00515FE9">
      <w:pPr>
        <w:shd w:val="clear" w:color="auto" w:fill="FFFFFF"/>
        <w:spacing w:before="100" w:beforeAutospacing="1" w:after="100" w:afterAutospacing="1" w:line="360" w:lineRule="auto"/>
        <w:contextualSpacing/>
        <w:jc w:val="both"/>
        <w:rPr>
          <w:rFonts w:asciiTheme="minorHAnsi" w:hAnsiTheme="minorHAnsi"/>
          <w:bCs/>
          <w:i/>
          <w:sz w:val="22"/>
          <w:szCs w:val="22"/>
        </w:rPr>
      </w:pPr>
      <w:r w:rsidRPr="00515FE9">
        <w:rPr>
          <w:rFonts w:asciiTheme="minorHAnsi" w:hAnsiTheme="minorHAnsi"/>
          <w:bCs/>
          <w:i/>
          <w:sz w:val="22"/>
          <w:szCs w:val="22"/>
        </w:rPr>
        <w:t>In dit geval kan het worden toegediend als een enkele dosis TdaP.</w:t>
      </w:r>
    </w:p>
    <w:p w14:paraId="7D4B442D" w14:textId="77777777" w:rsidR="0087687F" w:rsidRPr="00D23A56" w:rsidRDefault="0087687F" w:rsidP="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rPr>
      </w:pPr>
    </w:p>
    <w:p w14:paraId="4B835B79" w14:textId="77777777" w:rsidR="0087687F" w:rsidRPr="00D23A56" w:rsidRDefault="0087687F" w:rsidP="009B6E20">
      <w:pPr>
        <w:jc w:val="both"/>
        <w:rPr>
          <w:rFonts w:asciiTheme="minorHAnsi" w:hAnsiTheme="minorHAnsi"/>
          <w:b/>
          <w:sz w:val="22"/>
          <w:szCs w:val="22"/>
        </w:rPr>
      </w:pPr>
    </w:p>
    <w:p w14:paraId="77C25CFA" w14:textId="77777777" w:rsidR="00515FE9" w:rsidRDefault="008A4F48" w:rsidP="008874FC">
      <w:pPr>
        <w:spacing w:line="360" w:lineRule="auto"/>
        <w:jc w:val="both"/>
        <w:rPr>
          <w:rFonts w:asciiTheme="minorHAnsi" w:hAnsiTheme="minorHAnsi"/>
          <w:b/>
          <w:sz w:val="22"/>
          <w:szCs w:val="22"/>
        </w:rPr>
      </w:pPr>
      <w:r>
        <w:rPr>
          <w:rFonts w:ascii="Calibri" w:hAnsi="Calibri" w:cs="Calibri"/>
          <w:b/>
          <w:sz w:val="22"/>
          <w:szCs w:val="22"/>
        </w:rPr>
        <w:t>#</w:t>
      </w:r>
      <w:r w:rsidR="0087687F" w:rsidRPr="00D23A56">
        <w:rPr>
          <w:rFonts w:asciiTheme="minorHAnsi" w:hAnsiTheme="minorHAnsi"/>
          <w:b/>
          <w:sz w:val="22"/>
          <w:szCs w:val="22"/>
        </w:rPr>
        <w:t xml:space="preserve">H5. </w:t>
      </w:r>
      <w:r w:rsidR="00515FE9" w:rsidRPr="00515FE9">
        <w:rPr>
          <w:rFonts w:asciiTheme="minorHAnsi" w:hAnsiTheme="minorHAnsi"/>
          <w:b/>
          <w:sz w:val="22"/>
          <w:szCs w:val="22"/>
        </w:rPr>
        <w:t>Het is gepast om een ​​meningokokkenvaccin te geven aan de patiënten die op bedevaart gaan.</w:t>
      </w:r>
    </w:p>
    <w:p w14:paraId="1B8D9F58" w14:textId="34609461" w:rsidR="00515FE9" w:rsidRPr="00515FE9" w:rsidRDefault="00515FE9" w:rsidP="00515FE9">
      <w:pPr>
        <w:jc w:val="both"/>
        <w:rPr>
          <w:rFonts w:asciiTheme="minorHAnsi" w:hAnsiTheme="minorHAnsi"/>
          <w:i/>
          <w:sz w:val="22"/>
          <w:szCs w:val="22"/>
        </w:rPr>
      </w:pPr>
      <w:r w:rsidRPr="00515FE9">
        <w:rPr>
          <w:rFonts w:asciiTheme="minorHAnsi" w:hAnsiTheme="minorHAnsi"/>
          <w:i/>
          <w:sz w:val="22"/>
          <w:szCs w:val="22"/>
        </w:rPr>
        <w:t>*Het wordt aanbevolen</w:t>
      </w:r>
      <w:r>
        <w:rPr>
          <w:rFonts w:asciiTheme="minorHAnsi" w:hAnsiTheme="minorHAnsi"/>
          <w:i/>
          <w:sz w:val="22"/>
          <w:szCs w:val="22"/>
        </w:rPr>
        <w:t xml:space="preserve"> ten minste 10 dagen voor de bedevaart</w:t>
      </w:r>
      <w:r w:rsidRPr="00515FE9">
        <w:rPr>
          <w:rFonts w:asciiTheme="minorHAnsi" w:hAnsiTheme="minorHAnsi"/>
          <w:i/>
          <w:sz w:val="22"/>
          <w:szCs w:val="22"/>
        </w:rPr>
        <w:t>.</w:t>
      </w:r>
    </w:p>
    <w:p w14:paraId="03A4C15E" w14:textId="2326C1B8" w:rsidR="0087687F" w:rsidRPr="00D23A56" w:rsidRDefault="00515FE9" w:rsidP="00515FE9">
      <w:pPr>
        <w:jc w:val="both"/>
        <w:rPr>
          <w:rFonts w:asciiTheme="minorHAnsi" w:hAnsiTheme="minorHAnsi"/>
          <w:b/>
          <w:i/>
          <w:sz w:val="22"/>
          <w:szCs w:val="22"/>
        </w:rPr>
      </w:pPr>
      <w:r w:rsidRPr="00515FE9">
        <w:rPr>
          <w:rFonts w:asciiTheme="minorHAnsi" w:hAnsiTheme="minorHAnsi"/>
          <w:i/>
          <w:sz w:val="22"/>
          <w:szCs w:val="22"/>
        </w:rPr>
        <w:t>*Als u na 5 jaar opnieuw reist, moet de dosis worden herhaald.</w:t>
      </w:r>
    </w:p>
    <w:p w14:paraId="35ACFA5E" w14:textId="77777777" w:rsidR="0087687F" w:rsidRPr="00D23A56" w:rsidRDefault="0087687F" w:rsidP="0087687F">
      <w:pPr>
        <w:jc w:val="both"/>
        <w:rPr>
          <w:rFonts w:asciiTheme="minorHAnsi" w:hAnsiTheme="minorHAnsi"/>
          <w:b/>
          <w:i/>
          <w:color w:val="5B9BD5" w:themeColor="accent5"/>
          <w:sz w:val="22"/>
          <w:szCs w:val="22"/>
          <w:u w:val="single"/>
        </w:rPr>
      </w:pPr>
    </w:p>
    <w:p w14:paraId="480DBEC4" w14:textId="77777777" w:rsidR="0087687F" w:rsidRPr="00D23A56" w:rsidRDefault="0087687F" w:rsidP="0087687F">
      <w:pPr>
        <w:jc w:val="both"/>
        <w:rPr>
          <w:rFonts w:asciiTheme="minorHAnsi" w:hAnsiTheme="minorHAnsi"/>
          <w:b/>
          <w:iCs/>
          <w:color w:val="000000" w:themeColor="text1"/>
          <w:sz w:val="22"/>
          <w:szCs w:val="22"/>
        </w:rPr>
      </w:pPr>
    </w:p>
    <w:p w14:paraId="525C3E24" w14:textId="77777777" w:rsidR="000A315F" w:rsidRPr="00D23A56" w:rsidRDefault="000A315F" w:rsidP="0087687F">
      <w:pPr>
        <w:jc w:val="both"/>
        <w:rPr>
          <w:rFonts w:asciiTheme="minorHAnsi" w:hAnsiTheme="minorHAnsi"/>
          <w:b/>
          <w:iCs/>
          <w:color w:val="000000" w:themeColor="text1"/>
          <w:sz w:val="22"/>
          <w:szCs w:val="22"/>
        </w:rPr>
      </w:pPr>
    </w:p>
    <w:p w14:paraId="37C8DC38" w14:textId="3FE5486D" w:rsidR="000A315F" w:rsidRPr="00D23A56" w:rsidRDefault="000A315F" w:rsidP="000A315F">
      <w:pPr>
        <w:spacing w:line="360" w:lineRule="auto"/>
        <w:jc w:val="both"/>
        <w:rPr>
          <w:rFonts w:asciiTheme="minorHAnsi" w:hAnsiTheme="minorHAnsi"/>
          <w:b/>
          <w:sz w:val="28"/>
          <w:szCs w:val="28"/>
        </w:rPr>
      </w:pPr>
      <w:r w:rsidRPr="00D23A56">
        <w:rPr>
          <w:rFonts w:asciiTheme="minorHAnsi" w:hAnsiTheme="minorHAnsi"/>
          <w:b/>
          <w:sz w:val="28"/>
          <w:szCs w:val="28"/>
        </w:rPr>
        <w:t xml:space="preserve">I: </w:t>
      </w:r>
      <w:r w:rsidR="00515FE9">
        <w:rPr>
          <w:rFonts w:asciiTheme="minorHAnsi" w:hAnsiTheme="minorHAnsi"/>
          <w:b/>
          <w:sz w:val="28"/>
          <w:szCs w:val="28"/>
        </w:rPr>
        <w:t>S</w:t>
      </w:r>
      <w:r w:rsidR="00515FE9" w:rsidRPr="00515FE9">
        <w:rPr>
          <w:rFonts w:asciiTheme="minorHAnsi" w:hAnsiTheme="minorHAnsi"/>
          <w:b/>
          <w:sz w:val="28"/>
          <w:szCs w:val="28"/>
        </w:rPr>
        <w:t>upplementen</w:t>
      </w:r>
      <w:r w:rsidRPr="00D23A56">
        <w:rPr>
          <w:rFonts w:asciiTheme="minorHAnsi" w:hAnsiTheme="minorHAnsi"/>
          <w:b/>
          <w:sz w:val="28"/>
          <w:szCs w:val="28"/>
        </w:rPr>
        <w:t>.</w:t>
      </w:r>
    </w:p>
    <w:p w14:paraId="2FB534D3" w14:textId="77777777" w:rsidR="0087687F" w:rsidRPr="00D23A56" w:rsidRDefault="0087687F" w:rsidP="0087687F">
      <w:pPr>
        <w:jc w:val="both"/>
        <w:rPr>
          <w:rFonts w:asciiTheme="minorHAnsi" w:hAnsiTheme="minorHAnsi"/>
          <w:b/>
          <w:i/>
          <w:color w:val="5B9BD5" w:themeColor="accent5"/>
          <w:sz w:val="22"/>
          <w:szCs w:val="22"/>
          <w:u w:val="single"/>
        </w:rPr>
      </w:pPr>
    </w:p>
    <w:p w14:paraId="55B84C61" w14:textId="77777777" w:rsidR="000A315F" w:rsidRPr="00D23A56" w:rsidRDefault="000A315F" w:rsidP="0087687F">
      <w:pPr>
        <w:jc w:val="both"/>
        <w:rPr>
          <w:rFonts w:asciiTheme="minorHAnsi" w:hAnsiTheme="minorHAnsi"/>
          <w:b/>
          <w:i/>
          <w:color w:val="5B9BD5" w:themeColor="accent5"/>
          <w:sz w:val="22"/>
          <w:szCs w:val="22"/>
          <w:u w:val="single"/>
        </w:rPr>
      </w:pPr>
    </w:p>
    <w:p w14:paraId="1A571B41" w14:textId="77777777" w:rsidR="008874FC" w:rsidRPr="00D23A56" w:rsidRDefault="008874FC" w:rsidP="0087687F">
      <w:pPr>
        <w:jc w:val="both"/>
        <w:rPr>
          <w:rFonts w:asciiTheme="minorHAnsi" w:hAnsiTheme="minorHAnsi"/>
          <w:b/>
          <w:i/>
          <w:color w:val="5B9BD5" w:themeColor="accent5"/>
          <w:sz w:val="22"/>
          <w:szCs w:val="22"/>
          <w:u w:val="single"/>
        </w:rPr>
      </w:pPr>
    </w:p>
    <w:p w14:paraId="3A46BF01" w14:textId="06BD4CCF" w:rsidR="00515FE9" w:rsidRDefault="0087687F" w:rsidP="0087687F">
      <w:pPr>
        <w:autoSpaceDE w:val="0"/>
        <w:autoSpaceDN w:val="0"/>
        <w:adjustRightInd w:val="0"/>
        <w:spacing w:line="360" w:lineRule="auto"/>
        <w:jc w:val="both"/>
        <w:rPr>
          <w:rFonts w:asciiTheme="minorHAnsi" w:hAnsiTheme="minorHAnsi"/>
          <w:b/>
          <w:sz w:val="22"/>
          <w:szCs w:val="22"/>
        </w:rPr>
      </w:pPr>
      <w:r w:rsidRPr="00D23A56">
        <w:rPr>
          <w:rFonts w:asciiTheme="minorHAnsi" w:hAnsiTheme="minorHAnsi"/>
          <w:b/>
          <w:sz w:val="22"/>
          <w:szCs w:val="22"/>
        </w:rPr>
        <w:lastRenderedPageBreak/>
        <w:t xml:space="preserve">I1. </w:t>
      </w:r>
      <w:r w:rsidR="00515FE9" w:rsidRPr="00515FE9">
        <w:rPr>
          <w:rFonts w:asciiTheme="minorHAnsi" w:hAnsiTheme="minorHAnsi"/>
          <w:b/>
          <w:sz w:val="22"/>
          <w:szCs w:val="22"/>
        </w:rPr>
        <w:t xml:space="preserve">Bij ouderen met ondervoeding (MN) of risico op ondervoeding (MNR), is het starten van orale voedingssupplementen (ONS) </w:t>
      </w:r>
      <w:r w:rsidR="00515FE9">
        <w:rPr>
          <w:rFonts w:asciiTheme="minorHAnsi" w:hAnsiTheme="minorHAnsi"/>
          <w:b/>
          <w:sz w:val="22"/>
          <w:szCs w:val="22"/>
        </w:rPr>
        <w:t>geschikt</w:t>
      </w:r>
      <w:r w:rsidR="00515FE9" w:rsidRPr="00515FE9">
        <w:rPr>
          <w:rFonts w:asciiTheme="minorHAnsi" w:hAnsiTheme="minorHAnsi"/>
          <w:b/>
          <w:sz w:val="22"/>
          <w:szCs w:val="22"/>
        </w:rPr>
        <w:t xml:space="preserve"> als voedingsadvies en voedingssuppletie niet voldoende zijn om de inname via de voeding te verhogen en voedingsdoelen te bereiken.</w:t>
      </w:r>
    </w:p>
    <w:p w14:paraId="1930CE4C" w14:textId="77777777" w:rsidR="00515FE9" w:rsidRDefault="0087687F" w:rsidP="0087687F">
      <w:pPr>
        <w:autoSpaceDE w:val="0"/>
        <w:autoSpaceDN w:val="0"/>
        <w:adjustRightInd w:val="0"/>
        <w:spacing w:line="360" w:lineRule="auto"/>
        <w:jc w:val="both"/>
        <w:rPr>
          <w:rFonts w:asciiTheme="minorHAnsi" w:hAnsiTheme="minorHAnsi"/>
          <w:bCs/>
          <w:i/>
          <w:sz w:val="22"/>
          <w:szCs w:val="22"/>
        </w:rPr>
      </w:pPr>
      <w:r w:rsidRPr="00D23A56">
        <w:rPr>
          <w:rFonts w:asciiTheme="minorHAnsi" w:hAnsiTheme="minorHAnsi"/>
          <w:bCs/>
          <w:i/>
          <w:sz w:val="22"/>
          <w:szCs w:val="22"/>
        </w:rPr>
        <w:t>*</w:t>
      </w:r>
      <w:r w:rsidR="00515FE9" w:rsidRPr="00515FE9">
        <w:t xml:space="preserve"> </w:t>
      </w:r>
      <w:r w:rsidR="00515FE9" w:rsidRPr="00515FE9">
        <w:rPr>
          <w:rFonts w:asciiTheme="minorHAnsi" w:hAnsiTheme="minorHAnsi"/>
          <w:bCs/>
          <w:i/>
          <w:sz w:val="22"/>
          <w:szCs w:val="22"/>
        </w:rPr>
        <w:t>Er is meer bewijs met betrekking tot het starten van ONS bij ouderen met een chronische ziekte.</w:t>
      </w:r>
    </w:p>
    <w:p w14:paraId="0645E64F" w14:textId="77777777" w:rsidR="00515FE9" w:rsidRDefault="0087687F" w:rsidP="0087687F">
      <w:pPr>
        <w:autoSpaceDE w:val="0"/>
        <w:autoSpaceDN w:val="0"/>
        <w:adjustRightInd w:val="0"/>
        <w:spacing w:line="360" w:lineRule="auto"/>
        <w:jc w:val="both"/>
        <w:rPr>
          <w:rFonts w:asciiTheme="minorHAnsi" w:hAnsiTheme="minorHAnsi"/>
          <w:bCs/>
          <w:i/>
          <w:color w:val="000000" w:themeColor="text1"/>
          <w:sz w:val="22"/>
          <w:szCs w:val="22"/>
        </w:rPr>
      </w:pPr>
      <w:r w:rsidRPr="00D23A56">
        <w:rPr>
          <w:rFonts w:asciiTheme="minorHAnsi" w:hAnsiTheme="minorHAnsi"/>
          <w:bCs/>
          <w:i/>
          <w:color w:val="000000" w:themeColor="text1"/>
          <w:sz w:val="22"/>
          <w:szCs w:val="22"/>
        </w:rPr>
        <w:t>*</w:t>
      </w:r>
      <w:r w:rsidR="00515FE9" w:rsidRPr="00515FE9">
        <w:t xml:space="preserve"> </w:t>
      </w:r>
      <w:r w:rsidR="00515FE9" w:rsidRPr="00515FE9">
        <w:rPr>
          <w:rFonts w:asciiTheme="minorHAnsi" w:hAnsiTheme="minorHAnsi"/>
          <w:bCs/>
          <w:i/>
          <w:color w:val="000000" w:themeColor="text1"/>
          <w:sz w:val="22"/>
          <w:szCs w:val="22"/>
        </w:rPr>
        <w:t>Het wordt aanbevolen dat het ONS-gehalte minimaal 400 kcal energie en 30 g eiwit per dag moet bevatten en dat ONS minimaal 1 maand moet worden volgehouden.</w:t>
      </w:r>
    </w:p>
    <w:p w14:paraId="2AB7ECC5" w14:textId="405F900E" w:rsidR="0087687F" w:rsidRPr="00D23A56" w:rsidRDefault="0087687F" w:rsidP="0087687F">
      <w:pPr>
        <w:autoSpaceDE w:val="0"/>
        <w:autoSpaceDN w:val="0"/>
        <w:adjustRightInd w:val="0"/>
        <w:spacing w:line="360" w:lineRule="auto"/>
        <w:jc w:val="both"/>
        <w:rPr>
          <w:rFonts w:asciiTheme="minorHAnsi" w:hAnsiTheme="minorHAnsi"/>
          <w:bCs/>
          <w:i/>
          <w:color w:val="000000" w:themeColor="text1"/>
          <w:sz w:val="22"/>
          <w:szCs w:val="22"/>
          <w:shd w:val="clear" w:color="auto" w:fill="FFFFFF"/>
        </w:rPr>
      </w:pPr>
      <w:r w:rsidRPr="00D23A56">
        <w:rPr>
          <w:rFonts w:asciiTheme="minorHAnsi" w:hAnsiTheme="minorHAnsi"/>
          <w:bCs/>
          <w:i/>
          <w:color w:val="000000" w:themeColor="text1"/>
          <w:sz w:val="22"/>
          <w:szCs w:val="22"/>
        </w:rPr>
        <w:t>*</w:t>
      </w:r>
      <w:r w:rsidR="00515FE9" w:rsidRPr="00515FE9">
        <w:t xml:space="preserve"> </w:t>
      </w:r>
      <w:r w:rsidR="00515FE9" w:rsidRPr="00515FE9">
        <w:rPr>
          <w:rFonts w:asciiTheme="minorHAnsi" w:hAnsiTheme="minorHAnsi"/>
          <w:bCs/>
          <w:i/>
          <w:color w:val="000000" w:themeColor="text1"/>
          <w:sz w:val="22"/>
          <w:szCs w:val="22"/>
          <w:shd w:val="clear" w:color="auto" w:fill="FFFFFF"/>
        </w:rPr>
        <w:t xml:space="preserve">Het is passend om de gevallen die ONS eenmaal </w:t>
      </w:r>
      <w:r w:rsidR="00515FE9">
        <w:rPr>
          <w:rFonts w:asciiTheme="minorHAnsi" w:hAnsiTheme="minorHAnsi"/>
          <w:bCs/>
          <w:i/>
          <w:color w:val="000000" w:themeColor="text1"/>
          <w:sz w:val="22"/>
          <w:szCs w:val="22"/>
          <w:shd w:val="clear" w:color="auto" w:fill="FFFFFF"/>
        </w:rPr>
        <w:t>per maand krijgen, te evalueren</w:t>
      </w:r>
      <w:r w:rsidRPr="00D23A56">
        <w:rPr>
          <w:rFonts w:asciiTheme="minorHAnsi" w:hAnsiTheme="minorHAnsi"/>
          <w:bCs/>
          <w:i/>
          <w:color w:val="000000" w:themeColor="text1"/>
          <w:sz w:val="22"/>
          <w:szCs w:val="22"/>
          <w:shd w:val="clear" w:color="auto" w:fill="FFFFFF"/>
        </w:rPr>
        <w:t>.</w:t>
      </w:r>
    </w:p>
    <w:p w14:paraId="43C7DA50" w14:textId="77777777" w:rsidR="00515FE9" w:rsidRDefault="0087687F" w:rsidP="00515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515FE9" w:rsidRPr="00515FE9">
        <w:t xml:space="preserve"> </w:t>
      </w:r>
      <w:r w:rsidR="00515FE9" w:rsidRPr="00515FE9">
        <w:rPr>
          <w:rFonts w:asciiTheme="minorHAnsi" w:hAnsiTheme="minorHAnsi"/>
          <w:bCs/>
          <w:i/>
          <w:color w:val="000000"/>
          <w:sz w:val="22"/>
          <w:szCs w:val="22"/>
        </w:rPr>
        <w:t>Als richtsnoer voor de behandeling is de aanbevolen waarde voor de energie-inname bij ouderen 30 kcal/kg/dag.</w:t>
      </w:r>
    </w:p>
    <w:p w14:paraId="4FC3F46E" w14:textId="77777777" w:rsidR="00515FE9" w:rsidRDefault="0087687F" w:rsidP="00515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515FE9" w:rsidRPr="00515FE9">
        <w:t xml:space="preserve"> </w:t>
      </w:r>
      <w:r w:rsidR="00515FE9" w:rsidRPr="00515FE9">
        <w:rPr>
          <w:rFonts w:asciiTheme="minorHAnsi" w:hAnsiTheme="minorHAnsi"/>
          <w:bCs/>
          <w:i/>
          <w:color w:val="000000"/>
          <w:sz w:val="22"/>
          <w:szCs w:val="22"/>
        </w:rPr>
        <w:t>Bij gezonde ouderen wordt een eiwitinname van 1,0-1,2 g/kg/dag aanbevolen.</w:t>
      </w:r>
    </w:p>
    <w:p w14:paraId="170C1462" w14:textId="77777777" w:rsidR="00515FE9" w:rsidRDefault="0087687F" w:rsidP="00515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Cs/>
          <w:i/>
          <w:color w:val="000000"/>
          <w:sz w:val="22"/>
          <w:szCs w:val="22"/>
        </w:rPr>
      </w:pPr>
      <w:r w:rsidRPr="00D23A56">
        <w:rPr>
          <w:rFonts w:asciiTheme="minorHAnsi" w:hAnsiTheme="minorHAnsi"/>
          <w:bCs/>
          <w:i/>
          <w:color w:val="000000"/>
          <w:sz w:val="22"/>
          <w:szCs w:val="22"/>
        </w:rPr>
        <w:t>*</w:t>
      </w:r>
      <w:r w:rsidR="00515FE9" w:rsidRPr="00515FE9">
        <w:t xml:space="preserve"> </w:t>
      </w:r>
      <w:r w:rsidR="00515FE9" w:rsidRPr="00515FE9">
        <w:rPr>
          <w:rFonts w:asciiTheme="minorHAnsi" w:hAnsiTheme="minorHAnsi"/>
          <w:bCs/>
          <w:i/>
          <w:color w:val="000000"/>
          <w:sz w:val="22"/>
          <w:szCs w:val="22"/>
        </w:rPr>
        <w:t>Een eiwitinname van 1,2-1,5 g/kg/dag wordt aanbevolen voor oudere personen met acute of chronische ziekten.</w:t>
      </w:r>
    </w:p>
    <w:p w14:paraId="04037E17" w14:textId="19631E91" w:rsidR="0087687F" w:rsidRPr="00D23A56" w:rsidRDefault="0087687F" w:rsidP="00515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b/>
          <w:i/>
          <w:color w:val="000000"/>
          <w:sz w:val="22"/>
          <w:szCs w:val="22"/>
        </w:rPr>
      </w:pPr>
      <w:r w:rsidRPr="00D23A56">
        <w:rPr>
          <w:rFonts w:asciiTheme="minorHAnsi" w:hAnsiTheme="minorHAnsi"/>
          <w:bCs/>
          <w:i/>
          <w:color w:val="000000"/>
          <w:sz w:val="22"/>
          <w:szCs w:val="22"/>
        </w:rPr>
        <w:t>*</w:t>
      </w:r>
      <w:r w:rsidR="00515FE9" w:rsidRPr="00515FE9">
        <w:t xml:space="preserve"> </w:t>
      </w:r>
      <w:r w:rsidR="00515FE9" w:rsidRPr="00515FE9">
        <w:rPr>
          <w:rFonts w:asciiTheme="minorHAnsi" w:hAnsiTheme="minorHAnsi"/>
          <w:bCs/>
          <w:i/>
          <w:color w:val="000000"/>
          <w:sz w:val="22"/>
          <w:szCs w:val="22"/>
        </w:rPr>
        <w:t>Oudere personen met een ernstige ziekte, verwonding of ondervoeding moeten mogelijk de eiwitinname verhogen van 1,5 g/kg/dag tot 2,0 g/kg/dag.</w:t>
      </w:r>
    </w:p>
    <w:p w14:paraId="54CDCF08" w14:textId="77777777" w:rsidR="0087687F" w:rsidRPr="00D23A56" w:rsidRDefault="0087687F" w:rsidP="0087687F">
      <w:pPr>
        <w:pStyle w:val="HTMLncedenBiimlendirilmi"/>
        <w:shd w:val="clear" w:color="auto" w:fill="FFFFFF"/>
        <w:jc w:val="both"/>
        <w:rPr>
          <w:rFonts w:asciiTheme="minorHAnsi" w:hAnsiTheme="minorHAnsi" w:cs="Times New Roman"/>
          <w:b/>
          <w:sz w:val="22"/>
          <w:szCs w:val="22"/>
        </w:rPr>
      </w:pPr>
    </w:p>
    <w:p w14:paraId="40FA0408" w14:textId="4B381247" w:rsidR="00515FE9" w:rsidRDefault="0087687F" w:rsidP="0087687F">
      <w:pPr>
        <w:pStyle w:val="HTMLncedenBiimlendirilmi"/>
        <w:shd w:val="clear" w:color="auto" w:fill="FFFFFF"/>
        <w:spacing w:line="360" w:lineRule="auto"/>
        <w:jc w:val="both"/>
        <w:rPr>
          <w:rFonts w:asciiTheme="minorHAnsi" w:hAnsiTheme="minorHAnsi" w:cs="Times New Roman"/>
          <w:b/>
          <w:sz w:val="22"/>
          <w:szCs w:val="22"/>
        </w:rPr>
      </w:pPr>
      <w:r w:rsidRPr="00D23A56">
        <w:rPr>
          <w:rFonts w:asciiTheme="minorHAnsi" w:hAnsiTheme="minorHAnsi" w:cs="Times New Roman"/>
          <w:b/>
          <w:sz w:val="22"/>
          <w:szCs w:val="22"/>
        </w:rPr>
        <w:t xml:space="preserve">I2. </w:t>
      </w:r>
      <w:r w:rsidR="00515FE9" w:rsidRPr="00515FE9">
        <w:rPr>
          <w:rFonts w:asciiTheme="minorHAnsi" w:hAnsiTheme="minorHAnsi" w:cs="Times New Roman"/>
          <w:b/>
          <w:sz w:val="22"/>
          <w:szCs w:val="22"/>
        </w:rPr>
        <w:t xml:space="preserve">Het starten van orale voedingssupplementen (ONS) is </w:t>
      </w:r>
      <w:r w:rsidR="00515FE9">
        <w:rPr>
          <w:rFonts w:asciiTheme="minorHAnsi" w:hAnsiTheme="minorHAnsi" w:cs="Times New Roman"/>
          <w:b/>
          <w:sz w:val="22"/>
          <w:szCs w:val="22"/>
        </w:rPr>
        <w:t>geschikt</w:t>
      </w:r>
      <w:r w:rsidR="00515FE9" w:rsidRPr="00515FE9">
        <w:rPr>
          <w:rFonts w:asciiTheme="minorHAnsi" w:hAnsiTheme="minorHAnsi" w:cs="Times New Roman"/>
          <w:b/>
          <w:sz w:val="22"/>
          <w:szCs w:val="22"/>
        </w:rPr>
        <w:t xml:space="preserve"> bij gehospitaliseerde oudere patiënten met MN of MNR (verhoogt de voedselinname en het lichaamsgewicht, vermindert het risico op complicaties en heropnames)</w:t>
      </w:r>
    </w:p>
    <w:p w14:paraId="17FCFB7D" w14:textId="20CEFB9C" w:rsidR="00515FE9" w:rsidRDefault="0087687F" w:rsidP="0087687F">
      <w:pPr>
        <w:pStyle w:val="HTMLncedenBiimlendirilmi"/>
        <w:shd w:val="clear" w:color="auto" w:fill="FFFFFF"/>
        <w:spacing w:line="360" w:lineRule="auto"/>
        <w:jc w:val="both"/>
        <w:rPr>
          <w:rFonts w:asciiTheme="minorHAnsi" w:hAnsiTheme="minorHAnsi" w:cs="Times New Roman"/>
          <w:bCs/>
          <w:i/>
          <w:iCs/>
          <w:sz w:val="22"/>
          <w:szCs w:val="22"/>
        </w:rPr>
      </w:pPr>
      <w:r w:rsidRPr="00D23A56">
        <w:rPr>
          <w:rFonts w:asciiTheme="minorHAnsi" w:hAnsiTheme="minorHAnsi" w:cs="Times New Roman"/>
          <w:bCs/>
          <w:i/>
          <w:iCs/>
          <w:sz w:val="22"/>
          <w:szCs w:val="22"/>
        </w:rPr>
        <w:t>*</w:t>
      </w:r>
      <w:r w:rsidR="00515FE9" w:rsidRPr="00515FE9">
        <w:t xml:space="preserve"> </w:t>
      </w:r>
      <w:r w:rsidR="00515FE9" w:rsidRPr="00515FE9">
        <w:rPr>
          <w:rFonts w:asciiTheme="minorHAnsi" w:hAnsiTheme="minorHAnsi" w:cs="Times New Roman"/>
          <w:bCs/>
          <w:i/>
          <w:iCs/>
          <w:sz w:val="22"/>
          <w:szCs w:val="22"/>
        </w:rPr>
        <w:t>Spontane orale energie-inname is over het algemeen laag bij ouderen met acute ziekenhuisopname e</w:t>
      </w:r>
      <w:r w:rsidR="00CB300B">
        <w:rPr>
          <w:rFonts w:asciiTheme="minorHAnsi" w:hAnsiTheme="minorHAnsi" w:cs="Times New Roman"/>
          <w:bCs/>
          <w:i/>
          <w:iCs/>
          <w:sz w:val="22"/>
          <w:szCs w:val="22"/>
        </w:rPr>
        <w:t>n voldoet niet aan de vereisten.</w:t>
      </w:r>
      <w:bookmarkStart w:id="0" w:name="_GoBack"/>
      <w:bookmarkEnd w:id="0"/>
    </w:p>
    <w:p w14:paraId="64421BA9" w14:textId="75C76A92" w:rsidR="0087687F" w:rsidRPr="00D23A56" w:rsidRDefault="0087687F" w:rsidP="00515FE9">
      <w:pPr>
        <w:pStyle w:val="HTMLncedenBiimlendirilmi"/>
        <w:shd w:val="clear" w:color="auto" w:fill="FFFFFF"/>
        <w:spacing w:line="360" w:lineRule="auto"/>
        <w:jc w:val="both"/>
        <w:rPr>
          <w:rFonts w:asciiTheme="minorHAnsi" w:hAnsiTheme="minorHAnsi" w:cs="Times New Roman"/>
          <w:b/>
          <w:i/>
          <w:sz w:val="22"/>
          <w:szCs w:val="22"/>
        </w:rPr>
      </w:pPr>
      <w:r w:rsidRPr="00D23A56">
        <w:rPr>
          <w:rFonts w:asciiTheme="minorHAnsi" w:hAnsiTheme="minorHAnsi" w:cs="Times New Roman"/>
          <w:bCs/>
          <w:i/>
          <w:sz w:val="22"/>
          <w:szCs w:val="22"/>
        </w:rPr>
        <w:t>*</w:t>
      </w:r>
      <w:r w:rsidR="00515FE9" w:rsidRPr="00515FE9">
        <w:t xml:space="preserve"> </w:t>
      </w:r>
      <w:r w:rsidR="00515FE9" w:rsidRPr="00515FE9">
        <w:rPr>
          <w:rFonts w:asciiTheme="minorHAnsi" w:hAnsiTheme="minorHAnsi" w:cs="Times New Roman"/>
          <w:bCs/>
          <w:i/>
          <w:sz w:val="22"/>
          <w:szCs w:val="22"/>
          <w:shd w:val="clear" w:color="auto" w:fill="FFFFFF"/>
        </w:rPr>
        <w:t xml:space="preserve">In de meeste gevallen kan het </w:t>
      </w:r>
      <w:r w:rsidR="00515FE9">
        <w:rPr>
          <w:rFonts w:asciiTheme="minorHAnsi" w:hAnsiTheme="minorHAnsi" w:cs="Times New Roman"/>
          <w:bCs/>
          <w:i/>
          <w:sz w:val="22"/>
          <w:szCs w:val="22"/>
          <w:shd w:val="clear" w:color="auto" w:fill="FFFFFF"/>
        </w:rPr>
        <w:t>geschikt</w:t>
      </w:r>
      <w:r w:rsidR="00515FE9" w:rsidRPr="00515FE9">
        <w:rPr>
          <w:rFonts w:asciiTheme="minorHAnsi" w:hAnsiTheme="minorHAnsi" w:cs="Times New Roman"/>
          <w:bCs/>
          <w:i/>
          <w:sz w:val="22"/>
          <w:szCs w:val="22"/>
          <w:shd w:val="clear" w:color="auto" w:fill="FFFFFF"/>
        </w:rPr>
        <w:t xml:space="preserve"> zijn om ONS te blijven gebruiken na ontslag uit het ziekenhuis.</w:t>
      </w:r>
    </w:p>
    <w:p w14:paraId="6109F160" w14:textId="77777777" w:rsidR="004613B7" w:rsidRDefault="004613B7" w:rsidP="0087687F">
      <w:pPr>
        <w:spacing w:line="360" w:lineRule="auto"/>
        <w:contextualSpacing/>
        <w:jc w:val="both"/>
        <w:rPr>
          <w:rFonts w:asciiTheme="minorHAnsi" w:hAnsiTheme="minorHAnsi"/>
          <w:b/>
          <w:color w:val="212121"/>
          <w:sz w:val="22"/>
          <w:szCs w:val="22"/>
          <w:shd w:val="clear" w:color="auto" w:fill="FFFFFF"/>
        </w:rPr>
      </w:pPr>
    </w:p>
    <w:p w14:paraId="74108069" w14:textId="4A2953FE" w:rsidR="00515FE9" w:rsidRDefault="0087687F" w:rsidP="0087687F">
      <w:pPr>
        <w:spacing w:line="360" w:lineRule="auto"/>
        <w:contextualSpacing/>
        <w:jc w:val="both"/>
        <w:rPr>
          <w:rFonts w:asciiTheme="minorHAnsi" w:hAnsiTheme="minorHAnsi"/>
          <w:b/>
          <w:color w:val="212121"/>
          <w:sz w:val="22"/>
          <w:szCs w:val="22"/>
          <w:shd w:val="clear" w:color="auto" w:fill="FFFFFF"/>
        </w:rPr>
      </w:pPr>
      <w:r w:rsidRPr="00D23A56">
        <w:rPr>
          <w:rFonts w:asciiTheme="minorHAnsi" w:hAnsiTheme="minorHAnsi"/>
          <w:b/>
          <w:color w:val="212121"/>
          <w:sz w:val="22"/>
          <w:szCs w:val="22"/>
          <w:shd w:val="clear" w:color="auto" w:fill="FFFFFF"/>
        </w:rPr>
        <w:t xml:space="preserve">I3. </w:t>
      </w:r>
      <w:r w:rsidR="00515FE9" w:rsidRPr="00515FE9">
        <w:rPr>
          <w:rFonts w:asciiTheme="minorHAnsi" w:hAnsiTheme="minorHAnsi"/>
          <w:b/>
          <w:color w:val="212121"/>
          <w:sz w:val="22"/>
          <w:szCs w:val="22"/>
          <w:shd w:val="clear" w:color="auto" w:fill="FFFFFF"/>
        </w:rPr>
        <w:t xml:space="preserve">Het is </w:t>
      </w:r>
      <w:r w:rsidR="00515FE9">
        <w:rPr>
          <w:rFonts w:asciiTheme="minorHAnsi" w:hAnsiTheme="minorHAnsi"/>
          <w:b/>
          <w:color w:val="212121"/>
          <w:sz w:val="22"/>
          <w:szCs w:val="22"/>
          <w:shd w:val="clear" w:color="auto" w:fill="FFFFFF"/>
        </w:rPr>
        <w:t>geschikt</w:t>
      </w:r>
      <w:r w:rsidR="00515FE9" w:rsidRPr="00515FE9">
        <w:rPr>
          <w:rFonts w:asciiTheme="minorHAnsi" w:hAnsiTheme="minorHAnsi"/>
          <w:b/>
          <w:color w:val="212121"/>
          <w:sz w:val="22"/>
          <w:szCs w:val="22"/>
          <w:shd w:val="clear" w:color="auto" w:fill="FFFFFF"/>
        </w:rPr>
        <w:t xml:space="preserve"> om postoperatief met ONS te starten (ongeacht de voedingsstatus) bij oudere patiënten met heupfracturen (verbetert de voedselinname en vermindert het risico op complicaties)</w:t>
      </w:r>
    </w:p>
    <w:p w14:paraId="60B23564" w14:textId="77777777" w:rsidR="00515FE9" w:rsidRDefault="0087687F" w:rsidP="0087687F">
      <w:pPr>
        <w:spacing w:line="360" w:lineRule="auto"/>
        <w:contextualSpacing/>
        <w:jc w:val="both"/>
        <w:rPr>
          <w:rFonts w:asciiTheme="minorHAnsi" w:hAnsiTheme="minorHAnsi"/>
          <w:bCs/>
          <w:i/>
          <w:color w:val="212121"/>
          <w:sz w:val="22"/>
          <w:szCs w:val="22"/>
          <w:shd w:val="clear" w:color="auto" w:fill="FFFFFF"/>
        </w:rPr>
      </w:pPr>
      <w:r w:rsidRPr="00D23A56">
        <w:rPr>
          <w:rFonts w:asciiTheme="minorHAnsi" w:hAnsiTheme="minorHAnsi"/>
          <w:bCs/>
          <w:i/>
          <w:color w:val="212121"/>
          <w:sz w:val="22"/>
          <w:szCs w:val="22"/>
          <w:shd w:val="clear" w:color="auto" w:fill="FFFFFF"/>
        </w:rPr>
        <w:t>*</w:t>
      </w:r>
      <w:r w:rsidR="00515FE9" w:rsidRPr="00515FE9">
        <w:t xml:space="preserve"> </w:t>
      </w:r>
      <w:r w:rsidR="00515FE9" w:rsidRPr="00515FE9">
        <w:rPr>
          <w:rFonts w:asciiTheme="minorHAnsi" w:hAnsiTheme="minorHAnsi"/>
          <w:bCs/>
          <w:i/>
          <w:color w:val="212121"/>
          <w:sz w:val="22"/>
          <w:szCs w:val="22"/>
          <w:shd w:val="clear" w:color="auto" w:fill="FFFFFF"/>
        </w:rPr>
        <w:t>Er is geen specifieke ONS-aanbeveling (standaard of eiwitrijk).</w:t>
      </w:r>
    </w:p>
    <w:p w14:paraId="7DF51854" w14:textId="77777777" w:rsidR="00515FE9" w:rsidRDefault="0087687F" w:rsidP="004613B7">
      <w:pPr>
        <w:spacing w:line="360" w:lineRule="auto"/>
        <w:contextualSpacing/>
        <w:jc w:val="both"/>
        <w:rPr>
          <w:rFonts w:asciiTheme="minorHAnsi" w:hAnsiTheme="minorHAnsi"/>
          <w:bCs/>
          <w:i/>
          <w:color w:val="212121"/>
          <w:sz w:val="22"/>
          <w:szCs w:val="22"/>
          <w:shd w:val="clear" w:color="auto" w:fill="FFFFFF"/>
        </w:rPr>
      </w:pPr>
      <w:r w:rsidRPr="00D23A56">
        <w:rPr>
          <w:rFonts w:asciiTheme="minorHAnsi" w:hAnsiTheme="minorHAnsi"/>
          <w:bCs/>
          <w:i/>
          <w:color w:val="212121"/>
          <w:sz w:val="22"/>
          <w:szCs w:val="22"/>
          <w:shd w:val="clear" w:color="auto" w:fill="FFFFFF"/>
        </w:rPr>
        <w:t>*</w:t>
      </w:r>
      <w:r w:rsidR="00515FE9" w:rsidRPr="00515FE9">
        <w:t xml:space="preserve"> </w:t>
      </w:r>
      <w:r w:rsidR="00515FE9" w:rsidRPr="00515FE9">
        <w:rPr>
          <w:rFonts w:asciiTheme="minorHAnsi" w:hAnsiTheme="minorHAnsi"/>
          <w:bCs/>
          <w:i/>
          <w:color w:val="212121"/>
          <w:sz w:val="22"/>
          <w:szCs w:val="22"/>
          <w:shd w:val="clear" w:color="auto" w:fill="FFFFFF"/>
        </w:rPr>
        <w:t>Het kan passend zijn om ONS gedurende ten minste 1 maand te geven. In onderzoeken werd ONS gebruikt tussen 1-6 maanden na een heupfractuur.</w:t>
      </w:r>
    </w:p>
    <w:p w14:paraId="74665482" w14:textId="627BF2BF" w:rsidR="000A315F" w:rsidRDefault="0087687F" w:rsidP="00515FE9">
      <w:pPr>
        <w:spacing w:line="360" w:lineRule="auto"/>
        <w:contextualSpacing/>
        <w:jc w:val="both"/>
        <w:rPr>
          <w:rFonts w:asciiTheme="minorHAnsi" w:hAnsiTheme="minorHAnsi"/>
          <w:bCs/>
          <w:i/>
          <w:color w:val="000000" w:themeColor="text1"/>
          <w:sz w:val="22"/>
          <w:szCs w:val="22"/>
          <w:shd w:val="clear" w:color="auto" w:fill="FFFFFF"/>
        </w:rPr>
      </w:pPr>
      <w:r w:rsidRPr="00D23A56">
        <w:rPr>
          <w:rFonts w:asciiTheme="minorHAnsi" w:hAnsiTheme="minorHAnsi"/>
          <w:bCs/>
          <w:i/>
          <w:color w:val="000000" w:themeColor="text1"/>
          <w:sz w:val="22"/>
          <w:szCs w:val="22"/>
          <w:shd w:val="clear" w:color="auto" w:fill="FFFFFF"/>
        </w:rPr>
        <w:t>*</w:t>
      </w:r>
      <w:r w:rsidR="00515FE9" w:rsidRPr="00515FE9">
        <w:t xml:space="preserve"> </w:t>
      </w:r>
      <w:r w:rsidR="00515FE9" w:rsidRPr="00515FE9">
        <w:rPr>
          <w:rFonts w:asciiTheme="minorHAnsi" w:hAnsiTheme="minorHAnsi"/>
          <w:bCs/>
          <w:i/>
          <w:color w:val="000000" w:themeColor="text1"/>
          <w:sz w:val="22"/>
          <w:szCs w:val="22"/>
          <w:shd w:val="clear" w:color="auto" w:fill="FFFFFF"/>
        </w:rPr>
        <w:t>Preoperatieve initiatie kan ook worden overwogen.</w:t>
      </w:r>
    </w:p>
    <w:p w14:paraId="481C85B1" w14:textId="77777777" w:rsidR="00515FE9" w:rsidRPr="00D23A56" w:rsidRDefault="00515FE9" w:rsidP="00515FE9">
      <w:pPr>
        <w:spacing w:line="360" w:lineRule="auto"/>
        <w:contextualSpacing/>
        <w:jc w:val="both"/>
        <w:rPr>
          <w:rFonts w:asciiTheme="minorHAnsi" w:hAnsiTheme="minorHAnsi"/>
          <w:b/>
          <w:sz w:val="22"/>
          <w:szCs w:val="22"/>
        </w:rPr>
      </w:pPr>
    </w:p>
    <w:p w14:paraId="4E0DEFCA" w14:textId="542FF279" w:rsidR="00515FE9" w:rsidRDefault="0087687F" w:rsidP="00515FE9">
      <w:pPr>
        <w:pStyle w:val="HTMLncedenBiimlendirilmi"/>
        <w:spacing w:line="360" w:lineRule="auto"/>
        <w:rPr>
          <w:rFonts w:asciiTheme="minorHAnsi" w:hAnsiTheme="minorHAnsi" w:cs="Times New Roman"/>
          <w:b/>
          <w:sz w:val="22"/>
          <w:szCs w:val="22"/>
        </w:rPr>
      </w:pPr>
      <w:r w:rsidRPr="00D23A56">
        <w:rPr>
          <w:rFonts w:asciiTheme="minorHAnsi" w:hAnsiTheme="minorHAnsi" w:cs="Times New Roman"/>
          <w:b/>
          <w:sz w:val="22"/>
          <w:szCs w:val="22"/>
        </w:rPr>
        <w:t xml:space="preserve">I4. </w:t>
      </w:r>
      <w:r w:rsidR="00515FE9" w:rsidRPr="00515FE9">
        <w:rPr>
          <w:rFonts w:asciiTheme="minorHAnsi" w:hAnsiTheme="minorHAnsi" w:cs="Times New Roman"/>
          <w:b/>
          <w:sz w:val="22"/>
          <w:szCs w:val="22"/>
        </w:rPr>
        <w:t xml:space="preserve">Om te zorgen voor voldoende eiwit- en energie-inname bij patiënten met decubitus, is het </w:t>
      </w:r>
      <w:r w:rsidR="00515FE9">
        <w:rPr>
          <w:rFonts w:asciiTheme="minorHAnsi" w:hAnsiTheme="minorHAnsi" w:cs="Times New Roman"/>
          <w:b/>
          <w:sz w:val="22"/>
          <w:szCs w:val="22"/>
        </w:rPr>
        <w:t>geschikt</w:t>
      </w:r>
      <w:r w:rsidR="00515FE9" w:rsidRPr="00515FE9">
        <w:rPr>
          <w:rFonts w:asciiTheme="minorHAnsi" w:hAnsiTheme="minorHAnsi" w:cs="Times New Roman"/>
          <w:b/>
          <w:sz w:val="22"/>
          <w:szCs w:val="22"/>
        </w:rPr>
        <w:t xml:space="preserve"> om ONS te starten met 1,2-2 g/kg/dag eiwit en 30-35 kcal/kg/dag energie.</w:t>
      </w:r>
    </w:p>
    <w:p w14:paraId="2BCC6508" w14:textId="77777777" w:rsidR="00515FE9" w:rsidRDefault="0087687F" w:rsidP="00515FE9">
      <w:pPr>
        <w:pStyle w:val="HTMLncedenBiimlendirilmi"/>
        <w:spacing w:line="360" w:lineRule="auto"/>
        <w:rPr>
          <w:rFonts w:asciiTheme="minorHAnsi" w:hAnsiTheme="minorHAnsi"/>
          <w:bCs/>
          <w:i/>
          <w:sz w:val="22"/>
          <w:szCs w:val="22"/>
        </w:rPr>
      </w:pPr>
      <w:r w:rsidRPr="00D23A56">
        <w:rPr>
          <w:rFonts w:asciiTheme="minorHAnsi" w:hAnsiTheme="minorHAnsi"/>
          <w:bCs/>
          <w:sz w:val="22"/>
          <w:szCs w:val="22"/>
        </w:rPr>
        <w:t>*</w:t>
      </w:r>
      <w:r w:rsidR="00515FE9" w:rsidRPr="00515FE9">
        <w:t xml:space="preserve"> </w:t>
      </w:r>
      <w:r w:rsidR="00515FE9" w:rsidRPr="00515FE9">
        <w:rPr>
          <w:rFonts w:asciiTheme="minorHAnsi" w:hAnsiTheme="minorHAnsi"/>
          <w:bCs/>
          <w:i/>
          <w:sz w:val="22"/>
          <w:szCs w:val="22"/>
        </w:rPr>
        <w:t>Bij ondervoede patiënten met decubitus kan het gebruik van ONS met een hoog eiwit- en energiegehalte verrijkt met arginine, zink en antioxidanten gunstiger zijn.</w:t>
      </w:r>
    </w:p>
    <w:p w14:paraId="09BDD023" w14:textId="49329A10" w:rsidR="0087687F" w:rsidRPr="00D23A56" w:rsidRDefault="0087687F" w:rsidP="00515FE9">
      <w:pPr>
        <w:pStyle w:val="HTMLncedenBiimlendirilmi"/>
        <w:spacing w:line="360" w:lineRule="auto"/>
        <w:rPr>
          <w:rFonts w:asciiTheme="minorHAnsi" w:hAnsiTheme="minorHAnsi" w:cs="Times New Roman"/>
          <w:b/>
          <w:i/>
          <w:color w:val="000000"/>
          <w:sz w:val="22"/>
          <w:szCs w:val="22"/>
        </w:rPr>
      </w:pPr>
      <w:r w:rsidRPr="00D23A56">
        <w:rPr>
          <w:rFonts w:asciiTheme="minorHAnsi" w:hAnsiTheme="minorHAnsi" w:cs="Times New Roman"/>
          <w:bCs/>
          <w:i/>
          <w:color w:val="000000"/>
          <w:sz w:val="22"/>
          <w:szCs w:val="22"/>
        </w:rPr>
        <w:t>*</w:t>
      </w:r>
      <w:r w:rsidR="00515FE9" w:rsidRPr="00515FE9">
        <w:t xml:space="preserve"> </w:t>
      </w:r>
      <w:r w:rsidR="00515FE9" w:rsidRPr="00515FE9">
        <w:rPr>
          <w:rFonts w:asciiTheme="minorHAnsi" w:hAnsiTheme="minorHAnsi" w:cs="Times New Roman"/>
          <w:bCs/>
          <w:i/>
          <w:color w:val="000000"/>
          <w:sz w:val="22"/>
          <w:szCs w:val="22"/>
        </w:rPr>
        <w:t>De toevoeging van arginine, glutamine en HMB aan voedingsproducten kan positieve resultaten hebben bij patiënten met decubitus.</w:t>
      </w:r>
    </w:p>
    <w:p w14:paraId="68BF3157" w14:textId="77777777" w:rsidR="00E62E1F" w:rsidRDefault="00E62E1F"/>
    <w:p w14:paraId="0908A9C1" w14:textId="6751DA11" w:rsidR="003212D6" w:rsidRDefault="003212D6" w:rsidP="003212D6">
      <w:pPr>
        <w:contextualSpacing/>
        <w:jc w:val="both"/>
        <w:rPr>
          <w:rFonts w:asciiTheme="minorHAnsi" w:hAnsiTheme="minorHAnsi" w:cstheme="minorHAnsi"/>
          <w:bCs/>
          <w:color w:val="000000"/>
          <w:shd w:val="clear" w:color="auto" w:fill="FFFFFF"/>
        </w:rPr>
      </w:pPr>
      <w:r w:rsidRPr="000C6676">
        <w:rPr>
          <w:rFonts w:asciiTheme="minorHAnsi" w:hAnsiTheme="minorHAnsi" w:cstheme="minorHAnsi"/>
          <w:bCs/>
        </w:rPr>
        <w:t>#</w:t>
      </w:r>
      <w:r w:rsidR="00515FE9" w:rsidRPr="00515FE9">
        <w:t xml:space="preserve"> </w:t>
      </w:r>
      <w:r w:rsidR="00515FE9" w:rsidRPr="00515FE9">
        <w:rPr>
          <w:rFonts w:asciiTheme="minorHAnsi" w:hAnsiTheme="minorHAnsi" w:cstheme="minorHAnsi"/>
          <w:bCs/>
          <w:color w:val="000000"/>
          <w:shd w:val="clear" w:color="auto" w:fill="FFFFFF"/>
        </w:rPr>
        <w:t>Criterium dat geen consensus heeft opgeleverd in de studie van het International Delphi-panel</w:t>
      </w:r>
    </w:p>
    <w:p w14:paraId="0DE3162D" w14:textId="410933CF" w:rsidR="00FE35A1" w:rsidRDefault="00FE35A1" w:rsidP="003212D6">
      <w:pPr>
        <w:contextualSpacing/>
        <w:jc w:val="both"/>
        <w:rPr>
          <w:rFonts w:asciiTheme="minorHAnsi" w:hAnsiTheme="minorHAnsi" w:cstheme="minorHAnsi"/>
          <w:bCs/>
          <w:color w:val="000000"/>
          <w:shd w:val="clear" w:color="auto" w:fill="FFFFFF"/>
        </w:rPr>
      </w:pPr>
    </w:p>
    <w:p w14:paraId="07DFFEBE" w14:textId="27A7CBA7" w:rsidR="00FE35A1" w:rsidRDefault="00FE35A1" w:rsidP="003212D6">
      <w:pPr>
        <w:contextualSpacing/>
        <w:jc w:val="both"/>
        <w:rPr>
          <w:rFonts w:asciiTheme="minorHAnsi" w:hAnsiTheme="minorHAnsi" w:cstheme="minorHAnsi"/>
          <w:bCs/>
          <w:color w:val="000000"/>
          <w:shd w:val="clear" w:color="auto" w:fill="FFFFFF"/>
        </w:rPr>
      </w:pPr>
    </w:p>
    <w:p w14:paraId="793A15BF" w14:textId="6594682D" w:rsidR="00FE35A1" w:rsidRPr="00FE35A1" w:rsidRDefault="001C69B3" w:rsidP="00FE35A1">
      <w:pPr>
        <w:contextualSpacing/>
        <w:jc w:val="both"/>
        <w:rPr>
          <w:rFonts w:asciiTheme="minorHAnsi" w:hAnsiTheme="minorHAnsi" w:cstheme="minorHAnsi"/>
          <w:bCs/>
          <w:i/>
        </w:rPr>
      </w:pPr>
      <w:r>
        <w:rPr>
          <w:rFonts w:asciiTheme="minorHAnsi" w:hAnsiTheme="minorHAnsi" w:cstheme="minorHAnsi"/>
          <w:b/>
          <w:bCs/>
          <w:i/>
        </w:rPr>
        <w:t>A</w:t>
      </w:r>
      <w:r w:rsidR="00FE35A1" w:rsidRPr="00FE35A1">
        <w:rPr>
          <w:rFonts w:asciiTheme="minorHAnsi" w:hAnsiTheme="minorHAnsi" w:cstheme="minorHAnsi"/>
          <w:b/>
          <w:bCs/>
          <w:i/>
        </w:rPr>
        <w:t>fkortingen</w:t>
      </w:r>
      <w:r w:rsidR="00FE35A1" w:rsidRPr="00FE35A1">
        <w:rPr>
          <w:rFonts w:asciiTheme="minorHAnsi" w:hAnsiTheme="minorHAnsi" w:cstheme="minorHAnsi"/>
          <w:bCs/>
          <w:i/>
        </w:rPr>
        <w:t>:</w:t>
      </w:r>
    </w:p>
    <w:p w14:paraId="44613619"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ACEI: Angiotensine-converterende enzymremmers</w:t>
      </w:r>
    </w:p>
    <w:p w14:paraId="606544B5"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ARB: Angiotensine-receptorblokkers</w:t>
      </w:r>
    </w:p>
    <w:p w14:paraId="2809B59D"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BTM: markers voor botomzet</w:t>
      </w:r>
    </w:p>
    <w:p w14:paraId="1789040E"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ChEI: Acetylcholinesteraseremmers</w:t>
      </w:r>
    </w:p>
    <w:p w14:paraId="7E6D5384"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COMT: Catechol-O-methyltransferase</w:t>
      </w:r>
    </w:p>
    <w:p w14:paraId="4329E544"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EF: Ejectiefractie</w:t>
      </w:r>
    </w:p>
    <w:p w14:paraId="394D345A"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eGFR: geschatte glomerulaire filtratiesnelheid</w:t>
      </w:r>
    </w:p>
    <w:p w14:paraId="61DE2195"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FDA: Food and Drug Administration</w:t>
      </w:r>
    </w:p>
    <w:p w14:paraId="21BB3682"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FEV1: geforceerd expiratoir volume</w:t>
      </w:r>
    </w:p>
    <w:p w14:paraId="2626E9DA"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GIS: Gastro-intestinaal systeem</w:t>
      </w:r>
    </w:p>
    <w:p w14:paraId="3DE614C1"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IPSS: internationale prostaatsymptoomscore</w:t>
      </w:r>
    </w:p>
    <w:p w14:paraId="3EB711AC"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COPD: chronische obstructieve longziekte</w:t>
      </w:r>
    </w:p>
    <w:p w14:paraId="102DB9FF"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BMD: Botmineraaldichtheid</w:t>
      </w:r>
    </w:p>
    <w:p w14:paraId="45451C31"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LUTS: symptomen van lagere urinewegen</w:t>
      </w:r>
    </w:p>
    <w:p w14:paraId="07575241"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MAO-B: Monoamine-oxidase-B</w:t>
      </w:r>
    </w:p>
    <w:p w14:paraId="3BFB41E8"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MI: Myocardinfarct</w:t>
      </w:r>
    </w:p>
    <w:p w14:paraId="311C4743"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MN: Ondervoeding</w:t>
      </w:r>
    </w:p>
    <w:p w14:paraId="24E690FC"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MNR: Risico op ondervoeding</w:t>
      </w:r>
    </w:p>
    <w:p w14:paraId="3C54DD80"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NSAID: niet-steroïde anti-inflammatoire geneesmiddelen</w:t>
      </w:r>
    </w:p>
    <w:p w14:paraId="1EC25C0E"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OAC: orale anticoagulantia</w:t>
      </w:r>
    </w:p>
    <w:p w14:paraId="215255C9"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ONS: Oraal voedingssupplement</w:t>
      </w:r>
    </w:p>
    <w:p w14:paraId="6EB1CB8B"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RZV: Recombinant zostervaccin</w:t>
      </w:r>
    </w:p>
    <w:p w14:paraId="35DA974C"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SaO2: Zuurstofverzadiging</w:t>
      </w:r>
    </w:p>
    <w:p w14:paraId="1DEB0592"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SNRI's: serotonine-noradrenalineheropnameremmers</w:t>
      </w:r>
    </w:p>
    <w:p w14:paraId="5C41660A"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SSRI's: selectieve serotonineheropnameremmers</w:t>
      </w:r>
    </w:p>
    <w:p w14:paraId="53F469B8" w14:textId="77777777" w:rsidR="00FE35A1" w:rsidRPr="00FE35A1" w:rsidRDefault="00FE35A1" w:rsidP="00FE35A1">
      <w:pPr>
        <w:contextualSpacing/>
        <w:jc w:val="both"/>
        <w:rPr>
          <w:rFonts w:asciiTheme="minorHAnsi" w:hAnsiTheme="minorHAnsi" w:cstheme="minorHAnsi"/>
          <w:bCs/>
          <w:i/>
        </w:rPr>
      </w:pPr>
      <w:r w:rsidRPr="00FE35A1">
        <w:rPr>
          <w:rFonts w:asciiTheme="minorHAnsi" w:hAnsiTheme="minorHAnsi" w:cstheme="minorHAnsi"/>
          <w:bCs/>
          <w:i/>
        </w:rPr>
        <w:t>TdaP: tetanus, difterie en acellulaire pertussis</w:t>
      </w:r>
    </w:p>
    <w:p w14:paraId="77D8E750" w14:textId="5ACE8D22" w:rsidR="00580A4F" w:rsidRDefault="00FE35A1" w:rsidP="00CB300B">
      <w:pPr>
        <w:contextualSpacing/>
        <w:jc w:val="both"/>
      </w:pPr>
      <w:r w:rsidRPr="00FE35A1">
        <w:rPr>
          <w:rFonts w:asciiTheme="minorHAnsi" w:hAnsiTheme="minorHAnsi" w:cstheme="minorHAnsi"/>
          <w:bCs/>
          <w:i/>
        </w:rPr>
        <w:t>ZVL: levend zostervaccin</w:t>
      </w:r>
    </w:p>
    <w:sectPr w:rsidR="00580A4F" w:rsidSect="00686DA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73F1" w14:textId="77777777" w:rsidR="002F0F50" w:rsidRDefault="002F0F50" w:rsidP="00504EA8">
      <w:r>
        <w:separator/>
      </w:r>
    </w:p>
  </w:endnote>
  <w:endnote w:type="continuationSeparator" w:id="0">
    <w:p w14:paraId="76BB029C" w14:textId="77777777" w:rsidR="002F0F50" w:rsidRDefault="002F0F50" w:rsidP="0050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Neue">
    <w:altName w:val="Helvetica Neue"/>
    <w:charset w:val="00"/>
    <w:family w:val="auto"/>
    <w:pitch w:val="variable"/>
    <w:sig w:usb0="E50002FF" w:usb1="500079DB" w:usb2="0000001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3649" w14:textId="77777777" w:rsidR="002F0F50" w:rsidRDefault="002F0F50" w:rsidP="00504EA8">
      <w:r>
        <w:separator/>
      </w:r>
    </w:p>
  </w:footnote>
  <w:footnote w:type="continuationSeparator" w:id="0">
    <w:p w14:paraId="03D21870" w14:textId="77777777" w:rsidR="002F0F50" w:rsidRDefault="002F0F50" w:rsidP="00504E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976"/>
    <w:multiLevelType w:val="multilevel"/>
    <w:tmpl w:val="002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B64D1"/>
    <w:multiLevelType w:val="hybridMultilevel"/>
    <w:tmpl w:val="CD9A3100"/>
    <w:lvl w:ilvl="0" w:tplc="C5BA26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57070F"/>
    <w:multiLevelType w:val="hybridMultilevel"/>
    <w:tmpl w:val="EC4473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956F4"/>
    <w:multiLevelType w:val="hybridMultilevel"/>
    <w:tmpl w:val="E4D8DB2A"/>
    <w:lvl w:ilvl="0" w:tplc="36FE1B8A">
      <w:start w:val="8"/>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2006E8"/>
    <w:multiLevelType w:val="multilevel"/>
    <w:tmpl w:val="332A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24521"/>
    <w:multiLevelType w:val="multilevel"/>
    <w:tmpl w:val="67E0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A1603"/>
    <w:multiLevelType w:val="multilevel"/>
    <w:tmpl w:val="2F2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41A2D"/>
    <w:multiLevelType w:val="hybridMultilevel"/>
    <w:tmpl w:val="ED102BF2"/>
    <w:lvl w:ilvl="0" w:tplc="16A4F3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EB33A2"/>
    <w:multiLevelType w:val="multilevel"/>
    <w:tmpl w:val="20E0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F30FB"/>
    <w:multiLevelType w:val="hybridMultilevel"/>
    <w:tmpl w:val="73306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410C3D"/>
    <w:multiLevelType w:val="multilevel"/>
    <w:tmpl w:val="6C32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85B02"/>
    <w:multiLevelType w:val="multilevel"/>
    <w:tmpl w:val="4354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C1E43"/>
    <w:multiLevelType w:val="multilevel"/>
    <w:tmpl w:val="4E68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00095"/>
    <w:multiLevelType w:val="multilevel"/>
    <w:tmpl w:val="E792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E6178"/>
    <w:multiLevelType w:val="multilevel"/>
    <w:tmpl w:val="E7F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734F2"/>
    <w:multiLevelType w:val="hybridMultilevel"/>
    <w:tmpl w:val="7D688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36123C"/>
    <w:multiLevelType w:val="multilevel"/>
    <w:tmpl w:val="8346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91A2A"/>
    <w:multiLevelType w:val="multilevel"/>
    <w:tmpl w:val="F24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041E0B"/>
    <w:multiLevelType w:val="multilevel"/>
    <w:tmpl w:val="991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E40DB"/>
    <w:multiLevelType w:val="multilevel"/>
    <w:tmpl w:val="99CC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8752C"/>
    <w:multiLevelType w:val="multilevel"/>
    <w:tmpl w:val="D310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872E55"/>
    <w:multiLevelType w:val="multilevel"/>
    <w:tmpl w:val="6B7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30F27"/>
    <w:multiLevelType w:val="hybridMultilevel"/>
    <w:tmpl w:val="F7E6D4B6"/>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6E54DA"/>
    <w:multiLevelType w:val="multilevel"/>
    <w:tmpl w:val="EB7A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131156"/>
    <w:multiLevelType w:val="multilevel"/>
    <w:tmpl w:val="A1A2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E1825"/>
    <w:multiLevelType w:val="multilevel"/>
    <w:tmpl w:val="0432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C465DE"/>
    <w:multiLevelType w:val="hybridMultilevel"/>
    <w:tmpl w:val="382413DE"/>
    <w:lvl w:ilvl="0" w:tplc="000AFE02">
      <w:start w:val="2011"/>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173396"/>
    <w:multiLevelType w:val="hybridMultilevel"/>
    <w:tmpl w:val="A2F656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FFE0002"/>
    <w:multiLevelType w:val="hybridMultilevel"/>
    <w:tmpl w:val="2A2E86BE"/>
    <w:lvl w:ilvl="0" w:tplc="D1F07BDC">
      <w:start w:val="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2F1B2C"/>
    <w:multiLevelType w:val="multilevel"/>
    <w:tmpl w:val="5DF4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84945"/>
    <w:multiLevelType w:val="hybridMultilevel"/>
    <w:tmpl w:val="E5AC8848"/>
    <w:lvl w:ilvl="0" w:tplc="FEA21AC2">
      <w:start w:val="30"/>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5049EF"/>
    <w:multiLevelType w:val="multilevel"/>
    <w:tmpl w:val="16CE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D37E79"/>
    <w:multiLevelType w:val="hybridMultilevel"/>
    <w:tmpl w:val="C714D806"/>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5622A8"/>
    <w:multiLevelType w:val="hybridMultilevel"/>
    <w:tmpl w:val="BFDE5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CC20DA"/>
    <w:multiLevelType w:val="hybridMultilevel"/>
    <w:tmpl w:val="12EC5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C43D0B"/>
    <w:multiLevelType w:val="hybridMultilevel"/>
    <w:tmpl w:val="936AF2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CF2E18"/>
    <w:multiLevelType w:val="multilevel"/>
    <w:tmpl w:val="1EBE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A22571"/>
    <w:multiLevelType w:val="multilevel"/>
    <w:tmpl w:val="54BC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0870A7"/>
    <w:multiLevelType w:val="hybridMultilevel"/>
    <w:tmpl w:val="2A7E90CE"/>
    <w:lvl w:ilvl="0" w:tplc="CC382E9C">
      <w:start w:val="1"/>
      <w:numFmt w:val="bullet"/>
      <w:lvlText w:val="•"/>
      <w:lvlJc w:val="left"/>
      <w:pPr>
        <w:tabs>
          <w:tab w:val="num" w:pos="720"/>
        </w:tabs>
        <w:ind w:left="720" w:hanging="360"/>
      </w:pPr>
      <w:rPr>
        <w:rFonts w:ascii="Arial" w:hAnsi="Arial" w:hint="default"/>
      </w:rPr>
    </w:lvl>
    <w:lvl w:ilvl="1" w:tplc="7CD8C6BC" w:tentative="1">
      <w:start w:val="1"/>
      <w:numFmt w:val="bullet"/>
      <w:lvlText w:val="•"/>
      <w:lvlJc w:val="left"/>
      <w:pPr>
        <w:tabs>
          <w:tab w:val="num" w:pos="1440"/>
        </w:tabs>
        <w:ind w:left="1440" w:hanging="360"/>
      </w:pPr>
      <w:rPr>
        <w:rFonts w:ascii="Arial" w:hAnsi="Arial" w:hint="default"/>
      </w:rPr>
    </w:lvl>
    <w:lvl w:ilvl="2" w:tplc="9014CDB8" w:tentative="1">
      <w:start w:val="1"/>
      <w:numFmt w:val="bullet"/>
      <w:lvlText w:val="•"/>
      <w:lvlJc w:val="left"/>
      <w:pPr>
        <w:tabs>
          <w:tab w:val="num" w:pos="2160"/>
        </w:tabs>
        <w:ind w:left="2160" w:hanging="360"/>
      </w:pPr>
      <w:rPr>
        <w:rFonts w:ascii="Arial" w:hAnsi="Arial" w:hint="default"/>
      </w:rPr>
    </w:lvl>
    <w:lvl w:ilvl="3" w:tplc="A38EFF6E" w:tentative="1">
      <w:start w:val="1"/>
      <w:numFmt w:val="bullet"/>
      <w:lvlText w:val="•"/>
      <w:lvlJc w:val="left"/>
      <w:pPr>
        <w:tabs>
          <w:tab w:val="num" w:pos="2880"/>
        </w:tabs>
        <w:ind w:left="2880" w:hanging="360"/>
      </w:pPr>
      <w:rPr>
        <w:rFonts w:ascii="Arial" w:hAnsi="Arial" w:hint="default"/>
      </w:rPr>
    </w:lvl>
    <w:lvl w:ilvl="4" w:tplc="EC423EC0" w:tentative="1">
      <w:start w:val="1"/>
      <w:numFmt w:val="bullet"/>
      <w:lvlText w:val="•"/>
      <w:lvlJc w:val="left"/>
      <w:pPr>
        <w:tabs>
          <w:tab w:val="num" w:pos="3600"/>
        </w:tabs>
        <w:ind w:left="3600" w:hanging="360"/>
      </w:pPr>
      <w:rPr>
        <w:rFonts w:ascii="Arial" w:hAnsi="Arial" w:hint="default"/>
      </w:rPr>
    </w:lvl>
    <w:lvl w:ilvl="5" w:tplc="A40C065C" w:tentative="1">
      <w:start w:val="1"/>
      <w:numFmt w:val="bullet"/>
      <w:lvlText w:val="•"/>
      <w:lvlJc w:val="left"/>
      <w:pPr>
        <w:tabs>
          <w:tab w:val="num" w:pos="4320"/>
        </w:tabs>
        <w:ind w:left="4320" w:hanging="360"/>
      </w:pPr>
      <w:rPr>
        <w:rFonts w:ascii="Arial" w:hAnsi="Arial" w:hint="default"/>
      </w:rPr>
    </w:lvl>
    <w:lvl w:ilvl="6" w:tplc="4D4A99C6" w:tentative="1">
      <w:start w:val="1"/>
      <w:numFmt w:val="bullet"/>
      <w:lvlText w:val="•"/>
      <w:lvlJc w:val="left"/>
      <w:pPr>
        <w:tabs>
          <w:tab w:val="num" w:pos="5040"/>
        </w:tabs>
        <w:ind w:left="5040" w:hanging="360"/>
      </w:pPr>
      <w:rPr>
        <w:rFonts w:ascii="Arial" w:hAnsi="Arial" w:hint="default"/>
      </w:rPr>
    </w:lvl>
    <w:lvl w:ilvl="7" w:tplc="F050B3AE" w:tentative="1">
      <w:start w:val="1"/>
      <w:numFmt w:val="bullet"/>
      <w:lvlText w:val="•"/>
      <w:lvlJc w:val="left"/>
      <w:pPr>
        <w:tabs>
          <w:tab w:val="num" w:pos="5760"/>
        </w:tabs>
        <w:ind w:left="5760" w:hanging="360"/>
      </w:pPr>
      <w:rPr>
        <w:rFonts w:ascii="Arial" w:hAnsi="Arial" w:hint="default"/>
      </w:rPr>
    </w:lvl>
    <w:lvl w:ilvl="8" w:tplc="C928892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8B32D6"/>
    <w:multiLevelType w:val="multilevel"/>
    <w:tmpl w:val="D888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183197"/>
    <w:multiLevelType w:val="hybridMultilevel"/>
    <w:tmpl w:val="7B26086E"/>
    <w:lvl w:ilvl="0" w:tplc="A0E85586">
      <w:start w:val="1"/>
      <w:numFmt w:val="bullet"/>
      <w:lvlText w:val="•"/>
      <w:lvlJc w:val="left"/>
      <w:pPr>
        <w:tabs>
          <w:tab w:val="num" w:pos="720"/>
        </w:tabs>
        <w:ind w:left="720" w:hanging="360"/>
      </w:pPr>
      <w:rPr>
        <w:rFonts w:ascii="Arial" w:hAnsi="Arial" w:hint="default"/>
      </w:rPr>
    </w:lvl>
    <w:lvl w:ilvl="1" w:tplc="605E841C" w:tentative="1">
      <w:start w:val="1"/>
      <w:numFmt w:val="bullet"/>
      <w:lvlText w:val="•"/>
      <w:lvlJc w:val="left"/>
      <w:pPr>
        <w:tabs>
          <w:tab w:val="num" w:pos="1440"/>
        </w:tabs>
        <w:ind w:left="1440" w:hanging="360"/>
      </w:pPr>
      <w:rPr>
        <w:rFonts w:ascii="Arial" w:hAnsi="Arial" w:hint="default"/>
      </w:rPr>
    </w:lvl>
    <w:lvl w:ilvl="2" w:tplc="AFA6182E" w:tentative="1">
      <w:start w:val="1"/>
      <w:numFmt w:val="bullet"/>
      <w:lvlText w:val="•"/>
      <w:lvlJc w:val="left"/>
      <w:pPr>
        <w:tabs>
          <w:tab w:val="num" w:pos="2160"/>
        </w:tabs>
        <w:ind w:left="2160" w:hanging="360"/>
      </w:pPr>
      <w:rPr>
        <w:rFonts w:ascii="Arial" w:hAnsi="Arial" w:hint="default"/>
      </w:rPr>
    </w:lvl>
    <w:lvl w:ilvl="3" w:tplc="E026B53C" w:tentative="1">
      <w:start w:val="1"/>
      <w:numFmt w:val="bullet"/>
      <w:lvlText w:val="•"/>
      <w:lvlJc w:val="left"/>
      <w:pPr>
        <w:tabs>
          <w:tab w:val="num" w:pos="2880"/>
        </w:tabs>
        <w:ind w:left="2880" w:hanging="360"/>
      </w:pPr>
      <w:rPr>
        <w:rFonts w:ascii="Arial" w:hAnsi="Arial" w:hint="default"/>
      </w:rPr>
    </w:lvl>
    <w:lvl w:ilvl="4" w:tplc="684E099E" w:tentative="1">
      <w:start w:val="1"/>
      <w:numFmt w:val="bullet"/>
      <w:lvlText w:val="•"/>
      <w:lvlJc w:val="left"/>
      <w:pPr>
        <w:tabs>
          <w:tab w:val="num" w:pos="3600"/>
        </w:tabs>
        <w:ind w:left="3600" w:hanging="360"/>
      </w:pPr>
      <w:rPr>
        <w:rFonts w:ascii="Arial" w:hAnsi="Arial" w:hint="default"/>
      </w:rPr>
    </w:lvl>
    <w:lvl w:ilvl="5" w:tplc="47DE7AC0" w:tentative="1">
      <w:start w:val="1"/>
      <w:numFmt w:val="bullet"/>
      <w:lvlText w:val="•"/>
      <w:lvlJc w:val="left"/>
      <w:pPr>
        <w:tabs>
          <w:tab w:val="num" w:pos="4320"/>
        </w:tabs>
        <w:ind w:left="4320" w:hanging="360"/>
      </w:pPr>
      <w:rPr>
        <w:rFonts w:ascii="Arial" w:hAnsi="Arial" w:hint="default"/>
      </w:rPr>
    </w:lvl>
    <w:lvl w:ilvl="6" w:tplc="77FED8A4" w:tentative="1">
      <w:start w:val="1"/>
      <w:numFmt w:val="bullet"/>
      <w:lvlText w:val="•"/>
      <w:lvlJc w:val="left"/>
      <w:pPr>
        <w:tabs>
          <w:tab w:val="num" w:pos="5040"/>
        </w:tabs>
        <w:ind w:left="5040" w:hanging="360"/>
      </w:pPr>
      <w:rPr>
        <w:rFonts w:ascii="Arial" w:hAnsi="Arial" w:hint="default"/>
      </w:rPr>
    </w:lvl>
    <w:lvl w:ilvl="7" w:tplc="AB9E6166" w:tentative="1">
      <w:start w:val="1"/>
      <w:numFmt w:val="bullet"/>
      <w:lvlText w:val="•"/>
      <w:lvlJc w:val="left"/>
      <w:pPr>
        <w:tabs>
          <w:tab w:val="num" w:pos="5760"/>
        </w:tabs>
        <w:ind w:left="5760" w:hanging="360"/>
      </w:pPr>
      <w:rPr>
        <w:rFonts w:ascii="Arial" w:hAnsi="Arial" w:hint="default"/>
      </w:rPr>
    </w:lvl>
    <w:lvl w:ilvl="8" w:tplc="E11EC7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327197"/>
    <w:multiLevelType w:val="hybridMultilevel"/>
    <w:tmpl w:val="6DCA464A"/>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E5C0981"/>
    <w:multiLevelType w:val="multilevel"/>
    <w:tmpl w:val="9DD2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505D43"/>
    <w:multiLevelType w:val="hybridMultilevel"/>
    <w:tmpl w:val="319A5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196686"/>
    <w:multiLevelType w:val="multilevel"/>
    <w:tmpl w:val="DFC4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B0A6A"/>
    <w:multiLevelType w:val="hybridMultilevel"/>
    <w:tmpl w:val="5508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AE49F0"/>
    <w:multiLevelType w:val="multilevel"/>
    <w:tmpl w:val="68F6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1B52C4"/>
    <w:multiLevelType w:val="multilevel"/>
    <w:tmpl w:val="F9B4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184"/>
    <w:multiLevelType w:val="multilevel"/>
    <w:tmpl w:val="A7E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703D7A"/>
    <w:multiLevelType w:val="multilevel"/>
    <w:tmpl w:val="6C3A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8"/>
  </w:num>
  <w:num w:numId="3">
    <w:abstractNumId w:val="33"/>
  </w:num>
  <w:num w:numId="4">
    <w:abstractNumId w:val="1"/>
  </w:num>
  <w:num w:numId="5">
    <w:abstractNumId w:val="2"/>
  </w:num>
  <w:num w:numId="6">
    <w:abstractNumId w:val="22"/>
  </w:num>
  <w:num w:numId="7">
    <w:abstractNumId w:val="30"/>
  </w:num>
  <w:num w:numId="8">
    <w:abstractNumId w:val="11"/>
  </w:num>
  <w:num w:numId="9">
    <w:abstractNumId w:val="12"/>
  </w:num>
  <w:num w:numId="10">
    <w:abstractNumId w:val="26"/>
  </w:num>
  <w:num w:numId="11">
    <w:abstractNumId w:val="13"/>
  </w:num>
  <w:num w:numId="12">
    <w:abstractNumId w:val="28"/>
  </w:num>
  <w:num w:numId="13">
    <w:abstractNumId w:val="46"/>
  </w:num>
  <w:num w:numId="14">
    <w:abstractNumId w:val="31"/>
  </w:num>
  <w:num w:numId="15">
    <w:abstractNumId w:val="36"/>
  </w:num>
  <w:num w:numId="16">
    <w:abstractNumId w:val="37"/>
  </w:num>
  <w:num w:numId="17">
    <w:abstractNumId w:val="19"/>
  </w:num>
  <w:num w:numId="18">
    <w:abstractNumId w:val="21"/>
  </w:num>
  <w:num w:numId="19">
    <w:abstractNumId w:val="17"/>
  </w:num>
  <w:num w:numId="20">
    <w:abstractNumId w:val="29"/>
  </w:num>
  <w:num w:numId="21">
    <w:abstractNumId w:val="10"/>
  </w:num>
  <w:num w:numId="22">
    <w:abstractNumId w:val="5"/>
  </w:num>
  <w:num w:numId="23">
    <w:abstractNumId w:val="49"/>
  </w:num>
  <w:num w:numId="24">
    <w:abstractNumId w:val="14"/>
  </w:num>
  <w:num w:numId="25">
    <w:abstractNumId w:val="47"/>
  </w:num>
  <w:num w:numId="26">
    <w:abstractNumId w:val="23"/>
  </w:num>
  <w:num w:numId="27">
    <w:abstractNumId w:val="42"/>
  </w:num>
  <w:num w:numId="28">
    <w:abstractNumId w:val="8"/>
  </w:num>
  <w:num w:numId="29">
    <w:abstractNumId w:val="39"/>
  </w:num>
  <w:num w:numId="30">
    <w:abstractNumId w:val="24"/>
  </w:num>
  <w:num w:numId="31">
    <w:abstractNumId w:val="0"/>
  </w:num>
  <w:num w:numId="32">
    <w:abstractNumId w:val="3"/>
  </w:num>
  <w:num w:numId="33">
    <w:abstractNumId w:val="18"/>
  </w:num>
  <w:num w:numId="34">
    <w:abstractNumId w:val="4"/>
  </w:num>
  <w:num w:numId="35">
    <w:abstractNumId w:val="25"/>
  </w:num>
  <w:num w:numId="36">
    <w:abstractNumId w:val="44"/>
  </w:num>
  <w:num w:numId="37">
    <w:abstractNumId w:val="16"/>
  </w:num>
  <w:num w:numId="38">
    <w:abstractNumId w:val="20"/>
  </w:num>
  <w:num w:numId="39">
    <w:abstractNumId w:val="15"/>
  </w:num>
  <w:num w:numId="40">
    <w:abstractNumId w:val="45"/>
  </w:num>
  <w:num w:numId="41">
    <w:abstractNumId w:val="34"/>
  </w:num>
  <w:num w:numId="42">
    <w:abstractNumId w:val="43"/>
  </w:num>
  <w:num w:numId="43">
    <w:abstractNumId w:val="7"/>
  </w:num>
  <w:num w:numId="44">
    <w:abstractNumId w:val="41"/>
  </w:num>
  <w:num w:numId="45">
    <w:abstractNumId w:val="32"/>
  </w:num>
  <w:num w:numId="46">
    <w:abstractNumId w:val="35"/>
  </w:num>
  <w:num w:numId="47">
    <w:abstractNumId w:val="40"/>
  </w:num>
  <w:num w:numId="48">
    <w:abstractNumId w:val="27"/>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7F"/>
    <w:rsid w:val="00083447"/>
    <w:rsid w:val="000A315F"/>
    <w:rsid w:val="001A5946"/>
    <w:rsid w:val="001C69B3"/>
    <w:rsid w:val="0021098E"/>
    <w:rsid w:val="00212EF3"/>
    <w:rsid w:val="00220470"/>
    <w:rsid w:val="00271D01"/>
    <w:rsid w:val="002D1D53"/>
    <w:rsid w:val="002F0F50"/>
    <w:rsid w:val="003212D6"/>
    <w:rsid w:val="0036677B"/>
    <w:rsid w:val="00381C12"/>
    <w:rsid w:val="003C46C7"/>
    <w:rsid w:val="003E5EA3"/>
    <w:rsid w:val="004613B7"/>
    <w:rsid w:val="00504EA8"/>
    <w:rsid w:val="005130B0"/>
    <w:rsid w:val="00515FE9"/>
    <w:rsid w:val="00580A4F"/>
    <w:rsid w:val="0059022D"/>
    <w:rsid w:val="005A576C"/>
    <w:rsid w:val="006318EC"/>
    <w:rsid w:val="0063366A"/>
    <w:rsid w:val="00686DAC"/>
    <w:rsid w:val="006946BB"/>
    <w:rsid w:val="006A4946"/>
    <w:rsid w:val="007109B3"/>
    <w:rsid w:val="00787C15"/>
    <w:rsid w:val="00851AFB"/>
    <w:rsid w:val="008765EF"/>
    <w:rsid w:val="0087687F"/>
    <w:rsid w:val="008874FC"/>
    <w:rsid w:val="008A4F48"/>
    <w:rsid w:val="0092157C"/>
    <w:rsid w:val="0096528C"/>
    <w:rsid w:val="00967E82"/>
    <w:rsid w:val="009B6E20"/>
    <w:rsid w:val="009D3E08"/>
    <w:rsid w:val="009E5E56"/>
    <w:rsid w:val="00A64DD3"/>
    <w:rsid w:val="00A67324"/>
    <w:rsid w:val="00AE7765"/>
    <w:rsid w:val="00AF4C98"/>
    <w:rsid w:val="00AF66B5"/>
    <w:rsid w:val="00B35A74"/>
    <w:rsid w:val="00B4173A"/>
    <w:rsid w:val="00B43F39"/>
    <w:rsid w:val="00C414DB"/>
    <w:rsid w:val="00CB300B"/>
    <w:rsid w:val="00CB650A"/>
    <w:rsid w:val="00CE4A25"/>
    <w:rsid w:val="00CF34E0"/>
    <w:rsid w:val="00D175F8"/>
    <w:rsid w:val="00D23A56"/>
    <w:rsid w:val="00D43402"/>
    <w:rsid w:val="00D75F55"/>
    <w:rsid w:val="00DC669A"/>
    <w:rsid w:val="00DF6CCD"/>
    <w:rsid w:val="00E62E1F"/>
    <w:rsid w:val="00E6620A"/>
    <w:rsid w:val="00E72F78"/>
    <w:rsid w:val="00E85B98"/>
    <w:rsid w:val="00E9431A"/>
    <w:rsid w:val="00F33FC1"/>
    <w:rsid w:val="00FB6D1C"/>
    <w:rsid w:val="00FE35A1"/>
    <w:rsid w:val="00FE6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7A2C"/>
  <w15:chartTrackingRefBased/>
  <w15:docId w15:val="{41F8D6EC-50C9-4F4C-B13F-73118770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7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87687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87687F"/>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87687F"/>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Balk4">
    <w:name w:val="heading 4"/>
    <w:basedOn w:val="Normal"/>
    <w:next w:val="Normal"/>
    <w:link w:val="Balk4Char"/>
    <w:uiPriority w:val="9"/>
    <w:unhideWhenUsed/>
    <w:qFormat/>
    <w:rsid w:val="0087687F"/>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687F"/>
    <w:rPr>
      <w:rFonts w:asciiTheme="majorHAnsi" w:eastAsiaTheme="majorEastAsia" w:hAnsiTheme="majorHAnsi" w:cstheme="majorBidi"/>
      <w:b/>
      <w:bCs/>
      <w:color w:val="2F5496" w:themeColor="accent1" w:themeShade="BF"/>
      <w:sz w:val="28"/>
      <w:szCs w:val="28"/>
      <w:lang w:eastAsia="tr-TR"/>
    </w:rPr>
  </w:style>
  <w:style w:type="character" w:customStyle="1" w:styleId="Balk2Char">
    <w:name w:val="Başlık 2 Char"/>
    <w:basedOn w:val="VarsaylanParagrafYazTipi"/>
    <w:link w:val="Balk2"/>
    <w:uiPriority w:val="9"/>
    <w:rsid w:val="0087687F"/>
    <w:rPr>
      <w:rFonts w:asciiTheme="majorHAnsi" w:eastAsiaTheme="majorEastAsia" w:hAnsiTheme="majorHAnsi" w:cstheme="majorBidi"/>
      <w:b/>
      <w:bCs/>
      <w:color w:val="4472C4" w:themeColor="accent1"/>
      <w:sz w:val="26"/>
      <w:szCs w:val="26"/>
      <w:lang w:eastAsia="tr-TR"/>
    </w:rPr>
  </w:style>
  <w:style w:type="character" w:customStyle="1" w:styleId="Balk3Char">
    <w:name w:val="Başlık 3 Char"/>
    <w:basedOn w:val="VarsaylanParagrafYazTipi"/>
    <w:link w:val="Balk3"/>
    <w:uiPriority w:val="9"/>
    <w:rsid w:val="0087687F"/>
    <w:rPr>
      <w:rFonts w:asciiTheme="majorHAnsi" w:eastAsiaTheme="majorEastAsia" w:hAnsiTheme="majorHAnsi" w:cstheme="majorBidi"/>
      <w:b/>
      <w:bCs/>
      <w:color w:val="4472C4" w:themeColor="accent1"/>
      <w:sz w:val="22"/>
      <w:szCs w:val="22"/>
      <w:lang w:eastAsia="tr-TR"/>
    </w:rPr>
  </w:style>
  <w:style w:type="character" w:customStyle="1" w:styleId="Balk4Char">
    <w:name w:val="Başlık 4 Char"/>
    <w:basedOn w:val="VarsaylanParagrafYazTipi"/>
    <w:link w:val="Balk4"/>
    <w:uiPriority w:val="9"/>
    <w:rsid w:val="0087687F"/>
    <w:rPr>
      <w:rFonts w:asciiTheme="majorHAnsi" w:eastAsiaTheme="majorEastAsia" w:hAnsiTheme="majorHAnsi" w:cstheme="majorBidi"/>
      <w:i/>
      <w:iCs/>
      <w:color w:val="2F5496" w:themeColor="accent1" w:themeShade="BF"/>
      <w:sz w:val="22"/>
      <w:szCs w:val="22"/>
      <w:lang w:eastAsia="tr-TR"/>
    </w:rPr>
  </w:style>
  <w:style w:type="paragraph" w:styleId="ListeParagraf">
    <w:name w:val="List Paragraph"/>
    <w:basedOn w:val="Normal"/>
    <w:uiPriority w:val="34"/>
    <w:qFormat/>
    <w:rsid w:val="0087687F"/>
    <w:pPr>
      <w:spacing w:after="200" w:line="276" w:lineRule="auto"/>
      <w:ind w:left="720"/>
      <w:contextualSpacing/>
    </w:pPr>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unhideWhenUsed/>
    <w:rsid w:val="0087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7687F"/>
    <w:rPr>
      <w:rFonts w:ascii="Courier New" w:eastAsia="Times New Roman" w:hAnsi="Courier New" w:cs="Courier New"/>
      <w:sz w:val="20"/>
      <w:szCs w:val="20"/>
      <w:lang w:eastAsia="tr-TR"/>
    </w:rPr>
  </w:style>
  <w:style w:type="paragraph" w:styleId="KonuBal">
    <w:name w:val="Title"/>
    <w:basedOn w:val="Normal"/>
    <w:next w:val="Normal"/>
    <w:link w:val="KonuBalChar"/>
    <w:uiPriority w:val="10"/>
    <w:qFormat/>
    <w:rsid w:val="0087687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87687F"/>
    <w:rPr>
      <w:rFonts w:asciiTheme="majorHAnsi" w:eastAsiaTheme="majorEastAsia" w:hAnsiTheme="majorHAnsi" w:cstheme="majorBidi"/>
      <w:color w:val="323E4F" w:themeColor="text2" w:themeShade="BF"/>
      <w:spacing w:val="5"/>
      <w:kern w:val="28"/>
      <w:sz w:val="52"/>
      <w:szCs w:val="52"/>
      <w:lang w:eastAsia="tr-TR"/>
    </w:rPr>
  </w:style>
  <w:style w:type="paragraph" w:styleId="NormalWeb">
    <w:name w:val="Normal (Web)"/>
    <w:basedOn w:val="Normal"/>
    <w:uiPriority w:val="99"/>
    <w:unhideWhenUsed/>
    <w:rsid w:val="0087687F"/>
    <w:pPr>
      <w:spacing w:before="100" w:beforeAutospacing="1" w:after="100" w:afterAutospacing="1"/>
    </w:pPr>
  </w:style>
  <w:style w:type="character" w:customStyle="1" w:styleId="h1">
    <w:name w:val="h1"/>
    <w:basedOn w:val="VarsaylanParagrafYazTipi"/>
    <w:rsid w:val="0087687F"/>
  </w:style>
  <w:style w:type="character" w:customStyle="1" w:styleId="headingendmark">
    <w:name w:val="headingendmark"/>
    <w:basedOn w:val="VarsaylanParagrafYazTipi"/>
    <w:rsid w:val="0087687F"/>
  </w:style>
  <w:style w:type="character" w:styleId="Kpr">
    <w:name w:val="Hyperlink"/>
    <w:basedOn w:val="VarsaylanParagrafYazTipi"/>
    <w:uiPriority w:val="99"/>
    <w:unhideWhenUsed/>
    <w:rsid w:val="0087687F"/>
    <w:rPr>
      <w:color w:val="0000FF"/>
      <w:u w:val="single"/>
    </w:rPr>
  </w:style>
  <w:style w:type="paragraph" w:customStyle="1" w:styleId="bulletndent1">
    <w:name w:val="bulletındent1"/>
    <w:basedOn w:val="Normal"/>
    <w:rsid w:val="0087687F"/>
    <w:pPr>
      <w:spacing w:before="100" w:beforeAutospacing="1" w:after="100" w:afterAutospacing="1"/>
    </w:pPr>
  </w:style>
  <w:style w:type="character" w:customStyle="1" w:styleId="glyph">
    <w:name w:val="glyph"/>
    <w:basedOn w:val="VarsaylanParagrafYazTipi"/>
    <w:rsid w:val="0087687F"/>
  </w:style>
  <w:style w:type="character" w:styleId="Vurgu">
    <w:name w:val="Emphasis"/>
    <w:basedOn w:val="VarsaylanParagrafYazTipi"/>
    <w:uiPriority w:val="20"/>
    <w:qFormat/>
    <w:rsid w:val="0087687F"/>
    <w:rPr>
      <w:i/>
      <w:iCs/>
    </w:rPr>
  </w:style>
  <w:style w:type="character" w:customStyle="1" w:styleId="apple-converted-space">
    <w:name w:val="apple-converted-space"/>
    <w:basedOn w:val="VarsaylanParagrafYazTipi"/>
    <w:rsid w:val="0087687F"/>
  </w:style>
  <w:style w:type="character" w:styleId="zlenenKpr">
    <w:name w:val="FollowedHyperlink"/>
    <w:basedOn w:val="VarsaylanParagrafYazTipi"/>
    <w:uiPriority w:val="99"/>
    <w:semiHidden/>
    <w:unhideWhenUsed/>
    <w:rsid w:val="0087687F"/>
    <w:rPr>
      <w:color w:val="954F72" w:themeColor="followedHyperlink"/>
      <w:u w:val="single"/>
    </w:rPr>
  </w:style>
  <w:style w:type="character" w:customStyle="1" w:styleId="nowrap">
    <w:name w:val="nowrap"/>
    <w:basedOn w:val="VarsaylanParagrafYazTipi"/>
    <w:rsid w:val="0087687F"/>
  </w:style>
  <w:style w:type="paragraph" w:customStyle="1" w:styleId="headinganchor">
    <w:name w:val="headinganchor"/>
    <w:basedOn w:val="Normal"/>
    <w:rsid w:val="0087687F"/>
    <w:pPr>
      <w:spacing w:before="100" w:beforeAutospacing="1" w:after="100" w:afterAutospacing="1"/>
    </w:pPr>
  </w:style>
  <w:style w:type="character" w:styleId="Gl">
    <w:name w:val="Strong"/>
    <w:basedOn w:val="VarsaylanParagrafYazTipi"/>
    <w:uiPriority w:val="22"/>
    <w:qFormat/>
    <w:rsid w:val="0087687F"/>
    <w:rPr>
      <w:b/>
      <w:bCs/>
    </w:rPr>
  </w:style>
  <w:style w:type="character" w:customStyle="1" w:styleId="highlighted">
    <w:name w:val="highlighted"/>
    <w:basedOn w:val="VarsaylanParagrafYazTipi"/>
    <w:rsid w:val="0087687F"/>
  </w:style>
  <w:style w:type="character" w:customStyle="1" w:styleId="h2">
    <w:name w:val="h2"/>
    <w:basedOn w:val="VarsaylanParagrafYazTipi"/>
    <w:rsid w:val="0087687F"/>
  </w:style>
  <w:style w:type="paragraph" w:customStyle="1" w:styleId="svarticle">
    <w:name w:val="svarticle"/>
    <w:basedOn w:val="Normal"/>
    <w:rsid w:val="0087687F"/>
    <w:pPr>
      <w:spacing w:before="100" w:beforeAutospacing="1" w:after="100" w:afterAutospacing="1"/>
    </w:pPr>
  </w:style>
  <w:style w:type="character" w:customStyle="1" w:styleId="highlight">
    <w:name w:val="highlight"/>
    <w:basedOn w:val="VarsaylanParagrafYazTipi"/>
    <w:rsid w:val="0087687F"/>
  </w:style>
  <w:style w:type="paragraph" w:customStyle="1" w:styleId="paragraph">
    <w:name w:val="paragraph"/>
    <w:basedOn w:val="Normal"/>
    <w:rsid w:val="0087687F"/>
    <w:pPr>
      <w:spacing w:before="100" w:beforeAutospacing="1" w:after="100" w:afterAutospacing="1"/>
    </w:pPr>
  </w:style>
  <w:style w:type="character" w:customStyle="1" w:styleId="normaltextrun">
    <w:name w:val="normaltextrun"/>
    <w:basedOn w:val="VarsaylanParagrafYazTipi"/>
    <w:rsid w:val="0087687F"/>
  </w:style>
  <w:style w:type="character" w:customStyle="1" w:styleId="spellingerror">
    <w:name w:val="spellingerror"/>
    <w:basedOn w:val="VarsaylanParagrafYazTipi"/>
    <w:rsid w:val="0087687F"/>
  </w:style>
  <w:style w:type="character" w:customStyle="1" w:styleId="eop">
    <w:name w:val="eop"/>
    <w:basedOn w:val="VarsaylanParagrafYazTipi"/>
    <w:rsid w:val="0087687F"/>
  </w:style>
  <w:style w:type="character" w:styleId="AklamaBavurusu">
    <w:name w:val="annotation reference"/>
    <w:basedOn w:val="VarsaylanParagrafYazTipi"/>
    <w:uiPriority w:val="99"/>
    <w:semiHidden/>
    <w:unhideWhenUsed/>
    <w:rsid w:val="0087687F"/>
    <w:rPr>
      <w:sz w:val="16"/>
      <w:szCs w:val="16"/>
    </w:rPr>
  </w:style>
  <w:style w:type="paragraph" w:styleId="AklamaMetni">
    <w:name w:val="annotation text"/>
    <w:basedOn w:val="Normal"/>
    <w:link w:val="AklamaMetniChar"/>
    <w:uiPriority w:val="99"/>
    <w:unhideWhenUsed/>
    <w:rsid w:val="0087687F"/>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rsid w:val="0087687F"/>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87687F"/>
    <w:rPr>
      <w:b/>
      <w:bCs/>
    </w:rPr>
  </w:style>
  <w:style w:type="character" w:customStyle="1" w:styleId="AklamaKonusuChar">
    <w:name w:val="Açıklama Konusu Char"/>
    <w:basedOn w:val="AklamaMetniChar"/>
    <w:link w:val="AklamaKonusu"/>
    <w:uiPriority w:val="99"/>
    <w:semiHidden/>
    <w:rsid w:val="0087687F"/>
    <w:rPr>
      <w:rFonts w:eastAsiaTheme="minorEastAsia"/>
      <w:b/>
      <w:bCs/>
      <w:sz w:val="20"/>
      <w:szCs w:val="20"/>
      <w:lang w:eastAsia="tr-TR"/>
    </w:rPr>
  </w:style>
  <w:style w:type="paragraph" w:styleId="BalonMetni">
    <w:name w:val="Balloon Text"/>
    <w:basedOn w:val="Normal"/>
    <w:link w:val="BalonMetniChar"/>
    <w:uiPriority w:val="99"/>
    <w:semiHidden/>
    <w:unhideWhenUsed/>
    <w:rsid w:val="0087687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87687F"/>
    <w:rPr>
      <w:rFonts w:ascii="Tahoma" w:eastAsiaTheme="minorEastAsia" w:hAnsi="Tahoma" w:cs="Tahoma"/>
      <w:sz w:val="16"/>
      <w:szCs w:val="16"/>
      <w:lang w:eastAsia="tr-TR"/>
    </w:rPr>
  </w:style>
  <w:style w:type="character" w:customStyle="1" w:styleId="medcalcfontcctab">
    <w:name w:val="medcalcfontcctab"/>
    <w:basedOn w:val="VarsaylanParagrafYazTipi"/>
    <w:rsid w:val="0087687F"/>
  </w:style>
  <w:style w:type="paragraph" w:customStyle="1" w:styleId="bulletindent1">
    <w:name w:val="bulletindent1"/>
    <w:basedOn w:val="Normal"/>
    <w:rsid w:val="0087687F"/>
    <w:pPr>
      <w:spacing w:before="100" w:beforeAutospacing="1" w:after="100" w:afterAutospacing="1"/>
    </w:pPr>
  </w:style>
  <w:style w:type="character" w:customStyle="1" w:styleId="cit">
    <w:name w:val="cit"/>
    <w:basedOn w:val="VarsaylanParagrafYazTipi"/>
    <w:rsid w:val="0087687F"/>
  </w:style>
  <w:style w:type="character" w:customStyle="1" w:styleId="fm-vol-iss-date">
    <w:name w:val="fm-vol-iss-date"/>
    <w:basedOn w:val="VarsaylanParagrafYazTipi"/>
    <w:rsid w:val="0087687F"/>
  </w:style>
  <w:style w:type="character" w:customStyle="1" w:styleId="doi">
    <w:name w:val="doi"/>
    <w:basedOn w:val="VarsaylanParagrafYazTipi"/>
    <w:rsid w:val="0087687F"/>
  </w:style>
  <w:style w:type="character" w:customStyle="1" w:styleId="fm-citation-ids-label">
    <w:name w:val="fm-citation-ids-label"/>
    <w:basedOn w:val="VarsaylanParagrafYazTipi"/>
    <w:rsid w:val="0087687F"/>
  </w:style>
  <w:style w:type="character" w:customStyle="1" w:styleId="title-text">
    <w:name w:val="title-text"/>
    <w:basedOn w:val="VarsaylanParagrafYazTipi"/>
    <w:rsid w:val="0087687F"/>
  </w:style>
  <w:style w:type="character" w:customStyle="1" w:styleId="published-date">
    <w:name w:val="published-date"/>
    <w:basedOn w:val="VarsaylanParagrafYazTipi"/>
    <w:rsid w:val="0087687F"/>
  </w:style>
  <w:style w:type="character" w:customStyle="1" w:styleId="subhead-sans">
    <w:name w:val="subhead-sans"/>
    <w:basedOn w:val="VarsaylanParagrafYazTipi"/>
    <w:rsid w:val="0087687F"/>
  </w:style>
  <w:style w:type="character" w:customStyle="1" w:styleId="zmlenmeyenBahsetme1">
    <w:name w:val="Çözümlenmeyen Bahsetme1"/>
    <w:basedOn w:val="VarsaylanParagrafYazTipi"/>
    <w:uiPriority w:val="99"/>
    <w:semiHidden/>
    <w:unhideWhenUsed/>
    <w:rsid w:val="0087687F"/>
    <w:rPr>
      <w:color w:val="808080"/>
      <w:shd w:val="clear" w:color="auto" w:fill="E6E6E6"/>
    </w:rPr>
  </w:style>
  <w:style w:type="character" w:customStyle="1" w:styleId="zmlenmeyenBahsetme2">
    <w:name w:val="Çözümlenmeyen Bahsetme2"/>
    <w:basedOn w:val="VarsaylanParagrafYazTipi"/>
    <w:uiPriority w:val="99"/>
    <w:semiHidden/>
    <w:unhideWhenUsed/>
    <w:rsid w:val="0087687F"/>
    <w:rPr>
      <w:color w:val="808080"/>
      <w:shd w:val="clear" w:color="auto" w:fill="E6E6E6"/>
    </w:rPr>
  </w:style>
  <w:style w:type="paragraph" w:styleId="Dzeltme">
    <w:name w:val="Revision"/>
    <w:hidden/>
    <w:uiPriority w:val="99"/>
    <w:semiHidden/>
    <w:rsid w:val="0087687F"/>
    <w:rPr>
      <w:rFonts w:eastAsiaTheme="minorEastAsia"/>
      <w:sz w:val="22"/>
      <w:szCs w:val="22"/>
      <w:lang w:eastAsia="tr-TR"/>
    </w:rPr>
  </w:style>
  <w:style w:type="paragraph" w:customStyle="1" w:styleId="title1">
    <w:name w:val="title1"/>
    <w:basedOn w:val="Normal"/>
    <w:rsid w:val="0087687F"/>
    <w:rPr>
      <w:sz w:val="27"/>
      <w:szCs w:val="27"/>
    </w:rPr>
  </w:style>
  <w:style w:type="paragraph" w:customStyle="1" w:styleId="desc2">
    <w:name w:val="desc2"/>
    <w:basedOn w:val="Normal"/>
    <w:rsid w:val="0087687F"/>
    <w:rPr>
      <w:sz w:val="26"/>
      <w:szCs w:val="26"/>
    </w:rPr>
  </w:style>
  <w:style w:type="paragraph" w:customStyle="1" w:styleId="details1">
    <w:name w:val="details1"/>
    <w:basedOn w:val="Normal"/>
    <w:rsid w:val="0087687F"/>
    <w:rPr>
      <w:sz w:val="22"/>
      <w:szCs w:val="22"/>
    </w:rPr>
  </w:style>
  <w:style w:type="character" w:customStyle="1" w:styleId="jrnl">
    <w:name w:val="jrnl"/>
    <w:basedOn w:val="VarsaylanParagrafYazTipi"/>
    <w:rsid w:val="0087687F"/>
  </w:style>
  <w:style w:type="character" w:customStyle="1" w:styleId="reference2">
    <w:name w:val="reference2"/>
    <w:basedOn w:val="VarsaylanParagrafYazTipi"/>
    <w:rsid w:val="0087687F"/>
  </w:style>
  <w:style w:type="paragraph" w:customStyle="1" w:styleId="p">
    <w:name w:val="p"/>
    <w:basedOn w:val="Normal"/>
    <w:rsid w:val="0087687F"/>
    <w:pPr>
      <w:spacing w:before="100" w:beforeAutospacing="1" w:after="100" w:afterAutospacing="1"/>
    </w:pPr>
  </w:style>
  <w:style w:type="character" w:customStyle="1" w:styleId="element-citation">
    <w:name w:val="element-citation"/>
    <w:basedOn w:val="VarsaylanParagrafYazTipi"/>
    <w:rsid w:val="0087687F"/>
  </w:style>
  <w:style w:type="character" w:customStyle="1" w:styleId="ref-journal">
    <w:name w:val="ref-journal"/>
    <w:basedOn w:val="VarsaylanParagrafYazTipi"/>
    <w:rsid w:val="0087687F"/>
  </w:style>
  <w:style w:type="character" w:customStyle="1" w:styleId="ref-vol">
    <w:name w:val="ref-vol"/>
    <w:basedOn w:val="VarsaylanParagrafYazTipi"/>
    <w:rsid w:val="0087687F"/>
  </w:style>
  <w:style w:type="character" w:customStyle="1" w:styleId="A0">
    <w:name w:val="A0"/>
    <w:uiPriority w:val="99"/>
    <w:rsid w:val="0087687F"/>
    <w:rPr>
      <w:rFonts w:cs="Times"/>
      <w:color w:val="000000"/>
      <w:sz w:val="18"/>
      <w:szCs w:val="18"/>
    </w:rPr>
  </w:style>
  <w:style w:type="paragraph" w:customStyle="1" w:styleId="xydpa63fa9c4yiv7303835055ydpbaf6fb72yiv8453841409ydp3fb8dab1msonormal">
    <w:name w:val="x_ydpa63fa9c4yiv7303835055ydpbaf6fb72yiv8453841409ydp3fb8dab1msonormal"/>
    <w:basedOn w:val="Normal"/>
    <w:rsid w:val="0087687F"/>
    <w:pPr>
      <w:spacing w:before="100" w:beforeAutospacing="1" w:after="100" w:afterAutospacing="1"/>
    </w:pPr>
  </w:style>
  <w:style w:type="paragraph" w:customStyle="1" w:styleId="Saptanm">
    <w:name w:val="Saptanmış"/>
    <w:rsid w:val="0087687F"/>
    <w:pPr>
      <w:pBdr>
        <w:top w:val="nil"/>
        <w:left w:val="nil"/>
        <w:bottom w:val="nil"/>
        <w:right w:val="nil"/>
        <w:between w:val="nil"/>
        <w:bar w:val="nil"/>
      </w:pBdr>
    </w:pPr>
    <w:rPr>
      <w:rFonts w:ascii="Helvetica Neue" w:eastAsia="Helvetica Neue" w:hAnsi="Helvetica Neue" w:cs="Helvetica Neue"/>
      <w:color w:val="000000"/>
      <w:sz w:val="22"/>
      <w:szCs w:val="22"/>
      <w:bdr w:val="nil"/>
      <w:lang w:eastAsia="tr-TR"/>
    </w:rPr>
  </w:style>
  <w:style w:type="paragraph" w:customStyle="1" w:styleId="xydp98b0ef9amsonormal">
    <w:name w:val="x_ydp98b0ef9amsonormal"/>
    <w:basedOn w:val="Normal"/>
    <w:rsid w:val="0087687F"/>
    <w:pPr>
      <w:spacing w:before="100" w:beforeAutospacing="1" w:after="100" w:afterAutospacing="1"/>
    </w:pPr>
  </w:style>
  <w:style w:type="character" w:customStyle="1" w:styleId="xydp98b0ef9amsohyperlink">
    <w:name w:val="x_ydp98b0ef9amsohyperlink"/>
    <w:basedOn w:val="VarsaylanParagrafYazTipi"/>
    <w:rsid w:val="0087687F"/>
  </w:style>
  <w:style w:type="character" w:customStyle="1" w:styleId="user-generated">
    <w:name w:val="user-generated"/>
    <w:basedOn w:val="VarsaylanParagrafYazTipi"/>
    <w:rsid w:val="0087687F"/>
  </w:style>
  <w:style w:type="character" w:customStyle="1" w:styleId="zmlenmeyenBahsetme3">
    <w:name w:val="Çözümlenmeyen Bahsetme3"/>
    <w:basedOn w:val="VarsaylanParagrafYazTipi"/>
    <w:uiPriority w:val="99"/>
    <w:semiHidden/>
    <w:unhideWhenUsed/>
    <w:rsid w:val="0087687F"/>
    <w:rPr>
      <w:color w:val="808080"/>
      <w:shd w:val="clear" w:color="auto" w:fill="E6E6E6"/>
    </w:rPr>
  </w:style>
  <w:style w:type="paragraph" w:customStyle="1" w:styleId="xydpfcd73491msonormal">
    <w:name w:val="x_ydpfcd73491msonormal"/>
    <w:basedOn w:val="Normal"/>
    <w:rsid w:val="0087687F"/>
    <w:pPr>
      <w:spacing w:before="100" w:beforeAutospacing="1" w:after="100" w:afterAutospacing="1"/>
    </w:pPr>
  </w:style>
  <w:style w:type="character" w:customStyle="1" w:styleId="HTMLPreformattedChar">
    <w:name w:val="HTML Preformatted Char"/>
    <w:basedOn w:val="VarsaylanParagrafYazTipi"/>
    <w:uiPriority w:val="99"/>
    <w:rsid w:val="0087687F"/>
    <w:rPr>
      <w:rFonts w:ascii="Courier New" w:eastAsia="Times New Roman" w:hAnsi="Courier New" w:cs="Courier New"/>
      <w:sz w:val="20"/>
      <w:szCs w:val="20"/>
    </w:rPr>
  </w:style>
  <w:style w:type="character" w:customStyle="1" w:styleId="UnresolvedMention">
    <w:name w:val="Unresolved Mention"/>
    <w:basedOn w:val="VarsaylanParagrafYazTipi"/>
    <w:uiPriority w:val="99"/>
    <w:semiHidden/>
    <w:unhideWhenUsed/>
    <w:rsid w:val="009B6E20"/>
    <w:rPr>
      <w:color w:val="605E5C"/>
      <w:shd w:val="clear" w:color="auto" w:fill="E1DFDD"/>
    </w:rPr>
  </w:style>
  <w:style w:type="paragraph" w:customStyle="1" w:styleId="Normal1">
    <w:name w:val="Normal1"/>
    <w:rsid w:val="00E6620A"/>
    <w:rPr>
      <w:rFonts w:ascii="Times New Roman" w:eastAsia="Times New Roman" w:hAnsi="Times New Roman" w:cs="Times New Roman"/>
      <w:lang w:eastAsia="tr-TR"/>
    </w:rPr>
  </w:style>
  <w:style w:type="paragraph" w:styleId="stBilgi">
    <w:name w:val="header"/>
    <w:basedOn w:val="Normal"/>
    <w:link w:val="stBilgiChar"/>
    <w:uiPriority w:val="99"/>
    <w:unhideWhenUsed/>
    <w:rsid w:val="00504EA8"/>
    <w:pPr>
      <w:tabs>
        <w:tab w:val="center" w:pos="4536"/>
        <w:tab w:val="right" w:pos="9072"/>
      </w:tabs>
    </w:pPr>
  </w:style>
  <w:style w:type="character" w:customStyle="1" w:styleId="stBilgiChar">
    <w:name w:val="Üst Bilgi Char"/>
    <w:basedOn w:val="VarsaylanParagrafYazTipi"/>
    <w:link w:val="stBilgi"/>
    <w:uiPriority w:val="99"/>
    <w:rsid w:val="00504EA8"/>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504EA8"/>
    <w:pPr>
      <w:tabs>
        <w:tab w:val="center" w:pos="4536"/>
        <w:tab w:val="right" w:pos="9072"/>
      </w:tabs>
    </w:pPr>
  </w:style>
  <w:style w:type="character" w:customStyle="1" w:styleId="AltBilgiChar">
    <w:name w:val="Alt Bilgi Char"/>
    <w:basedOn w:val="VarsaylanParagrafYazTipi"/>
    <w:link w:val="AltBilgi"/>
    <w:uiPriority w:val="99"/>
    <w:rsid w:val="00504EA8"/>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793">
      <w:bodyDiv w:val="1"/>
      <w:marLeft w:val="0"/>
      <w:marRight w:val="0"/>
      <w:marTop w:val="0"/>
      <w:marBottom w:val="0"/>
      <w:divBdr>
        <w:top w:val="none" w:sz="0" w:space="0" w:color="auto"/>
        <w:left w:val="none" w:sz="0" w:space="0" w:color="auto"/>
        <w:bottom w:val="none" w:sz="0" w:space="0" w:color="auto"/>
        <w:right w:val="none" w:sz="0" w:space="0" w:color="auto"/>
      </w:divBdr>
    </w:div>
    <w:div w:id="13924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2163</TotalTime>
  <Pages>1</Pages>
  <Words>2711</Words>
  <Characters>15455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Obekli</dc:creator>
  <cp:keywords/>
  <dc:description/>
  <cp:lastModifiedBy>win10</cp:lastModifiedBy>
  <cp:revision>10</cp:revision>
  <dcterms:created xsi:type="dcterms:W3CDTF">2021-10-25T06:25:00Z</dcterms:created>
  <dcterms:modified xsi:type="dcterms:W3CDTF">2021-11-22T09:48:00Z</dcterms:modified>
</cp:coreProperties>
</file>