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0876" w14:textId="77777777" w:rsidR="00E9431A" w:rsidRPr="00D23A56" w:rsidRDefault="00E9431A" w:rsidP="00E9431A">
      <w:pPr>
        <w:jc w:val="both"/>
        <w:rPr>
          <w:b/>
          <w:color w:val="FF0000"/>
          <w:u w:val="single"/>
          <w:rFonts w:asciiTheme="minorHAnsi" w:hAnsiTheme="minorHAnsi"/>
        </w:rPr>
      </w:pPr>
      <w:r>
        <w:rPr>
          <w:b/>
          <w:color w:val="FF0000"/>
          <w:u w:val="single"/>
          <w:rFonts w:asciiTheme="minorHAnsi" w:hAnsiTheme="minorHAnsi"/>
        </w:rPr>
        <w:t xml:space="preserve">TIME to START- FARMACI ADATTI PER INIZIARE NEGLI ANZIANI</w:t>
      </w:r>
    </w:p>
    <w:p w14:paraId="501877C0" w14:textId="77777777" w:rsidR="00E9431A" w:rsidRPr="00D23A56" w:rsidRDefault="00E9431A" w:rsidP="00E9431A">
      <w:pPr>
        <w:jc w:val="both"/>
        <w:rPr>
          <w:rFonts w:asciiTheme="minorHAnsi" w:hAnsiTheme="minorHAnsi"/>
          <w:b/>
          <w:color w:val="FF0000"/>
        </w:rPr>
      </w:pPr>
    </w:p>
    <w:p w14:paraId="55B6D545" w14:textId="77777777" w:rsidR="00E9431A" w:rsidRPr="00D23A56" w:rsidRDefault="00E9431A" w:rsidP="00E9431A">
      <w:pPr>
        <w:rPr>
          <w:b/>
          <w:bCs/>
          <w:sz w:val="28"/>
          <w:szCs w:val="28"/>
          <w:rFonts w:asciiTheme="minorHAnsi" w:hAnsiTheme="minorHAnsi" w:cstheme="minorHAnsi"/>
        </w:rPr>
      </w:pPr>
      <w:r>
        <w:rPr>
          <w:b/>
          <w:color w:val="FF0000"/>
          <w:rFonts w:asciiTheme="minorHAnsi" w:hAnsiTheme="minorHAnsi"/>
        </w:rPr>
        <w:t xml:space="preserve">C'è un'indicazione e un potenziale beneficio nell'uso di questo gruppo di farmaci nelle condizioni all'interno dei criteri, ma spesso può essere trascurato nella pratica clinica o non è dato a causa dell'età avanzata senza un ulteriore motivo valido.</w:t>
      </w:r>
      <w:r>
        <w:rPr>
          <w:b/>
          <w:color w:val="FF0000"/>
          <w:rFonts w:asciiTheme="minorHAnsi" w:hAnsiTheme="minorHAnsi"/>
        </w:rPr>
        <w:t xml:space="preserve"> </w:t>
      </w:r>
      <w:r>
        <w:rPr>
          <w:b/>
          <w:color w:val="FF0000"/>
          <w:rFonts w:asciiTheme="minorHAnsi" w:hAnsiTheme="minorHAnsi"/>
        </w:rPr>
        <w:t xml:space="preserve">Il mancato utilizzo di questi farmaci nella condizione all'interno dei criteri è considerato come "uso dei farmaci potenzialmente inappropriato".</w:t>
      </w:r>
      <w:r>
        <w:rPr>
          <w:b/>
          <w:color w:val="FF0000"/>
          <w:rFonts w:asciiTheme="minorHAnsi" w:hAnsiTheme="minorHAnsi"/>
        </w:rPr>
        <w:t xml:space="preserve"> </w:t>
      </w:r>
      <w:r>
        <w:rPr>
          <w:b/>
          <w:color w:val="FF0000"/>
          <w:rFonts w:asciiTheme="minorHAnsi" w:hAnsiTheme="minorHAnsi"/>
        </w:rPr>
        <w:t xml:space="preserve">I medici dovrebbero prendere decisioni considerando tutte le caratteristiche del paziente, il potenziale beneficio e danno del farmaco nel paziente (beneficio e danno), l'aspettativa di vita prevista e gli obiettivi di trattamento determinati in linea con le preferenze del paziente.</w:t>
      </w:r>
      <w:r>
        <w:rPr>
          <w:b/>
          <w:color w:val="FF0000"/>
          <w:rFonts w:asciiTheme="minorHAnsi" w:hAnsiTheme="minorHAnsi"/>
        </w:rPr>
        <w:t xml:space="preserve"> </w:t>
      </w:r>
      <w:r>
        <w:rPr>
          <w:b/>
          <w:color w:val="FF0000"/>
          <w:rFonts w:asciiTheme="minorHAnsi" w:hAnsiTheme="minorHAnsi"/>
        </w:rPr>
        <w:t xml:space="preserve">I medici possono ritenere appropriato non utilizzare questo gruppo di farmaci in alcuni casi.</w:t>
      </w:r>
    </w:p>
    <w:p w14:paraId="62208DB5" w14:textId="48A587AC" w:rsidR="00E9431A" w:rsidRDefault="00E9431A" w:rsidP="00E9431A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296F98C0" w14:textId="77777777" w:rsidR="00E6620A" w:rsidRPr="00E6620A" w:rsidRDefault="00E6620A" w:rsidP="00E6620A">
      <w:pPr>
        <w:pStyle w:val="Normal1"/>
        <w:jc w:val="both"/>
        <w:rPr>
          <w:bCs/>
          <w:i/>
          <w:sz w:val="22"/>
          <w:szCs w:val="22"/>
          <w:rFonts w:ascii="Calibri" w:eastAsia="Calibri" w:hAnsi="Calibri" w:cs="Calibri"/>
        </w:rPr>
      </w:pPr>
      <w:r>
        <w:rPr>
          <w:bCs/>
          <w:i/>
          <w:sz w:val="22"/>
          <w:szCs w:val="22"/>
          <w:rFonts w:ascii="Calibri" w:hAnsi="Calibri"/>
        </w:rPr>
        <w:t xml:space="preserve">Per facilitare l'uso clinico, le spiegazioni aggiunte ad alcuni criteri sono fornite in corsivo e prefisso * subito dopo i criteri.</w:t>
      </w:r>
    </w:p>
    <w:p w14:paraId="3943D245" w14:textId="77777777" w:rsidR="00E6620A" w:rsidRPr="00E6620A" w:rsidRDefault="00E6620A" w:rsidP="00E6620A">
      <w:pPr>
        <w:pStyle w:val="Normal1"/>
        <w:jc w:val="both"/>
        <w:rPr>
          <w:rFonts w:ascii="Calibri" w:eastAsia="Calibri" w:hAnsi="Calibri" w:cs="Calibri"/>
          <w:bCs/>
          <w:i/>
          <w:sz w:val="22"/>
          <w:szCs w:val="22"/>
        </w:rPr>
      </w:pPr>
    </w:p>
    <w:p w14:paraId="79E676B5" w14:textId="77777777" w:rsidR="00E6620A" w:rsidRPr="00E6620A" w:rsidRDefault="00E6620A" w:rsidP="00E6620A">
      <w:pPr>
        <w:pStyle w:val="Normal1"/>
        <w:jc w:val="both"/>
        <w:rPr>
          <w:bCs/>
          <w:i/>
          <w:sz w:val="22"/>
          <w:szCs w:val="22"/>
          <w:u w:val="single"/>
          <w:rFonts w:ascii="Calibri" w:eastAsia="Calibri" w:hAnsi="Calibri" w:cs="Calibri"/>
        </w:rPr>
      </w:pPr>
      <w:r>
        <w:rPr>
          <w:bCs/>
          <w:i/>
          <w:sz w:val="22"/>
          <w:szCs w:val="22"/>
          <w:rFonts w:ascii="Calibri" w:hAnsi="Calibri"/>
        </w:rPr>
        <w:t xml:space="preserve">Riferimenti; se pertinente e disponibile contiene riferimenti a spiegazioni.</w:t>
      </w:r>
    </w:p>
    <w:p w14:paraId="11529D77" w14:textId="77777777" w:rsidR="00E6620A" w:rsidRPr="00D23A56" w:rsidRDefault="00E6620A" w:rsidP="00E9431A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15E94A33" w14:textId="77777777" w:rsidR="00E9431A" w:rsidRPr="00D23A56" w:rsidRDefault="00E9431A" w:rsidP="0087687F">
      <w:pPr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14:paraId="31D03A27" w14:textId="77777777" w:rsidR="0087687F" w:rsidRPr="00D23A56" w:rsidRDefault="0087687F" w:rsidP="0087687F">
      <w:pPr>
        <w:jc w:val="both"/>
        <w:rPr>
          <w:rFonts w:asciiTheme="minorHAnsi" w:hAnsiTheme="minorHAnsi"/>
          <w:sz w:val="22"/>
          <w:szCs w:val="22"/>
        </w:rPr>
      </w:pPr>
    </w:p>
    <w:p w14:paraId="1C53C9C7" w14:textId="77777777" w:rsidR="00E9431A" w:rsidRPr="00D23A56" w:rsidRDefault="00E9431A" w:rsidP="00E9431A">
      <w:pPr>
        <w:rPr>
          <w:b/>
          <w:bCs/>
          <w:sz w:val="28"/>
          <w:szCs w:val="28"/>
          <w:u w:val="single"/>
          <w:rFonts w:asciiTheme="minorHAnsi" w:hAnsiTheme="minorHAnsi" w:cstheme="minorHAnsi"/>
        </w:rPr>
      </w:pPr>
      <w:r>
        <w:rPr>
          <w:b/>
          <w:bCs/>
          <w:sz w:val="28"/>
          <w:szCs w:val="28"/>
          <w:u w:val="single"/>
          <w:rFonts w:asciiTheme="minorHAnsi" w:hAnsiTheme="minorHAnsi"/>
        </w:rPr>
        <w:t xml:space="preserve">Criteri di TIME-to-START (con riferimento e spiegazione)</w:t>
      </w:r>
    </w:p>
    <w:p w14:paraId="5570A870" w14:textId="77777777" w:rsidR="00E9431A" w:rsidRPr="00D23A56" w:rsidRDefault="00E9431A" w:rsidP="00E9431A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5DFAC606" w14:textId="77777777" w:rsidR="00E9431A" w:rsidRPr="00D23A56" w:rsidRDefault="00E9431A" w:rsidP="00E9431A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788BBF40" w14:textId="77777777" w:rsidR="00E9431A" w:rsidRPr="00D23A56" w:rsidRDefault="00E9431A" w:rsidP="00E9431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  <w:rFonts w:asciiTheme="minorHAnsi" w:eastAsiaTheme="majorEastAsia" w:hAnsiTheme="minorHAnsi"/>
        </w:rPr>
      </w:pPr>
      <w:r>
        <w:rPr>
          <w:rStyle w:val="normaltextrun"/>
          <w:b/>
          <w:bCs/>
          <w:sz w:val="28"/>
          <w:szCs w:val="28"/>
          <w:rFonts w:asciiTheme="minorHAnsi" w:hAnsiTheme="minorHAnsi"/>
        </w:rPr>
        <w:t xml:space="preserve">A:</w:t>
      </w:r>
      <w:r>
        <w:rPr>
          <w:rStyle w:val="normaltextrun"/>
          <w:b/>
          <w:bCs/>
          <w:sz w:val="28"/>
          <w:szCs w:val="28"/>
          <w:rFonts w:asciiTheme="minorHAnsi" w:hAnsiTheme="minorHAnsi"/>
        </w:rPr>
        <w:t xml:space="preserve"> </w:t>
      </w:r>
      <w:r>
        <w:rPr>
          <w:rStyle w:val="normaltextrun"/>
          <w:b/>
          <w:bCs/>
          <w:sz w:val="28"/>
          <w:szCs w:val="28"/>
          <w:rFonts w:asciiTheme="minorHAnsi" w:hAnsiTheme="minorHAnsi"/>
        </w:rPr>
        <w:t xml:space="preserve">Criteri del sistema cardiovascolare.</w:t>
      </w:r>
    </w:p>
    <w:p w14:paraId="2434E9BF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1CF802A8" w14:textId="77777777" w:rsidR="00E9431A" w:rsidRPr="00D23A56" w:rsidRDefault="00E9431A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718A9855" w14:textId="77777777" w:rsidR="00E9431A" w:rsidRPr="00D23A56" w:rsidRDefault="00E9431A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6D02E2A5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A1.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In pazienti che ha malattia coronarica aterosclerotica documentata (storia di sindrome coronarica acuta/angioplastica coronarica o stent/bypass coronarico/aneurisma dell'aorta addominale), malattia aterosclerotica cerebrovascolare documentata (storia di ictus ischemico/TIA/precedente endoarterectomia carotidea o stent) o in pazienti con arteriopatia sintomatica degli arti inferiori, é opportuno iniziare una terapia antiaggregante (aspirina o clopidogrel) per la prevenzione secondaria.</w:t>
      </w:r>
    </w:p>
    <w:p w14:paraId="22BDD831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b/>
          <w:sz w:val="22"/>
          <w:szCs w:val="22"/>
          <w:rFonts w:asciiTheme="minorHAnsi" w:hAnsiTheme="minorHAnsi"/>
        </w:rPr>
      </w:pPr>
      <w:r>
        <w:rPr>
          <w:bCs/>
          <w:i/>
          <w:sz w:val="22"/>
          <w:szCs w:val="22"/>
          <w:rFonts w:asciiTheme="minorHAnsi" w:hAnsiTheme="minorHAnsi"/>
        </w:rPr>
        <w:t xml:space="preserve">*L'inizio dell'aspirina per la prevenzione cardiovascolare primaria non è appropriato nella maggior parte dei casi (a causa dell'aumento del rischio di sanguinamento intracranico e gastrointestinale e del beneficio limitato).</w:t>
      </w:r>
    </w:p>
    <w:p w14:paraId="681B9A34" w14:textId="77777777" w:rsidR="0087687F" w:rsidRPr="00D23A56" w:rsidRDefault="0087687F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03454B2" w14:textId="77777777" w:rsidR="0087687F" w:rsidRPr="00D23A56" w:rsidRDefault="0087687F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22A21658" w14:textId="77777777" w:rsidR="0087687F" w:rsidRPr="00D23A56" w:rsidRDefault="0087687F" w:rsidP="0087687F">
      <w:pPr>
        <w:spacing w:after="100" w:afterAutospacing="1" w:line="360" w:lineRule="auto"/>
        <w:contextualSpacing/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A2.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In pazienti che ha malattia coronarica aterosclerotica documentata (storia di sindrome coronarica acuta/angioplastica coronarica o stent/bypass coronarico/aneurisma dell'aorta addominale), malattia cerebrovascolare documentata (precedente ictus ischemico/TIA/precedente endoarterectomia carotidea o stent) o in pazienti con malattia arteriosa periferica é opportuno iniziare la terapia con statine per la prevenzione secondaria.</w:t>
      </w:r>
    </w:p>
    <w:p w14:paraId="3F3FF42D" w14:textId="77777777" w:rsidR="0087687F" w:rsidRPr="00D23A56" w:rsidRDefault="0087687F" w:rsidP="0087687F">
      <w:pPr>
        <w:spacing w:after="100" w:afterAutospacing="1" w:line="360" w:lineRule="auto"/>
        <w:contextualSpacing/>
        <w:jc w:val="both"/>
        <w:rPr>
          <w:bCs/>
          <w:i/>
          <w:sz w:val="22"/>
          <w:szCs w:val="22"/>
          <w:rFonts w:asciiTheme="minorHAnsi" w:hAnsiTheme="minorHAnsi"/>
        </w:rPr>
      </w:pPr>
      <w:r>
        <w:rPr>
          <w:sz w:val="22"/>
          <w:szCs w:val="22"/>
          <w:i/>
          <w:iCs/>
          <w:rFonts w:asciiTheme="minorHAnsi" w:hAnsiTheme="minorHAnsi"/>
        </w:rPr>
        <w:t xml:space="preserve">*il beneficio atteso da una statina è basso nei pazienti con un'aspettativa di vita &lt;2 anni, in quelli con demenza terminale, in pazienti di età &gt;85 anni; gli effetti collaterali delle statine (miopatia, tossicità epatica, ecc.) sono più comuni.</w:t>
      </w:r>
      <w:r>
        <w:rPr>
          <w:sz w:val="22"/>
          <w:szCs w:val="22"/>
          <w:bCs/>
          <w:i/>
          <w:rFonts w:asciiTheme="minorHAnsi" w:hAnsiTheme="minorHAnsi"/>
        </w:rPr>
        <w:t xml:space="preserve"> </w:t>
      </w:r>
      <w:r>
        <w:rPr>
          <w:sz w:val="22"/>
          <w:szCs w:val="22"/>
          <w:bCs/>
          <w:i/>
          <w:rFonts w:asciiTheme="minorHAnsi" w:hAnsiTheme="minorHAnsi"/>
        </w:rPr>
        <w:t xml:space="preserve">*In questi casi, la decisione per la terapia con statine deve essere determinata informando il paziente/parente del paziente e secondo il principio del processo decisionale congiunto.</w:t>
      </w:r>
    </w:p>
    <w:p w14:paraId="12AAE422" w14:textId="3DA82C84" w:rsidR="0087687F" w:rsidRPr="004613B7" w:rsidRDefault="0087687F" w:rsidP="004613B7">
      <w:pPr>
        <w:spacing w:after="100" w:afterAutospacing="1"/>
        <w:contextualSpacing/>
        <w:jc w:val="both"/>
        <w:rPr>
          <w:b/>
          <w:sz w:val="22"/>
          <w:szCs w:val="22"/>
          <w:rFonts w:asciiTheme="minorHAnsi" w:hAnsiTheme="minorHAnsi"/>
        </w:rPr>
      </w:pPr>
      <w:r>
        <w:rPr>
          <w:bCs/>
          <w:sz w:val="22"/>
          <w:szCs w:val="22"/>
          <w:rFonts w:asciiTheme="minorHAnsi" w:hAnsiTheme="minorHAnsi"/>
        </w:rPr>
        <w:t xml:space="preserve"> </w:t>
      </w:r>
    </w:p>
    <w:p w14:paraId="40FEA825" w14:textId="77777777" w:rsidR="003C46C7" w:rsidRPr="00D23A56" w:rsidRDefault="003C46C7" w:rsidP="0051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4856B56" w14:textId="77777777" w:rsidR="0087687F" w:rsidRPr="00D23A56" w:rsidRDefault="0087687F" w:rsidP="005130B0">
      <w:pPr>
        <w:spacing w:before="100" w:beforeAutospacing="1" w:after="100" w:afterAutospacing="1" w:line="360" w:lineRule="auto"/>
        <w:contextualSpacing/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A3.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È opportuno iniziare una terapia antipertensiva in pazienti con pressione arteriosa sistolica costantemente &gt;160 mmHg e/o pressione arteriosa diastolica costantemente &gt;90 mmHg.</w:t>
      </w:r>
    </w:p>
    <w:p w14:paraId="0D737832" w14:textId="77777777" w:rsidR="003C46C7" w:rsidRPr="00D23A56" w:rsidRDefault="003C46C7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27ECAC8C" w14:textId="77777777" w:rsidR="00D43402" w:rsidRPr="00D23A56" w:rsidRDefault="00D43402" w:rsidP="00D43402">
      <w:pPr>
        <w:spacing w:before="100" w:beforeAutospacing="1"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14:paraId="3DA44B14" w14:textId="77777777" w:rsidR="00D43402" w:rsidRPr="00D23A56" w:rsidRDefault="00D43402" w:rsidP="00D43402">
      <w:pPr>
        <w:spacing w:before="100" w:beforeAutospacing="1"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14:paraId="62E11E66" w14:textId="77777777" w:rsidR="0087687F" w:rsidRPr="00D23A56" w:rsidRDefault="0087687F" w:rsidP="00D43402">
      <w:pPr>
        <w:spacing w:before="100" w:beforeAutospacing="1" w:after="100" w:afterAutospacing="1" w:line="360" w:lineRule="auto"/>
        <w:contextualSpacing/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A4.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In presenza di FA cronica non valvolare, considerando il punteggio CHA2DS2-VASc, è opportuno iniziare l'OAC (antagonisti della vitamina K, inibitori diretti della trombina o inibitori del fattore Xa).</w:t>
      </w:r>
      <w:r>
        <w:rPr>
          <w:b/>
          <w:sz w:val="22"/>
          <w:szCs w:val="22"/>
          <w:rFonts w:asciiTheme="minorHAnsi" w:hAnsiTheme="minorHAnsi"/>
        </w:rPr>
        <w:t xml:space="preserve">  </w:t>
      </w:r>
    </w:p>
    <w:p w14:paraId="71580A9D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bCs/>
          <w:i/>
          <w:iCs/>
          <w:color w:val="000000" w:themeColor="text1"/>
          <w:sz w:val="22"/>
          <w:szCs w:val="22"/>
          <w:rFonts w:asciiTheme="minorHAnsi" w:hAnsiTheme="minorHAnsi"/>
        </w:rPr>
      </w:pPr>
      <w:r>
        <w:rPr>
          <w:bCs/>
          <w:i/>
          <w:iCs/>
          <w:sz w:val="22"/>
          <w:szCs w:val="22"/>
          <w:rFonts w:asciiTheme="minorHAnsi" w:hAnsiTheme="minorHAnsi"/>
        </w:rPr>
        <w:t xml:space="preserve">*Si consiglia di preferire gli antagonisti non della vitamina K (YOAK) invece degli antagonisti della vitamina K.</w:t>
      </w:r>
    </w:p>
    <w:p w14:paraId="3463BB8E" w14:textId="77777777" w:rsidR="004613B7" w:rsidRPr="00D23A56" w:rsidRDefault="004613B7" w:rsidP="00D4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9C8B06C" w14:textId="77777777" w:rsidR="00D43402" w:rsidRPr="00D23A56" w:rsidRDefault="00D43402" w:rsidP="00D4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32514A7" w14:textId="77777777" w:rsidR="0087687F" w:rsidRPr="00D23A56" w:rsidRDefault="0087687F" w:rsidP="00D4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A5.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In presenza di insufficienza cardiaca sistolica (FE&lt;= 40%) o IM con sopraslivellamento del tratto ST, è opportuno iniziare una terapia con ACE-inibitori.</w:t>
      </w:r>
    </w:p>
    <w:p w14:paraId="4095EFFC" w14:textId="77777777" w:rsidR="00D43402" w:rsidRPr="00D23A56" w:rsidRDefault="00D43402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0368180C" w14:textId="77777777" w:rsidR="00D43402" w:rsidRPr="00D23A56" w:rsidRDefault="00D43402" w:rsidP="00D43402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4B6F3EE1" w14:textId="77777777" w:rsidR="00D43402" w:rsidRPr="00D23A56" w:rsidRDefault="00D43402" w:rsidP="00D43402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05CC1243" w14:textId="77777777" w:rsidR="0087687F" w:rsidRPr="00D23A56" w:rsidRDefault="0087687F" w:rsidP="0087687F">
      <w:pPr>
        <w:spacing w:line="360" w:lineRule="auto"/>
        <w:contextualSpacing/>
        <w:jc w:val="both"/>
        <w:rPr>
          <w:b/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rFonts w:asciiTheme="minorHAnsi" w:hAnsiTheme="minorHAnsi"/>
        </w:rPr>
        <w:t xml:space="preserve">A6.</w:t>
      </w:r>
      <w:r>
        <w:rPr>
          <w:sz w:val="22"/>
          <w:szCs w:val="22"/>
          <w:b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In presenza di insufficienza cardiaca sistolica (FE&lt;= 40%) o cardiopatia ischemica (dovuta all'effetto antianginoso nella cardiopatia ischemica cronica/effetto di riduzione della mortalità nel periodo post-infarto miocardico) é opportuno iniziare una terapia con beta-bloccanti (bisoprololo/metoprololo succinato a rilascio prolungato/carvedilolo/nebivololo nello scompenso cardiaco sistolico; qualsiasi beta-bloccante nella cardiopatia ischemica).</w:t>
      </w:r>
      <w:r>
        <w:rPr>
          <w:sz w:val="22"/>
          <w:szCs w:val="22"/>
          <w:b/>
          <w:rFonts w:asciiTheme="minorHAnsi" w:hAnsiTheme="minorHAnsi"/>
        </w:rPr>
        <w:t xml:space="preserve"> </w:t>
      </w:r>
    </w:p>
    <w:p w14:paraId="3679C730" w14:textId="711F0F39" w:rsidR="0087687F" w:rsidRPr="004613B7" w:rsidRDefault="0087687F" w:rsidP="004613B7">
      <w:pPr>
        <w:spacing w:before="100" w:beforeAutospacing="1" w:after="100" w:afterAutospacing="1" w:line="360" w:lineRule="auto"/>
        <w:contextualSpacing/>
        <w:jc w:val="both"/>
        <w:rPr>
          <w:bCs/>
          <w:i/>
          <w:color w:val="000000"/>
          <w:sz w:val="22"/>
          <w:szCs w:val="22"/>
          <w:shd w:val="clear" w:color="auto" w:fill="FFFFFF"/>
          <w:rFonts w:asciiTheme="minorHAnsi" w:hAnsiTheme="minorHAnsi"/>
        </w:rPr>
      </w:pPr>
      <w:r>
        <w:rPr>
          <w:bCs/>
          <w:sz w:val="22"/>
          <w:szCs w:val="22"/>
          <w:i/>
          <w:iCs/>
          <w:rFonts w:asciiTheme="minorHAnsi" w:hAnsiTheme="minorHAnsi"/>
        </w:rPr>
        <w:t xml:space="preserve">*La terapia con beta-bloccanti può essere interrotta 3 anni dopo l'infarto miocardico, considerando il potenziale rapporto costi-benefici.</w:t>
      </w:r>
      <w:r>
        <w:rPr>
          <w:bCs/>
          <w:sz w:val="22"/>
          <w:szCs w:val="22"/>
          <w:i/>
          <w:color w:val="000000"/>
          <w:shd w:val="clear" w:color="auto" w:fill="FFFFFF"/>
          <w:rFonts w:asciiTheme="minorHAnsi" w:hAnsiTheme="minorHAnsi"/>
        </w:rPr>
        <w:t xml:space="preserve"> </w:t>
      </w:r>
    </w:p>
    <w:p w14:paraId="78DB50A7" w14:textId="77777777" w:rsidR="0087687F" w:rsidRPr="00D23A56" w:rsidRDefault="0087687F" w:rsidP="0087687F">
      <w:pPr>
        <w:contextualSpacing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10B21D2B" w14:textId="77777777" w:rsidR="003C46C7" w:rsidRPr="00D23A56" w:rsidRDefault="003C46C7" w:rsidP="0087687F">
      <w:pPr>
        <w:contextualSpacing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1C15AFE6" w14:textId="77777777" w:rsidR="00D43402" w:rsidRPr="00D23A56" w:rsidRDefault="003C46C7" w:rsidP="00D43402">
      <w:pPr>
        <w:jc w:val="both"/>
        <w:rPr>
          <w:b/>
          <w:sz w:val="28"/>
          <w:szCs w:val="28"/>
          <w:rFonts w:asciiTheme="minorHAnsi" w:hAnsiTheme="minorHAnsi"/>
        </w:rPr>
      </w:pPr>
      <w:r>
        <w:rPr>
          <w:b/>
          <w:sz w:val="28"/>
          <w:szCs w:val="28"/>
          <w:rFonts w:asciiTheme="minorHAnsi" w:hAnsiTheme="minorHAnsi"/>
        </w:rPr>
        <w:t xml:space="preserve">B Criteri del sistema nervoso centrale.</w:t>
      </w:r>
    </w:p>
    <w:p w14:paraId="0709C3A7" w14:textId="77777777" w:rsidR="00D43402" w:rsidRPr="00D23A56" w:rsidRDefault="00D43402" w:rsidP="00D43402">
      <w:pPr>
        <w:jc w:val="both"/>
        <w:rPr>
          <w:rFonts w:asciiTheme="minorHAnsi" w:hAnsiTheme="minorHAnsi"/>
          <w:b/>
          <w:sz w:val="28"/>
          <w:szCs w:val="28"/>
        </w:rPr>
      </w:pPr>
    </w:p>
    <w:p w14:paraId="4C5FAEF4" w14:textId="77777777" w:rsidR="00D43402" w:rsidRPr="00D23A56" w:rsidRDefault="003C46C7" w:rsidP="00D43402">
      <w:pPr>
        <w:jc w:val="both"/>
        <w:rPr>
          <w:b/>
          <w:sz w:val="28"/>
          <w:szCs w:val="28"/>
          <w:rFonts w:asciiTheme="minorHAnsi" w:hAnsiTheme="minorHAnsi"/>
        </w:rPr>
      </w:pPr>
      <w:r>
        <w:rPr>
          <w:b/>
          <w:sz w:val="28"/>
          <w:szCs w:val="28"/>
          <w:rFonts w:asciiTheme="minorHAnsi" w:hAnsiTheme="minorHAnsi"/>
        </w:rPr>
        <w:t xml:space="preserve"> </w:t>
      </w:r>
    </w:p>
    <w:p w14:paraId="0DC7B0F8" w14:textId="77777777" w:rsidR="0087687F" w:rsidRPr="00D23A56" w:rsidRDefault="0087687F" w:rsidP="00D43402">
      <w:pPr>
        <w:contextualSpacing/>
        <w:jc w:val="both"/>
        <w:rPr>
          <w:b/>
          <w:sz w:val="28"/>
          <w:szCs w:val="28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B1.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È opportuno iniziare un trattamento antidepressivo in presenza di disturbo depressivo maggiore.</w:t>
      </w:r>
    </w:p>
    <w:p w14:paraId="40DCC3E7" w14:textId="77777777" w:rsidR="003C46C7" w:rsidRPr="00D23A56" w:rsidRDefault="003C46C7" w:rsidP="00D4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/>
          <w:sz w:val="22"/>
          <w:szCs w:val="22"/>
          <w:lang w:eastAsia="en-GB"/>
        </w:rPr>
      </w:pPr>
    </w:p>
    <w:p w14:paraId="6074A61B" w14:textId="77777777" w:rsidR="00D43402" w:rsidRPr="00D23A56" w:rsidRDefault="00D43402" w:rsidP="00D43402">
      <w:pPr>
        <w:jc w:val="both"/>
        <w:rPr>
          <w:rFonts w:asciiTheme="minorHAnsi" w:eastAsia="LiberationSerif" w:hAnsiTheme="minorHAnsi"/>
          <w:sz w:val="22"/>
          <w:szCs w:val="22"/>
        </w:rPr>
      </w:pPr>
    </w:p>
    <w:p w14:paraId="76155177" w14:textId="77777777" w:rsidR="00D43402" w:rsidRPr="00D23A56" w:rsidRDefault="00D43402" w:rsidP="00D43402">
      <w:pPr>
        <w:jc w:val="both"/>
        <w:rPr>
          <w:rFonts w:asciiTheme="minorHAnsi" w:eastAsia="LiberationSerif" w:hAnsiTheme="minorHAnsi"/>
          <w:sz w:val="22"/>
          <w:szCs w:val="22"/>
        </w:rPr>
      </w:pPr>
    </w:p>
    <w:p w14:paraId="2AE34582" w14:textId="77777777" w:rsidR="0087687F" w:rsidRPr="00D23A56" w:rsidRDefault="0087687F" w:rsidP="00D43402">
      <w:pPr>
        <w:spacing w:line="360" w:lineRule="auto"/>
        <w:jc w:val="both"/>
        <w:rPr>
          <w:sz w:val="22"/>
          <w:szCs w:val="22"/>
          <w:rFonts w:asciiTheme="minorHAnsi" w:eastAsia="LiberationSerif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B2.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In presenza di ansia persistente e grave che compromette la funzionalità, è opportuno iniziare il trattamento con SSRI (SNRI o pregabalin se SSRI è controindicato).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14:paraId="6BEE48B1" w14:textId="77777777" w:rsidR="0087687F" w:rsidRPr="00D23A56" w:rsidRDefault="0087687F" w:rsidP="00D43402">
      <w:pPr>
        <w:spacing w:before="100" w:beforeAutospacing="1" w:after="100" w:afterAutospacing="1" w:line="360" w:lineRule="auto"/>
        <w:contextualSpacing/>
        <w:jc w:val="both"/>
        <w:rPr>
          <w:bCs/>
          <w:i/>
          <w:color w:val="212121"/>
          <w:sz w:val="22"/>
          <w:szCs w:val="22"/>
          <w:shd w:val="clear" w:color="auto" w:fill="FFFFFF"/>
          <w:rFonts w:asciiTheme="minorHAnsi" w:hAnsiTheme="minorHAnsi"/>
        </w:rPr>
      </w:pPr>
      <w:r>
        <w:rPr>
          <w:bCs/>
          <w:i/>
          <w:color w:val="212121"/>
          <w:sz w:val="22"/>
          <w:szCs w:val="22"/>
          <w:shd w:val="clear" w:color="auto" w:fill="FFFFFF"/>
          <w:rFonts w:asciiTheme="minorHAnsi" w:hAnsiTheme="minorHAnsi"/>
        </w:rPr>
        <w:t xml:space="preserve">*Nei pazienti che non beneficiano o non tollerano gli SSRI nel trattamento dell'ansia, se non è presente depressione concomitante, può essere utilizzata la monoterapia con buspirone.</w:t>
      </w:r>
    </w:p>
    <w:p w14:paraId="41B5723A" w14:textId="77777777" w:rsidR="004613B7" w:rsidRDefault="004613B7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2E8512F8" w14:textId="14454D5C" w:rsidR="0087687F" w:rsidRPr="00D23A56" w:rsidRDefault="008A4F48" w:rsidP="0087687F">
      <w:pPr>
        <w:spacing w:before="100" w:beforeAutospacing="1" w:after="100" w:afterAutospacing="1" w:line="360" w:lineRule="auto"/>
        <w:contextualSpacing/>
        <w:jc w:val="both"/>
        <w:rPr>
          <w:b/>
          <w:color w:val="000000"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="Calibri" w:hAnsi="Calibri"/>
        </w:rPr>
        <w:t xml:space="preserve">#</w:t>
      </w:r>
      <w:r>
        <w:rPr>
          <w:b/>
          <w:sz w:val="22"/>
          <w:szCs w:val="22"/>
          <w:rFonts w:asciiTheme="minorHAnsi" w:hAnsiTheme="minorHAnsi"/>
        </w:rPr>
        <w:t xml:space="preserve">B3.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color w:val="000000"/>
          <w:rFonts w:asciiTheme="minorHAnsi" w:hAnsiTheme="minorHAnsi"/>
        </w:rPr>
        <w:t xml:space="preserve">È opportuno iniziare la terapia ChEi nella malattia di Alzheimer in stadio medio-precoce.</w:t>
      </w:r>
    </w:p>
    <w:p w14:paraId="42358A69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bCs/>
          <w:i/>
          <w:color w:val="000000"/>
          <w:sz w:val="22"/>
          <w:szCs w:val="22"/>
          <w:rFonts w:asciiTheme="minorHAnsi" w:hAnsiTheme="minorHAnsi"/>
        </w:rPr>
      </w:pP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*Ci sono prove per l'inizio della terapia ChEi nella malattia di Alzheimer.</w:t>
      </w:r>
    </w:p>
    <w:p w14:paraId="1B0BC194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bCs/>
          <w:i/>
          <w:color w:val="000000"/>
          <w:sz w:val="22"/>
          <w:szCs w:val="22"/>
          <w:rFonts w:asciiTheme="minorHAnsi" w:hAnsiTheme="minorHAnsi"/>
        </w:rPr>
      </w:pP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*Esistono prove per tutti e 3 gli inibitori della colinesterasi (donepezil, galantamina, rivastigmina) nella malattia di Alzheimer da precoce a moderata e approvato dalla FDA</w:t>
      </w:r>
    </w:p>
    <w:p w14:paraId="2D0DFFAB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bCs/>
          <w:i/>
          <w:color w:val="000000"/>
          <w:sz w:val="22"/>
          <w:szCs w:val="22"/>
          <w:rFonts w:asciiTheme="minorHAnsi" w:hAnsiTheme="minorHAnsi"/>
        </w:rPr>
      </w:pP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*Ci sono prove e l'approvazione della FDA per il donepezil nella malattia di Alzheimer avanzata.</w:t>
      </w:r>
    </w:p>
    <w:p w14:paraId="0D15FFBE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bCs/>
          <w:i/>
          <w:color w:val="000000"/>
          <w:sz w:val="22"/>
          <w:szCs w:val="22"/>
          <w:rFonts w:asciiTheme="minorHAnsi" w:hAnsiTheme="minorHAnsi"/>
        </w:rPr>
      </w:pP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*Ci sono prove e l'approvazione della FDA per l'inizio della rivastigmina nella demenza della malattia di Parkinson.</w:t>
      </w: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Ci sono studi che dimostrano che il donepezil può essere utile nella demenza della malattia di Parkinson.</w:t>
      </w:r>
    </w:p>
    <w:p w14:paraId="2000CD7A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bCs/>
          <w:i/>
          <w:color w:val="000000"/>
          <w:sz w:val="22"/>
          <w:szCs w:val="22"/>
          <w:rFonts w:asciiTheme="minorHAnsi" w:hAnsiTheme="minorHAnsi"/>
        </w:rPr>
      </w:pP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*Non ci sono prove definitive per l'uso di ChEi nella demenza a corpi di Lewy e nella demenza vascolare, ma il suo uso può essere raccomandato.</w:t>
      </w:r>
    </w:p>
    <w:p w14:paraId="59D796AA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bCs/>
          <w:i/>
          <w:color w:val="000000"/>
          <w:sz w:val="22"/>
          <w:szCs w:val="22"/>
          <w:rFonts w:asciiTheme="minorHAnsi" w:hAnsiTheme="minorHAnsi"/>
        </w:rPr>
      </w:pP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*Ci sono studi che dimostrano che donepezil e rivastigmina possono essere utili nella demenza a corpi di Lewy.</w:t>
      </w: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L'approvazione della FDA non è disponibile per nessuno dei ChEi nella demenza con corpi di Lewy</w:t>
      </w:r>
    </w:p>
    <w:p w14:paraId="3EBBCD54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bCs/>
          <w:i/>
          <w:color w:val="000000"/>
          <w:sz w:val="22"/>
          <w:szCs w:val="22"/>
          <w:rFonts w:asciiTheme="minorHAnsi" w:hAnsiTheme="minorHAnsi"/>
        </w:rPr>
      </w:pP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*Ci sono studi che dimostrano che gli inibitori della colinesterasi possono essere utili nella demenza vascolare.</w:t>
      </w: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L'approvazione della FDA nella demenza vascolare non è disponibile per nessuno dei loro ChEi.</w:t>
      </w:r>
    </w:p>
    <w:p w14:paraId="7EAB2522" w14:textId="77777777" w:rsidR="0087687F" w:rsidRPr="00D23A56" w:rsidRDefault="0087687F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6BC92B3" w14:textId="77777777" w:rsidR="0087687F" w:rsidRPr="00D23A56" w:rsidRDefault="0087687F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B548E8F" w14:textId="3DC096EB" w:rsidR="0087687F" w:rsidRPr="00D23A56" w:rsidRDefault="008A4F48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Cs/>
          <w:color w:val="000000"/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rFonts w:ascii="Calibri" w:hAnsi="Calibri"/>
        </w:rPr>
        <w:t xml:space="preserve">#</w:t>
      </w:r>
      <w:r>
        <w:rPr>
          <w:sz w:val="22"/>
          <w:szCs w:val="22"/>
          <w:b/>
          <w:color w:val="000000"/>
          <w:rFonts w:asciiTheme="minorHAnsi" w:hAnsiTheme="minorHAnsi"/>
        </w:rPr>
        <w:t xml:space="preserve">B4.</w:t>
      </w:r>
      <w:r>
        <w:rPr>
          <w:sz w:val="22"/>
          <w:szCs w:val="22"/>
          <w:b/>
          <w:color w:val="000000"/>
          <w:rFonts w:asciiTheme="minorHAnsi" w:hAnsiTheme="minorHAnsi"/>
        </w:rPr>
        <w:t xml:space="preserve"> </w:t>
      </w:r>
      <w:r>
        <w:rPr>
          <w:sz w:val="22"/>
          <w:szCs w:val="22"/>
          <w:b/>
          <w:color w:val="000000"/>
          <w:rFonts w:asciiTheme="minorHAnsi" w:hAnsiTheme="minorHAnsi"/>
        </w:rPr>
        <w:t xml:space="preserve">È opportuno iniziare la terapia con memantina nella malattia di Alzheimer nella fase intermedia e avanzata</w:t>
      </w:r>
      <w:r>
        <w:rPr>
          <w:sz w:val="22"/>
          <w:szCs w:val="22"/>
          <w:bCs/>
          <w:color w:val="000000"/>
          <w:rFonts w:asciiTheme="minorHAnsi" w:hAnsiTheme="minorHAnsi"/>
        </w:rPr>
        <w:t xml:space="preserve"> </w:t>
      </w:r>
    </w:p>
    <w:p w14:paraId="45EDB9E6" w14:textId="77777777"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Cs/>
          <w:color w:val="000000"/>
          <w:sz w:val="22"/>
          <w:szCs w:val="22"/>
          <w:rFonts w:asciiTheme="minorHAnsi" w:hAnsiTheme="minorHAnsi"/>
        </w:rPr>
      </w:pP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*La memantina può anche avere efficacia nella demenza vascolare.</w:t>
      </w:r>
    </w:p>
    <w:p w14:paraId="4C017E00" w14:textId="77777777" w:rsidR="0087687F" w:rsidRPr="00D23A56" w:rsidRDefault="0087687F" w:rsidP="00D43402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i/>
          <w:sz w:val="22"/>
          <w:szCs w:val="22"/>
          <w:rFonts w:asciiTheme="minorHAnsi" w:hAnsiTheme="minorHAnsi"/>
        </w:rPr>
      </w:pPr>
      <w:r>
        <w:rPr>
          <w:bCs/>
          <w:i/>
          <w:sz w:val="22"/>
          <w:szCs w:val="22"/>
          <w:rFonts w:asciiTheme="minorHAnsi" w:hAnsiTheme="minorHAnsi"/>
        </w:rPr>
        <w:t xml:space="preserve">*La memantina può essere utile nei sintomi comportamentali e psichiatrici della demenza (BPSD).</w:t>
      </w:r>
    </w:p>
    <w:p w14:paraId="704BB0D8" w14:textId="77777777" w:rsidR="0087687F" w:rsidRPr="00D23A56" w:rsidRDefault="0087687F" w:rsidP="00D434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671A19EB" w14:textId="77777777" w:rsidR="00D43402" w:rsidRDefault="00D43402" w:rsidP="00D43402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2"/>
          <w:szCs w:val="22"/>
        </w:rPr>
      </w:pPr>
    </w:p>
    <w:p w14:paraId="6F613C63" w14:textId="77777777" w:rsidR="00D23A56" w:rsidRPr="00D23A56" w:rsidRDefault="00D23A56" w:rsidP="00D43402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2"/>
          <w:szCs w:val="22"/>
        </w:rPr>
      </w:pPr>
    </w:p>
    <w:p w14:paraId="00569103" w14:textId="206A7836" w:rsidR="0087687F" w:rsidRPr="00D23A56" w:rsidRDefault="008A4F48" w:rsidP="00D43402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="Calibri" w:hAnsi="Calibri"/>
        </w:rPr>
        <w:t xml:space="preserve">#</w:t>
      </w:r>
      <w:r>
        <w:rPr>
          <w:b/>
          <w:sz w:val="22"/>
          <w:szCs w:val="22"/>
          <w:rFonts w:asciiTheme="minorHAnsi" w:hAnsiTheme="minorHAnsi"/>
        </w:rPr>
        <w:t xml:space="preserve">B5.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È opportuno iniziare la terapia con propranololo o pirimidone in pazienti con tremore essenziale che compromette la funzionalità.</w:t>
      </w:r>
    </w:p>
    <w:p w14:paraId="1405DB10" w14:textId="77777777" w:rsidR="0087687F" w:rsidRPr="00D23A56" w:rsidRDefault="0087687F" w:rsidP="00D43402">
      <w:pPr>
        <w:spacing w:line="360" w:lineRule="auto"/>
        <w:jc w:val="both"/>
        <w:rPr>
          <w:i/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*Il pirimidone non è approvato dalla FDA.</w:t>
      </w:r>
      <w:r>
        <w:rPr>
          <w:sz w:val="22"/>
          <w:szCs w:val="22"/>
          <w:i/>
          <w:rFonts w:asciiTheme="minorHAnsi" w:hAnsiTheme="minorHAnsi"/>
        </w:rPr>
        <w:t xml:space="preserve"> </w:t>
      </w:r>
    </w:p>
    <w:p w14:paraId="3FB1A66B" w14:textId="77777777" w:rsidR="0087687F" w:rsidRPr="00D23A56" w:rsidRDefault="0087687F" w:rsidP="00D43402">
      <w:pPr>
        <w:spacing w:line="360" w:lineRule="auto"/>
        <w:jc w:val="both"/>
        <w:rPr>
          <w:i/>
          <w:sz w:val="22"/>
          <w:szCs w:val="22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*Gli effetti collaterali del pirimidone (sedazione, vertigini e nausea) sono comuni.</w:t>
      </w:r>
      <w:r>
        <w:rPr>
          <w:i/>
          <w:sz w:val="22"/>
          <w:szCs w:val="22"/>
          <w:rFonts w:asciiTheme="minorHAnsi" w:hAnsiTheme="minorHAnsi"/>
        </w:rPr>
        <w:t xml:space="preserve"> </w:t>
      </w:r>
      <w:r>
        <w:rPr>
          <w:i/>
          <w:sz w:val="22"/>
          <w:szCs w:val="22"/>
          <w:rFonts w:asciiTheme="minorHAnsi" w:hAnsiTheme="minorHAnsi"/>
        </w:rPr>
        <w:t xml:space="preserve">Quando usato, deve essere iniziato con una dose bassa e aumentato lentamente.</w:t>
      </w:r>
    </w:p>
    <w:p w14:paraId="1D4A2228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712E900F" w14:textId="77777777" w:rsidR="0087687F" w:rsidRPr="00D23A56" w:rsidRDefault="0087687F" w:rsidP="00D43402">
      <w:pPr>
        <w:jc w:val="both"/>
        <w:rPr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B6.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In presenza di malattia di Parkinson idiopatica che causa disturbo funzionale (funzionale) e disabilità, è opportuno iniziare il trattamento con L-dopa.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14:paraId="225983E4" w14:textId="77777777" w:rsidR="00AF4C98" w:rsidRPr="00D23A56" w:rsidRDefault="00AF4C98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14:paraId="68C87009" w14:textId="77777777" w:rsidR="0087687F" w:rsidRPr="00D23A56" w:rsidRDefault="0087687F" w:rsidP="0087687F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</w:p>
    <w:p w14:paraId="6C7F062C" w14:textId="77777777" w:rsidR="00B4173A" w:rsidRPr="00D23A56" w:rsidRDefault="00B4173A" w:rsidP="0087687F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</w:p>
    <w:p w14:paraId="601CBE51" w14:textId="77777777" w:rsidR="0087687F" w:rsidRPr="00D23A56" w:rsidRDefault="0087687F" w:rsidP="00D43402">
      <w:pPr>
        <w:spacing w:line="360" w:lineRule="auto"/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B7.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Quando iniziano le fluttuazioni motorie on-off nei pazienti con Parkinson idiopatico, é opportuno aggiungere un inibitore MAO-B o un inibitore COMT alla terapia con L-dopa.</w:t>
      </w:r>
    </w:p>
    <w:p w14:paraId="397AED01" w14:textId="77777777" w:rsidR="00F33FC1" w:rsidRPr="00D23A56" w:rsidRDefault="00F33FC1" w:rsidP="00D434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3BE31887" w14:textId="77777777" w:rsidR="00F33FC1" w:rsidRPr="00D23A56" w:rsidRDefault="00F33FC1" w:rsidP="00D434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1230D2BB" w14:textId="77777777"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color w:val="000000"/>
          <w:sz w:val="22"/>
          <w:szCs w:val="22"/>
          <w:rFonts w:asciiTheme="minorHAnsi" w:hAnsiTheme="minorHAnsi"/>
        </w:rPr>
      </w:pPr>
      <w:r>
        <w:rPr>
          <w:b/>
          <w:color w:val="000000"/>
          <w:sz w:val="22"/>
          <w:szCs w:val="22"/>
          <w:rFonts w:asciiTheme="minorHAnsi" w:hAnsiTheme="minorHAnsi"/>
        </w:rPr>
        <w:t xml:space="preserve">B8.</w:t>
      </w:r>
      <w:r>
        <w:rPr>
          <w:b/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b/>
          <w:color w:val="000000"/>
          <w:sz w:val="22"/>
          <w:szCs w:val="22"/>
          <w:rFonts w:asciiTheme="minorHAnsi" w:hAnsiTheme="minorHAnsi"/>
        </w:rPr>
        <w:t xml:space="preserve">Se i sintomi influiscono negativamente sulla qualità della vita nei pazienti con sindrome delle gambe senza riposo nei quali sono state escluse la carenza di ferro e l'insufficienza renale cronica, é opportuno iniziare calcioantagonisti alfa-2-delta (pregabalin, gabapentin) o agonisti della dopamina (pramipexolo/ropinirolo/rotigotina).</w:t>
      </w:r>
      <w:r>
        <w:rPr>
          <w:b/>
          <w:color w:val="000000"/>
          <w:sz w:val="22"/>
          <w:szCs w:val="22"/>
          <w:rFonts w:asciiTheme="minorHAnsi" w:hAnsiTheme="minorHAnsi"/>
        </w:rPr>
        <w:t xml:space="preserve"> </w:t>
      </w:r>
    </w:p>
    <w:p w14:paraId="761101AF" w14:textId="77777777"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Cs/>
          <w:i/>
          <w:color w:val="000000"/>
          <w:sz w:val="22"/>
          <w:szCs w:val="22"/>
          <w:rFonts w:asciiTheme="minorHAnsi" w:hAnsiTheme="minorHAnsi"/>
        </w:rPr>
      </w:pP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*La terapia con L-dopa (50-200 mg) può essere appropriata, specialmente nei casi con sintomi intermittenti.</w:t>
      </w: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Può essere preferito anche nei casi sintomatici con insufficienza renale.</w:t>
      </w:r>
    </w:p>
    <w:p w14:paraId="79E60F3F" w14:textId="77777777" w:rsidR="004613B7" w:rsidRPr="00D23A56" w:rsidRDefault="004613B7" w:rsidP="00D43402">
      <w:pPr>
        <w:contextualSpacing/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01B07368" w14:textId="77777777" w:rsidR="0087687F" w:rsidRPr="00D23A56" w:rsidRDefault="0087687F" w:rsidP="00D43402">
      <w:pPr>
        <w:contextualSpacing/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69481546" w14:textId="77777777" w:rsidR="00F33FC1" w:rsidRPr="00D23A56" w:rsidRDefault="00F33FC1" w:rsidP="00D43402">
      <w:pPr>
        <w:contextualSpacing/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0D651CFD" w14:textId="77777777" w:rsidR="00F33FC1" w:rsidRPr="00D23A56" w:rsidRDefault="00F33FC1" w:rsidP="00D43402">
      <w:pPr>
        <w:spacing w:before="100" w:beforeAutospacing="1" w:after="100" w:afterAutospacing="1"/>
        <w:contextualSpacing/>
        <w:jc w:val="both"/>
        <w:rPr>
          <w:b/>
          <w:sz w:val="28"/>
          <w:szCs w:val="28"/>
          <w:rFonts w:asciiTheme="minorHAnsi" w:hAnsiTheme="minorHAnsi"/>
        </w:rPr>
      </w:pPr>
      <w:r>
        <w:rPr>
          <w:b/>
          <w:sz w:val="28"/>
          <w:szCs w:val="28"/>
          <w:rFonts w:asciiTheme="minorHAnsi" w:hAnsiTheme="minorHAnsi"/>
        </w:rPr>
        <w:t xml:space="preserve">C:</w:t>
      </w:r>
      <w:r>
        <w:rPr>
          <w:b/>
          <w:sz w:val="28"/>
          <w:szCs w:val="28"/>
          <w:rFonts w:asciiTheme="minorHAnsi" w:hAnsiTheme="minorHAnsi"/>
        </w:rPr>
        <w:t xml:space="preserve"> </w:t>
      </w:r>
      <w:r>
        <w:rPr>
          <w:b/>
          <w:sz w:val="28"/>
          <w:szCs w:val="28"/>
          <w:rFonts w:asciiTheme="minorHAnsi" w:hAnsiTheme="minorHAnsi"/>
        </w:rPr>
        <w:t xml:space="preserve">Criteri del sistema gastrointestinale.</w:t>
      </w:r>
      <w:r>
        <w:rPr>
          <w:b/>
          <w:sz w:val="28"/>
          <w:szCs w:val="28"/>
          <w:rFonts w:asciiTheme="minorHAnsi" w:hAnsiTheme="minorHAnsi"/>
        </w:rPr>
        <w:t xml:space="preserve"> </w:t>
      </w:r>
    </w:p>
    <w:p w14:paraId="7B15D85E" w14:textId="77777777" w:rsidR="00F33FC1" w:rsidRPr="00D23A56" w:rsidRDefault="00F33FC1" w:rsidP="00D43402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14:paraId="101A92C6" w14:textId="77777777" w:rsidR="0087687F" w:rsidRPr="00D23A56" w:rsidRDefault="0087687F" w:rsidP="00D43402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667D7CE2" w14:textId="77777777" w:rsidR="00D43402" w:rsidRPr="00D23A56" w:rsidRDefault="00D43402" w:rsidP="00D43402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72CEAD3" w14:textId="77777777" w:rsidR="0087687F" w:rsidRPr="00D23A56" w:rsidRDefault="0087687F" w:rsidP="00D43402">
      <w:pPr>
        <w:pStyle w:val="HTMLncedenBiimlendirilmi"/>
        <w:contextualSpacing/>
        <w:jc w:val="both"/>
        <w:rPr>
          <w:b/>
          <w:sz w:val="22"/>
          <w:szCs w:val="22"/>
          <w:rFonts w:asciiTheme="minorHAnsi" w:hAnsiTheme="minorHAnsi" w:cs="Times New Roman"/>
        </w:rPr>
      </w:pPr>
      <w:r>
        <w:rPr>
          <w:b/>
          <w:sz w:val="22"/>
          <w:szCs w:val="22"/>
          <w:rFonts w:asciiTheme="minorHAnsi" w:hAnsiTheme="minorHAnsi"/>
        </w:rPr>
        <w:t xml:space="preserve">C1.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Nei casi con costipazione sintomatica che non risponde ai cambiamenti dello stile di vita (dieta-esercizio),é opportuno iniziare un integratore di fibre (psillio, metilcellulosa, polycarbophil, destrina di frumento) o polietilenglicole dopo aver escluso il tappo fecale.</w:t>
      </w:r>
    </w:p>
    <w:p w14:paraId="144D6251" w14:textId="77777777" w:rsidR="0087687F" w:rsidRPr="00D23A56" w:rsidRDefault="0087687F" w:rsidP="0087687F">
      <w:pPr>
        <w:tabs>
          <w:tab w:val="center" w:pos="4536"/>
        </w:tabs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14:paraId="77C1752B" w14:textId="77777777" w:rsidR="0087687F" w:rsidRPr="00D23A56" w:rsidRDefault="0087687F" w:rsidP="0087687F">
      <w:pPr>
        <w:tabs>
          <w:tab w:val="center" w:pos="4536"/>
        </w:tabs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14:paraId="53B8F838" w14:textId="77777777" w:rsidR="00F33FC1" w:rsidRPr="00D23A56" w:rsidRDefault="00F33FC1" w:rsidP="0087687F">
      <w:pPr>
        <w:tabs>
          <w:tab w:val="center" w:pos="4536"/>
        </w:tabs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14:paraId="7A175116" w14:textId="77777777" w:rsidR="00F33FC1" w:rsidRPr="00D23A56" w:rsidRDefault="00F33FC1" w:rsidP="009B6E20">
      <w:pPr>
        <w:contextualSpacing/>
        <w:jc w:val="both"/>
        <w:rPr>
          <w:b/>
          <w:sz w:val="28"/>
          <w:szCs w:val="28"/>
          <w:rFonts w:asciiTheme="minorHAnsi" w:hAnsiTheme="minorHAnsi"/>
        </w:rPr>
      </w:pPr>
      <w:r>
        <w:rPr>
          <w:b/>
          <w:sz w:val="28"/>
          <w:szCs w:val="28"/>
          <w:rFonts w:asciiTheme="minorHAnsi" w:hAnsiTheme="minorHAnsi"/>
        </w:rPr>
        <w:t xml:space="preserve">D:</w:t>
      </w:r>
      <w:r>
        <w:rPr>
          <w:b/>
          <w:sz w:val="28"/>
          <w:szCs w:val="28"/>
          <w:rFonts w:asciiTheme="minorHAnsi" w:hAnsiTheme="minorHAnsi"/>
        </w:rPr>
        <w:t xml:space="preserve"> </w:t>
      </w:r>
      <w:r>
        <w:rPr>
          <w:b/>
          <w:sz w:val="28"/>
          <w:szCs w:val="28"/>
          <w:rFonts w:asciiTheme="minorHAnsi" w:hAnsiTheme="minorHAnsi"/>
        </w:rPr>
        <w:t xml:space="preserve">Criteri dell'apparato respiratorio.</w:t>
      </w:r>
    </w:p>
    <w:p w14:paraId="6B8EA38A" w14:textId="77777777" w:rsidR="00F33FC1" w:rsidRPr="00D23A56" w:rsidRDefault="00F33FC1" w:rsidP="009B6E20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A24CA5C" w14:textId="77777777" w:rsidR="00F33FC1" w:rsidRPr="00D23A56" w:rsidRDefault="00F33FC1" w:rsidP="009B6E20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074148C" w14:textId="77777777" w:rsidR="009B6E20" w:rsidRPr="00D23A56" w:rsidRDefault="009B6E20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104512A2" w14:textId="77777777" w:rsidR="0087687F" w:rsidRPr="00D23A56" w:rsidRDefault="0087687F" w:rsidP="009B6E20">
      <w:pPr>
        <w:spacing w:before="100" w:beforeAutospacing="1" w:after="100" w:afterAutospacing="1"/>
        <w:contextualSpacing/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D1.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È opportuno iniziare regolarmente una terapia beta2 agonista per via inalatoria o una terapia anticolinergica in pazienti con asma o BPCO (Broncopneumopatia Cronica Ostruttiva)da lieve a moderata.</w:t>
      </w:r>
    </w:p>
    <w:p w14:paraId="44E8872D" w14:textId="77777777" w:rsidR="00F33FC1" w:rsidRPr="00D23A56" w:rsidRDefault="00F33FC1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  <w:lang w:eastAsia="en-GB"/>
        </w:rPr>
      </w:pPr>
    </w:p>
    <w:p w14:paraId="45BB95A6" w14:textId="77777777" w:rsidR="00787C15" w:rsidRPr="00D23A56" w:rsidRDefault="00787C15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4868D3BA" w14:textId="77777777" w:rsidR="0087687F" w:rsidRPr="00D23A56" w:rsidRDefault="0087687F" w:rsidP="009B6E20">
      <w:pPr>
        <w:spacing w:before="100" w:beforeAutospacing="1" w:after="100" w:afterAutospacing="1"/>
        <w:contextualSpacing/>
        <w:jc w:val="both"/>
        <w:rPr>
          <w:b/>
          <w:color w:val="212121"/>
          <w:sz w:val="22"/>
          <w:szCs w:val="22"/>
          <w:shd w:val="clear" w:color="auto" w:fill="FFFFFF"/>
          <w:rFonts w:asciiTheme="minorHAnsi" w:hAnsiTheme="minorHAnsi"/>
        </w:rPr>
      </w:pPr>
      <w:r>
        <w:rPr>
          <w:b/>
          <w:color w:val="212121"/>
          <w:sz w:val="22"/>
          <w:szCs w:val="22"/>
          <w:shd w:val="clear" w:color="auto" w:fill="FFFFFF"/>
          <w:rFonts w:asciiTheme="minorHAnsi" w:hAnsiTheme="minorHAnsi"/>
        </w:rPr>
        <w:t xml:space="preserve">D2.</w:t>
      </w:r>
      <w:r>
        <w:rPr>
          <w:b/>
          <w:color w:val="212121"/>
          <w:sz w:val="22"/>
          <w:szCs w:val="22"/>
          <w:shd w:val="clear" w:color="auto" w:fill="FFFFFF"/>
          <w:rFonts w:asciiTheme="minorHAnsi" w:hAnsiTheme="minorHAnsi"/>
        </w:rPr>
        <w:t xml:space="preserve"> </w:t>
      </w:r>
      <w:r>
        <w:rPr>
          <w:b/>
          <w:color w:val="212121"/>
          <w:sz w:val="22"/>
          <w:szCs w:val="22"/>
          <w:shd w:val="clear" w:color="auto" w:fill="FFFFFF"/>
          <w:rFonts w:asciiTheme="minorHAnsi" w:hAnsiTheme="minorHAnsi"/>
        </w:rPr>
        <w:t xml:space="preserve">È appropriato iniziare una terapia regolare con corticosteroidi per via inalatoria nei pazienti con asma da moderata a grave o BPCO con un FEV1 &lt; 50% e riacutizzazioni ricorrenti che richiedono una terapia con steroidi per via orale.</w:t>
      </w:r>
    </w:p>
    <w:p w14:paraId="4D0D911D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C84F64E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3E9CFF9" w14:textId="77777777" w:rsidR="009B6E20" w:rsidRPr="00D23A56" w:rsidRDefault="0087687F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D3.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È opportuno iniziare l'ossigenoterapia continua domiciliare nei pazienti con ipossiemia cronica (pO2&lt;= 55 mmHg o SO2&lt;= 88%)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14:paraId="2BDC61CB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17EEDEF" w14:textId="77777777" w:rsidR="0087687F" w:rsidRPr="00D23A56" w:rsidRDefault="0087687F" w:rsidP="0087687F">
      <w:pPr>
        <w:jc w:val="both"/>
        <w:rPr>
          <w:rFonts w:asciiTheme="minorHAnsi" w:hAnsiTheme="minorHAnsi"/>
          <w:sz w:val="22"/>
          <w:szCs w:val="22"/>
        </w:rPr>
      </w:pPr>
    </w:p>
    <w:p w14:paraId="5D7AD01A" w14:textId="77777777" w:rsidR="00851AFB" w:rsidRPr="00D23A56" w:rsidRDefault="00851AFB" w:rsidP="0087687F">
      <w:pPr>
        <w:jc w:val="both"/>
        <w:rPr>
          <w:rFonts w:asciiTheme="minorHAnsi" w:hAnsiTheme="minorHAnsi"/>
          <w:sz w:val="22"/>
          <w:szCs w:val="22"/>
        </w:rPr>
      </w:pPr>
    </w:p>
    <w:p w14:paraId="4B8E4CF6" w14:textId="77777777" w:rsidR="00851AFB" w:rsidRPr="00D23A56" w:rsidRDefault="00851AFB" w:rsidP="0087687F">
      <w:pPr>
        <w:jc w:val="both"/>
        <w:rPr>
          <w:rFonts w:asciiTheme="minorHAnsi" w:hAnsiTheme="minorHAnsi"/>
          <w:sz w:val="22"/>
          <w:szCs w:val="22"/>
        </w:rPr>
      </w:pPr>
    </w:p>
    <w:p w14:paraId="2D2B5934" w14:textId="77777777" w:rsidR="00851AFB" w:rsidRPr="00D23A56" w:rsidRDefault="00851AFB" w:rsidP="009B6E20">
      <w:pPr>
        <w:contextualSpacing/>
        <w:jc w:val="both"/>
        <w:rPr>
          <w:b/>
          <w:sz w:val="28"/>
          <w:szCs w:val="28"/>
          <w:rFonts w:asciiTheme="minorHAnsi" w:hAnsiTheme="minorHAnsi"/>
        </w:rPr>
      </w:pPr>
      <w:r>
        <w:rPr>
          <w:b/>
          <w:sz w:val="28"/>
          <w:szCs w:val="28"/>
          <w:rFonts w:asciiTheme="minorHAnsi" w:hAnsiTheme="minorHAnsi"/>
        </w:rPr>
        <w:t xml:space="preserve">E:</w:t>
      </w:r>
      <w:r>
        <w:rPr>
          <w:b/>
          <w:sz w:val="28"/>
          <w:szCs w:val="28"/>
          <w:rFonts w:asciiTheme="minorHAnsi" w:hAnsiTheme="minorHAnsi"/>
        </w:rPr>
        <w:t xml:space="preserve"> </w:t>
      </w:r>
      <w:r>
        <w:rPr>
          <w:b/>
          <w:sz w:val="28"/>
          <w:szCs w:val="28"/>
          <w:rFonts w:asciiTheme="minorHAnsi" w:hAnsiTheme="minorHAnsi"/>
        </w:rPr>
        <w:t xml:space="preserve">Criteri dell'apparato locomotore e farmaci analgesici.</w:t>
      </w:r>
    </w:p>
    <w:p w14:paraId="7309DF94" w14:textId="77777777" w:rsidR="00851AFB" w:rsidRPr="00D23A56" w:rsidRDefault="00851AFB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CD319BD" w14:textId="77777777" w:rsidR="00851AFB" w:rsidRPr="00D23A56" w:rsidRDefault="00851AFB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298F53EF" w14:textId="77777777" w:rsidR="009B6E20" w:rsidRPr="00D23A56" w:rsidRDefault="009B6E20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A93BD5B" w14:textId="2F9263FE" w:rsidR="009B6E20" w:rsidRPr="00D23A56" w:rsidRDefault="008A4F48" w:rsidP="009B6E20">
      <w:pPr>
        <w:spacing w:before="100" w:beforeAutospacing="1" w:after="100" w:afterAutospacing="1" w:line="360" w:lineRule="auto"/>
        <w:contextualSpacing/>
        <w:jc w:val="both"/>
        <w:rPr>
          <w:b/>
          <w:color w:val="000000"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="Calibri" w:hAnsi="Calibri"/>
        </w:rPr>
        <w:t xml:space="preserve">#</w:t>
      </w:r>
      <w:r>
        <w:rPr>
          <w:b/>
          <w:sz w:val="22"/>
          <w:szCs w:val="22"/>
          <w:color w:val="000000"/>
          <w:rFonts w:asciiTheme="minorHAnsi" w:hAnsiTheme="minorHAnsi"/>
        </w:rPr>
        <w:t xml:space="preserve">E1.</w:t>
      </w:r>
      <w:r>
        <w:rPr>
          <w:b/>
          <w:sz w:val="22"/>
          <w:szCs w:val="22"/>
          <w:color w:val="000000"/>
          <w:rFonts w:asciiTheme="minorHAnsi" w:hAnsiTheme="minorHAnsi"/>
        </w:rPr>
        <w:t xml:space="preserve"> </w:t>
      </w:r>
      <w:r>
        <w:rPr>
          <w:b/>
          <w:sz w:val="22"/>
          <w:szCs w:val="22"/>
          <w:color w:val="000000"/>
          <w:rFonts w:asciiTheme="minorHAnsi" w:hAnsiTheme="minorHAnsi"/>
        </w:rPr>
        <w:t xml:space="preserve">È opportuno iniziare una terapia sostitutiva nei pazienti con assunzione giornaliera di vitamina D nella dieta &lt;800-1000 UI o assunzione di calcio elementare &lt;1000-1200 mg.</w:t>
      </w:r>
    </w:p>
    <w:p w14:paraId="10D43B7B" w14:textId="77777777" w:rsidR="009B6E20" w:rsidRPr="00D23A56" w:rsidRDefault="009B6E20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31F38A20" w14:textId="77777777" w:rsidR="009B6E20" w:rsidRPr="00D23A56" w:rsidRDefault="009B6E20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706B9C1" w14:textId="77777777" w:rsidR="009B6E20" w:rsidRPr="00D23A56" w:rsidRDefault="009B6E20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8110093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b/>
          <w:color w:val="000000" w:themeColor="text1"/>
          <w:sz w:val="22"/>
          <w:szCs w:val="22"/>
          <w:rFonts w:asciiTheme="minorHAnsi" w:hAnsiTheme="minorHAnsi"/>
        </w:rPr>
      </w:pPr>
      <w:r>
        <w:rPr>
          <w:b/>
          <w:color w:val="000000" w:themeColor="text1"/>
          <w:sz w:val="22"/>
          <w:szCs w:val="22"/>
          <w:rFonts w:asciiTheme="minorHAnsi" w:hAnsiTheme="minorHAnsi"/>
        </w:rPr>
        <w:t xml:space="preserve">E2.</w:t>
      </w:r>
      <w:r>
        <w:rPr>
          <w:b/>
          <w:color w:val="000000" w:themeColor="text1"/>
          <w:sz w:val="22"/>
          <w:szCs w:val="22"/>
          <w:rFonts w:asciiTheme="minorHAnsi" w:hAnsiTheme="minorHAnsi"/>
        </w:rPr>
        <w:t xml:space="preserve"> </w:t>
      </w:r>
      <w:r>
        <w:rPr>
          <w:b/>
          <w:color w:val="000000" w:themeColor="text1"/>
          <w:sz w:val="22"/>
          <w:szCs w:val="22"/>
          <w:rFonts w:asciiTheme="minorHAnsi" w:hAnsiTheme="minorHAnsi"/>
        </w:rPr>
        <w:t xml:space="preserve">È opportuno iniziare un anti-riassorbimento (bifosfonato, denosumab) o un agente anabolizzante (analogo del paratormone) in pazienti con osteoporosi documentata con frattura da fragilità e/o punteggio T di densitometria minerale ossea (femore totale, collo femorale o lombare &lt; -2,5)</w:t>
      </w:r>
      <w:r>
        <w:rPr>
          <w:b/>
          <w:color w:val="000000" w:themeColor="text1"/>
          <w:sz w:val="22"/>
          <w:szCs w:val="22"/>
          <w:rFonts w:asciiTheme="minorHAnsi" w:hAnsiTheme="minorHAnsi"/>
        </w:rPr>
        <w:t xml:space="preserve">  </w:t>
      </w:r>
    </w:p>
    <w:p w14:paraId="57E27822" w14:textId="09E3DEFF" w:rsidR="009B6E20" w:rsidRPr="004613B7" w:rsidRDefault="0087687F" w:rsidP="004613B7">
      <w:pPr>
        <w:spacing w:before="100" w:beforeAutospacing="1" w:after="100" w:afterAutospacing="1" w:line="360" w:lineRule="auto"/>
        <w:contextualSpacing/>
        <w:jc w:val="both"/>
        <w:rPr>
          <w:i/>
          <w:iCs/>
          <w:color w:val="222222"/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* Il trattamento dovrebbe includere anche un'adeguata assunzione di vitamina D e calcio elementare.</w:t>
      </w:r>
    </w:p>
    <w:p w14:paraId="26278BF4" w14:textId="77777777" w:rsidR="009B6E20" w:rsidRPr="00D23A56" w:rsidRDefault="009B6E20" w:rsidP="009B6E20">
      <w:pPr>
        <w:pStyle w:val="HTMLncedenBiimlendirilmi"/>
        <w:contextualSpacing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5630D878" w14:textId="77777777" w:rsidR="0087687F" w:rsidRPr="00D23A56" w:rsidRDefault="0087687F" w:rsidP="009B6E20">
      <w:pPr>
        <w:pStyle w:val="HTMLncedenBiimlendirilmi"/>
        <w:spacing w:line="360" w:lineRule="auto"/>
        <w:contextualSpacing/>
        <w:jc w:val="both"/>
        <w:rPr>
          <w:rStyle w:val="nowrap"/>
          <w:b/>
          <w:sz w:val="22"/>
          <w:szCs w:val="22"/>
          <w:rFonts w:asciiTheme="minorHAnsi" w:hAnsiTheme="minorHAnsi" w:cs="Times New Roman"/>
        </w:rPr>
      </w:pPr>
      <w:r>
        <w:rPr>
          <w:sz w:val="22"/>
          <w:szCs w:val="22"/>
          <w:b/>
          <w:rFonts w:asciiTheme="minorHAnsi" w:hAnsiTheme="minorHAnsi"/>
        </w:rPr>
        <w:t xml:space="preserve">E3.</w:t>
      </w:r>
      <w:r>
        <w:rPr>
          <w:sz w:val="22"/>
          <w:szCs w:val="22"/>
          <w:b/>
          <w:rFonts w:asciiTheme="minorHAnsi" w:hAnsiTheme="minorHAnsi"/>
        </w:rPr>
        <w:t xml:space="preserve"> </w:t>
      </w:r>
      <w:r>
        <w:rPr>
          <w:sz w:val="22"/>
          <w:szCs w:val="22"/>
          <w:b/>
          <w:rFonts w:asciiTheme="minorHAnsi" w:hAnsiTheme="minorHAnsi"/>
        </w:rPr>
        <w:t xml:space="preserve">Nei pazienti che iniziano una terapia con corticosteroidi sistemici a lungo termine (durata prevista ≥3 mesi):</w:t>
      </w:r>
      <w:r>
        <w:rPr>
          <w:sz w:val="22"/>
          <w:szCs w:val="22"/>
          <w:b/>
          <w:shd w:val="clear" w:color="auto" w:fill="FFFFFF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i) Coloro che riceveranno prednisolone ≥7,5 mg/die o terapia steroidea equivalente, ii) Se il punteggio T è &lt; -1, è opportuno iniziare la terapia con bifosfonati in tutti i pazienti che riceveranno una terapia steroidea dose-indipendente.</w:t>
      </w:r>
    </w:p>
    <w:p w14:paraId="2AED62B7" w14:textId="77777777" w:rsidR="0096528C" w:rsidRDefault="0096528C" w:rsidP="009B6E20">
      <w:pPr>
        <w:pStyle w:val="HTMLncedenBiimlendirilmi"/>
        <w:spacing w:line="360" w:lineRule="auto"/>
        <w:contextualSpacing/>
        <w:jc w:val="both"/>
        <w:rPr>
          <w:rStyle w:val="nowrap"/>
          <w:bCs/>
          <w:i/>
          <w:iCs/>
          <w:sz w:val="22"/>
          <w:szCs w:val="22"/>
          <w:rFonts w:asciiTheme="minorHAnsi" w:hAnsiTheme="minorHAnsi" w:cs="Times New Roman"/>
        </w:rPr>
      </w:pPr>
      <w:r>
        <w:rPr>
          <w:rStyle w:val="nowrap"/>
          <w:bCs/>
          <w:i/>
          <w:iCs/>
          <w:sz w:val="22"/>
          <w:szCs w:val="22"/>
          <w:rFonts w:asciiTheme="minorHAnsi" w:hAnsiTheme="minorHAnsi"/>
        </w:rPr>
        <w:t xml:space="preserve">*Nei casi di età &gt;=70 anni, può essere appropriato iniziare il trattamento con bifosfonati in tutti i pazienti che riceveranno una terapia steroidea a lungo termine (&gt;3 mesi) indipendente dalla dose.</w:t>
      </w:r>
      <w:r>
        <w:rPr>
          <w:rStyle w:val="nowrap"/>
          <w:bCs/>
          <w:i/>
          <w:iCs/>
          <w:sz w:val="22"/>
          <w:szCs w:val="22"/>
          <w:rFonts w:asciiTheme="minorHAnsi" w:hAnsiTheme="minorHAnsi"/>
        </w:rPr>
        <w:t xml:space="preserve"> </w:t>
      </w:r>
    </w:p>
    <w:p w14:paraId="6FF0C844" w14:textId="77777777" w:rsidR="0096528C" w:rsidRPr="00AE7765" w:rsidRDefault="00AE7765" w:rsidP="00AE7765">
      <w:pPr>
        <w:pStyle w:val="HTMLncedenBiimlendirilmi"/>
        <w:spacing w:line="360" w:lineRule="auto"/>
        <w:contextualSpacing/>
        <w:jc w:val="both"/>
        <w:rPr>
          <w:bCs/>
          <w:i/>
          <w:iCs/>
          <w:sz w:val="22"/>
          <w:szCs w:val="22"/>
          <w:rFonts w:asciiTheme="minorHAnsi" w:hAnsiTheme="minorHAnsi" w:cs="Times New Roman"/>
        </w:rPr>
      </w:pPr>
      <w:r>
        <w:rPr>
          <w:rStyle w:val="nowrap"/>
          <w:bCs/>
          <w:i/>
          <w:iCs/>
          <w:sz w:val="22"/>
          <w:szCs w:val="22"/>
          <w:rFonts w:asciiTheme="minorHAnsi" w:hAnsiTheme="minorHAnsi"/>
        </w:rPr>
        <w:t xml:space="preserve">*Il trattamento dovrebbe includere anche un'adeguata assunzione di vitamina D e calcio essenziale.</w:t>
      </w:r>
      <w:r>
        <w:rPr>
          <w:rStyle w:val="nowrap"/>
          <w:bCs/>
          <w:i/>
          <w:iCs/>
          <w:sz w:val="22"/>
          <w:szCs w:val="22"/>
          <w:rFonts w:asciiTheme="minorHAnsi" w:hAnsiTheme="minorHAnsi"/>
        </w:rPr>
        <w:t xml:space="preserve"> </w:t>
      </w:r>
    </w:p>
    <w:p w14:paraId="033FC4FB" w14:textId="77777777" w:rsidR="009B6E20" w:rsidRPr="00D23A56" w:rsidRDefault="009B6E20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14:paraId="166D5A25" w14:textId="77777777" w:rsidR="009B6E20" w:rsidRPr="00D23A56" w:rsidRDefault="009B6E20" w:rsidP="0087687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C280405" w14:textId="1CE4EFD8" w:rsidR="0087687F" w:rsidRPr="00D23A56" w:rsidRDefault="0087687F" w:rsidP="0087687F">
      <w:pPr>
        <w:spacing w:line="360" w:lineRule="auto"/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E4.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È opportuno iniziare una terapia antiriassorbimento a lunga durata d'azione dopo l'interruzione di almeno due dosi di denosumab (aumento del rischio di BTM di rimbalzo, perdita di BMD e frattura vertebrale dopo l'interruzione di denosumab)</w:t>
      </w:r>
    </w:p>
    <w:p w14:paraId="262F3811" w14:textId="77777777" w:rsidR="0087687F" w:rsidRPr="00D23A56" w:rsidRDefault="0087687F" w:rsidP="0087687F">
      <w:pPr>
        <w:spacing w:line="360" w:lineRule="auto"/>
        <w:jc w:val="both"/>
        <w:rPr>
          <w:bCs/>
          <w:i/>
          <w:iCs/>
          <w:sz w:val="22"/>
          <w:szCs w:val="22"/>
          <w:rFonts w:asciiTheme="minorHAnsi" w:hAnsiTheme="minorHAnsi"/>
        </w:rPr>
      </w:pPr>
      <w:r>
        <w:rPr>
          <w:bCs/>
          <w:i/>
          <w:iCs/>
          <w:sz w:val="22"/>
          <w:szCs w:val="22"/>
          <w:rFonts w:asciiTheme="minorHAnsi" w:hAnsiTheme="minorHAnsi"/>
        </w:rPr>
        <w:t xml:space="preserve">* L'effetto rebound è più pronunciato nei pazienti il ​​cui trattamento con denosumab è stato interrotto dopo due dosi.</w:t>
      </w:r>
      <w:r>
        <w:rPr>
          <w:bCs/>
          <w:i/>
          <w:iCs/>
          <w:sz w:val="22"/>
          <w:szCs w:val="22"/>
          <w:rFonts w:asciiTheme="minorHAnsi" w:hAnsiTheme="minorHAnsi"/>
        </w:rPr>
        <w:t xml:space="preserve"> </w:t>
      </w:r>
    </w:p>
    <w:p w14:paraId="0212F7FC" w14:textId="77777777" w:rsidR="009B6E20" w:rsidRPr="00D23A56" w:rsidRDefault="009B6E20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14:paraId="2CC036D2" w14:textId="77777777" w:rsidR="009B6E20" w:rsidRPr="00D23A56" w:rsidRDefault="009B6E20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14:paraId="6503D993" w14:textId="43362B23" w:rsidR="0087687F" w:rsidRPr="00D23A56" w:rsidRDefault="008A4F48" w:rsidP="0087687F">
      <w:pPr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</w:rPr>
        <w:t xml:space="preserve">#E5. È opportuno iniziare la terapia antiriassorbitiva dopo la terapia con teriparatide.</w:t>
      </w:r>
    </w:p>
    <w:p w14:paraId="5FBED197" w14:textId="77777777" w:rsidR="0087687F" w:rsidRPr="00D23A56" w:rsidRDefault="0087687F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14:paraId="306D1B00" w14:textId="77777777" w:rsidR="009B6E20" w:rsidRPr="00D23A56" w:rsidRDefault="009B6E20" w:rsidP="009B6E20">
      <w:pPr>
        <w:jc w:val="both"/>
        <w:rPr>
          <w:rFonts w:asciiTheme="minorHAnsi" w:hAnsiTheme="minorHAnsi"/>
          <w:b/>
          <w:sz w:val="22"/>
          <w:szCs w:val="22"/>
        </w:rPr>
      </w:pPr>
    </w:p>
    <w:p w14:paraId="64B19941" w14:textId="77777777" w:rsidR="009B6E20" w:rsidRPr="00D23A56" w:rsidRDefault="009B6E20" w:rsidP="009B6E20">
      <w:pPr>
        <w:jc w:val="both"/>
        <w:rPr>
          <w:rFonts w:asciiTheme="minorHAnsi" w:hAnsiTheme="minorHAnsi"/>
          <w:b/>
          <w:sz w:val="22"/>
          <w:szCs w:val="22"/>
        </w:rPr>
      </w:pPr>
    </w:p>
    <w:p w14:paraId="0C512CAE" w14:textId="77777777" w:rsidR="0087687F" w:rsidRPr="00D23A56" w:rsidRDefault="0087687F" w:rsidP="009B6E20">
      <w:pPr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E6.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In presenza di malattia reumatologica cronica attiva, è opportuno iniziare una terapia modificante la malattia.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14:paraId="212BCF6D" w14:textId="77777777" w:rsidR="0087687F" w:rsidRPr="00D23A56" w:rsidRDefault="0087687F" w:rsidP="0087687F">
      <w:pPr>
        <w:jc w:val="both"/>
        <w:rPr>
          <w:rFonts w:asciiTheme="minorHAnsi" w:hAnsiTheme="minorHAnsi"/>
          <w:sz w:val="22"/>
          <w:szCs w:val="22"/>
        </w:rPr>
      </w:pPr>
    </w:p>
    <w:p w14:paraId="187FA5B2" w14:textId="77777777" w:rsidR="0087687F" w:rsidRPr="00D23A56" w:rsidRDefault="0087687F" w:rsidP="0087687F">
      <w:p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</w:p>
    <w:p w14:paraId="74044AC5" w14:textId="77777777" w:rsidR="00A67324" w:rsidRPr="00D23A56" w:rsidRDefault="00A67324" w:rsidP="0087687F">
      <w:p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</w:p>
    <w:p w14:paraId="63B54EBE" w14:textId="77777777" w:rsidR="0096528C" w:rsidRPr="00D23A56" w:rsidRDefault="0087687F" w:rsidP="0096528C">
      <w:pPr>
        <w:spacing w:before="100" w:beforeAutospacing="1" w:after="100" w:afterAutospacing="1"/>
        <w:contextualSpacing/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E7.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È opportuno iniziare la supplementazione di acido folico nei pazienti che assumono metotrexato.</w:t>
      </w:r>
      <w:r>
        <w:rPr>
          <w:b/>
          <w:sz w:val="22"/>
          <w:szCs w:val="22"/>
          <w:rFonts w:asciiTheme="minorHAnsi" w:hAnsiTheme="minorHAnsi"/>
        </w:rPr>
        <w:t xml:space="preserve">  </w:t>
      </w:r>
    </w:p>
    <w:p w14:paraId="3D9AAD82" w14:textId="77777777" w:rsidR="0096528C" w:rsidRPr="00D23A56" w:rsidRDefault="0096528C" w:rsidP="0096528C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29A90A24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14:paraId="54F6D215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14:paraId="37FD3780" w14:textId="32C8C427" w:rsidR="009B6E20" w:rsidRDefault="0087687F" w:rsidP="00461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E8.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È opportuno iniziare un inibitore della xantina ossidasi (principalmente allopurinolo) in pazienti con attacchi di gotta ricorrenti.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14:paraId="5B19E196" w14:textId="77777777" w:rsidR="004613B7" w:rsidRPr="00D23A56" w:rsidRDefault="004613B7" w:rsidP="00461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14:paraId="0846FE06" w14:textId="77777777" w:rsidR="009B6E20" w:rsidRPr="00D23A56" w:rsidRDefault="009B6E20" w:rsidP="008768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E064A3B" w14:textId="373D36E5" w:rsidR="009B6E20" w:rsidRDefault="0087687F" w:rsidP="004613B7">
      <w:pPr>
        <w:spacing w:line="360" w:lineRule="auto"/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E9.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Nei casi in cui altri analgesici (paracetamolo, FANS o oppioidi lievi) non sono sufficienti nel trattamento del dolore da moderato a severo, è opportuno iniziare una terapia con oppioidi ad azione forte.</w:t>
      </w:r>
    </w:p>
    <w:p w14:paraId="426FCDAD" w14:textId="77777777" w:rsidR="004613B7" w:rsidRPr="004613B7" w:rsidRDefault="004613B7" w:rsidP="004613B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25ABC2F" w14:textId="77777777" w:rsidR="009B6E20" w:rsidRPr="00D23A56" w:rsidRDefault="009B6E20" w:rsidP="009B6E20">
      <w:pPr>
        <w:jc w:val="both"/>
        <w:rPr>
          <w:rFonts w:asciiTheme="minorHAnsi" w:hAnsiTheme="minorHAnsi"/>
          <w:sz w:val="22"/>
          <w:szCs w:val="22"/>
        </w:rPr>
      </w:pPr>
    </w:p>
    <w:p w14:paraId="7DF22F90" w14:textId="77777777" w:rsidR="0087687F" w:rsidRPr="00D23A56" w:rsidRDefault="0087687F" w:rsidP="009B6E20">
      <w:pPr>
        <w:jc w:val="both"/>
        <w:rPr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E10.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Nei pazienti con dolore cronico e che utilizzano oppioidi a lunga durata d'azione, in presenza di dolore da perdita (dolore episodico intenso: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dolore intenso intermittente) è opportuno aggiungere al trattamento oppioidi a breve durata d'azione (rischio di dolore intenso incontrollabile)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14:paraId="4F179502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7A546C50" w14:textId="77777777" w:rsidR="009B6E20" w:rsidRPr="00D23A56" w:rsidRDefault="009B6E20" w:rsidP="0087687F">
      <w:pPr>
        <w:jc w:val="both"/>
        <w:rPr>
          <w:rFonts w:asciiTheme="minorHAnsi" w:hAnsiTheme="minorHAnsi"/>
          <w:sz w:val="22"/>
          <w:szCs w:val="22"/>
        </w:rPr>
      </w:pPr>
    </w:p>
    <w:p w14:paraId="13CC3DFD" w14:textId="77777777" w:rsidR="009B6E20" w:rsidRPr="00D23A56" w:rsidRDefault="009B6E20" w:rsidP="0087687F">
      <w:pPr>
        <w:jc w:val="both"/>
        <w:rPr>
          <w:rFonts w:asciiTheme="minorHAnsi" w:hAnsiTheme="minorHAnsi"/>
          <w:sz w:val="22"/>
          <w:szCs w:val="22"/>
        </w:rPr>
      </w:pPr>
    </w:p>
    <w:p w14:paraId="1D72CF61" w14:textId="77777777" w:rsidR="009B6E20" w:rsidRPr="00D23A56" w:rsidRDefault="009B6E20" w:rsidP="0087687F">
      <w:pPr>
        <w:jc w:val="both"/>
        <w:rPr>
          <w:rFonts w:asciiTheme="minorHAnsi" w:hAnsiTheme="minorHAnsi"/>
          <w:sz w:val="22"/>
          <w:szCs w:val="22"/>
        </w:rPr>
      </w:pPr>
    </w:p>
    <w:p w14:paraId="588A861E" w14:textId="77777777" w:rsidR="009B6E20" w:rsidRPr="00D23A56" w:rsidRDefault="00A67324" w:rsidP="009B6E20">
      <w:pPr>
        <w:jc w:val="both"/>
        <w:rPr>
          <w:sz w:val="22"/>
          <w:szCs w:val="22"/>
          <w:rFonts w:asciiTheme="minorHAnsi" w:hAnsiTheme="minorHAnsi"/>
        </w:rPr>
      </w:pPr>
      <w:r>
        <w:rPr>
          <w:b/>
          <w:sz w:val="28"/>
          <w:szCs w:val="28"/>
          <w:rFonts w:asciiTheme="minorHAnsi" w:hAnsiTheme="minorHAnsi"/>
        </w:rPr>
        <w:t xml:space="preserve">F:</w:t>
      </w:r>
      <w:r>
        <w:rPr>
          <w:b/>
          <w:sz w:val="28"/>
          <w:szCs w:val="28"/>
          <w:rFonts w:asciiTheme="minorHAnsi" w:hAnsiTheme="minorHAnsi"/>
        </w:rPr>
        <w:t xml:space="preserve"> </w:t>
      </w:r>
      <w:r>
        <w:rPr>
          <w:b/>
          <w:sz w:val="28"/>
          <w:szCs w:val="28"/>
          <w:rFonts w:asciiTheme="minorHAnsi" w:hAnsiTheme="minorHAnsi"/>
        </w:rPr>
        <w:t xml:space="preserve">Criteri del sistema endocrino.</w:t>
      </w:r>
    </w:p>
    <w:p w14:paraId="55480A7C" w14:textId="77777777" w:rsidR="009B6E20" w:rsidRPr="00D23A56" w:rsidRDefault="009B6E20" w:rsidP="009B6E20">
      <w:pPr>
        <w:jc w:val="both"/>
        <w:rPr>
          <w:rFonts w:asciiTheme="minorHAnsi" w:hAnsiTheme="minorHAnsi"/>
          <w:sz w:val="22"/>
          <w:szCs w:val="22"/>
        </w:rPr>
      </w:pPr>
    </w:p>
    <w:p w14:paraId="47C70BDE" w14:textId="77777777" w:rsidR="009B6E20" w:rsidRPr="00D23A56" w:rsidRDefault="009B6E20" w:rsidP="009B6E20">
      <w:pPr>
        <w:jc w:val="both"/>
        <w:rPr>
          <w:rFonts w:asciiTheme="minorHAnsi" w:hAnsiTheme="minorHAnsi"/>
          <w:sz w:val="22"/>
          <w:szCs w:val="22"/>
        </w:rPr>
      </w:pPr>
    </w:p>
    <w:p w14:paraId="3A1F0ECD" w14:textId="77777777" w:rsidR="009B6E20" w:rsidRPr="00D23A56" w:rsidRDefault="009B6E20" w:rsidP="009B6E20">
      <w:pPr>
        <w:jc w:val="both"/>
        <w:rPr>
          <w:rFonts w:asciiTheme="minorHAnsi" w:hAnsiTheme="minorHAnsi"/>
          <w:sz w:val="22"/>
          <w:szCs w:val="22"/>
        </w:rPr>
      </w:pPr>
    </w:p>
    <w:p w14:paraId="5487AF6E" w14:textId="77777777" w:rsidR="0087687F" w:rsidRPr="00D23A56" w:rsidRDefault="0087687F" w:rsidP="009B6E20">
      <w:pPr>
        <w:jc w:val="both"/>
        <w:rPr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F1.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In presenza di proteinuria conclamata (&gt;300 mg/die) o microalbuminuria (&gt;30 mg/die) in pazienti con diabete mellito, è opportuno iniziare la terapia con ACEi o ARB.</w:t>
      </w:r>
      <w:r>
        <w:rPr>
          <w:b/>
          <w:sz w:val="22"/>
          <w:szCs w:val="22"/>
          <w:rFonts w:asciiTheme="minorHAnsi" w:hAnsiTheme="minorHAnsi"/>
        </w:rPr>
        <w:t xml:space="preserve">   </w:t>
      </w:r>
    </w:p>
    <w:p w14:paraId="7461EA72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i/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*Nei pazienti con insufficienza renale, è previsto un aumento del livello di creatinina sierica durante il periodo iniziale di trattamento con ACEi o ARB.</w:t>
      </w:r>
      <w:r>
        <w:rPr>
          <w:sz w:val="22"/>
          <w:szCs w:val="22"/>
          <w:i/>
          <w:rFonts w:asciiTheme="minorHAnsi" w:hAnsiTheme="minorHAnsi"/>
        </w:rPr>
        <w:t xml:space="preserve"> </w:t>
      </w:r>
    </w:p>
    <w:p w14:paraId="6B6C0F4C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i/>
          <w:sz w:val="22"/>
          <w:szCs w:val="22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*Se questo aumento è inferiore al 30%, si consiglia di continuare il trattamento.</w:t>
      </w:r>
    </w:p>
    <w:p w14:paraId="2B93C86D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b/>
          <w:sz w:val="22"/>
          <w:szCs w:val="22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*Sebbene non vi sia alcuna controindicazione assoluta per l'inizio di ACEi o ARB, potrebbe non essere raccomandato per i pazienti con un livello di creatinina sierica &gt;3,0 mg/dl.</w:t>
      </w:r>
      <w:r>
        <w:rPr>
          <w:i/>
          <w:sz w:val="22"/>
          <w:szCs w:val="22"/>
          <w:rFonts w:asciiTheme="minorHAnsi" w:hAnsiTheme="minorHAnsi"/>
        </w:rPr>
        <w:t xml:space="preserve"> </w:t>
      </w:r>
    </w:p>
    <w:p w14:paraId="5F7CD423" w14:textId="77777777" w:rsidR="0087687F" w:rsidRPr="00D23A56" w:rsidRDefault="0087687F" w:rsidP="0087687F">
      <w:pPr>
        <w:spacing w:line="360" w:lineRule="auto"/>
        <w:contextualSpacing/>
        <w:jc w:val="both"/>
        <w:rPr>
          <w:i/>
          <w:sz w:val="22"/>
          <w:szCs w:val="22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*Nei pazienti con diabete mellito, i livelli sierici di creatinina e potassio devono essere monitorati entro 1-2 settimane dall'inizio della terapia con ACEI-ARB, ad ogni aumento della dose e almeno una volta all'anno (rischio di iperkaliemia e deterioramento renale).</w:t>
      </w:r>
      <w:r>
        <w:rPr>
          <w:i/>
          <w:sz w:val="22"/>
          <w:szCs w:val="22"/>
          <w:rFonts w:asciiTheme="minorHAnsi" w:hAnsiTheme="minorHAnsi"/>
        </w:rPr>
        <w:t xml:space="preserve"> </w:t>
      </w:r>
    </w:p>
    <w:p w14:paraId="5EB227E2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73B0EB41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653E1ADE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1A99930A" w14:textId="77777777" w:rsidR="00A67324" w:rsidRPr="00D23A56" w:rsidRDefault="00A67324" w:rsidP="00A67324">
      <w:pPr>
        <w:spacing w:line="360" w:lineRule="auto"/>
        <w:jc w:val="both"/>
        <w:rPr>
          <w:b/>
          <w:sz w:val="28"/>
          <w:szCs w:val="28"/>
          <w:rFonts w:asciiTheme="minorHAnsi" w:hAnsiTheme="minorHAnsi"/>
        </w:rPr>
      </w:pPr>
      <w:r>
        <w:rPr>
          <w:b/>
          <w:sz w:val="28"/>
          <w:szCs w:val="28"/>
          <w:rFonts w:asciiTheme="minorHAnsi" w:hAnsiTheme="minorHAnsi"/>
        </w:rPr>
        <w:t xml:space="preserve">G:</w:t>
      </w:r>
      <w:r>
        <w:rPr>
          <w:b/>
          <w:sz w:val="28"/>
          <w:szCs w:val="28"/>
          <w:rFonts w:asciiTheme="minorHAnsi" w:hAnsiTheme="minorHAnsi"/>
        </w:rPr>
        <w:t xml:space="preserve"> </w:t>
      </w:r>
      <w:r>
        <w:rPr>
          <w:b/>
          <w:sz w:val="28"/>
          <w:szCs w:val="28"/>
          <w:rFonts w:asciiTheme="minorHAnsi" w:hAnsiTheme="minorHAnsi"/>
        </w:rPr>
        <w:t xml:space="preserve">Criteri del sistema urogenitale.</w:t>
      </w:r>
    </w:p>
    <w:p w14:paraId="10AA98B0" w14:textId="77777777" w:rsidR="00A67324" w:rsidRPr="00D23A56" w:rsidRDefault="00A67324" w:rsidP="0087687F">
      <w:pPr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14:paraId="7BB0584C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37385CF0" w14:textId="77777777" w:rsidR="009B6E20" w:rsidRPr="00D23A56" w:rsidRDefault="009B6E20" w:rsidP="0087687F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08522A73" w14:textId="1021B622" w:rsidR="0087687F" w:rsidRPr="00D23A56" w:rsidRDefault="008A4F48" w:rsidP="0087687F">
      <w:pPr>
        <w:spacing w:line="360" w:lineRule="auto"/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="Calibri" w:hAnsi="Calibri"/>
        </w:rPr>
        <w:t xml:space="preserve">#</w:t>
      </w:r>
      <w:r>
        <w:rPr>
          <w:b/>
          <w:sz w:val="22"/>
          <w:szCs w:val="22"/>
          <w:rFonts w:asciiTheme="minorHAnsi" w:hAnsiTheme="minorHAnsi"/>
        </w:rPr>
        <w:t xml:space="preserve">G1.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l'uso di bloccanti del recettore alfa-1 è appropriato in pazienti con LUTS (sintomi del tratto urinario inferiore) sintomatici da moderati a gravi (punteggio IPSS) per i quali la prostatectomia non è indicata.</w:t>
      </w:r>
      <w:r>
        <w:rPr>
          <w:b/>
          <w:sz w:val="22"/>
          <w:szCs w:val="22"/>
          <w:rFonts w:asciiTheme="minorHAnsi" w:hAnsiTheme="minorHAnsi"/>
        </w:rPr>
        <w:t xml:space="preserve">  </w:t>
      </w:r>
    </w:p>
    <w:p w14:paraId="53332749" w14:textId="77777777" w:rsidR="0087687F" w:rsidRPr="00D23A56" w:rsidRDefault="0087687F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14:paraId="03B16FF8" w14:textId="77777777" w:rsidR="0087687F" w:rsidRPr="00D23A56" w:rsidRDefault="0087687F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14:paraId="49213331" w14:textId="77777777" w:rsidR="00A67324" w:rsidRPr="00D23A56" w:rsidRDefault="00A67324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14:paraId="19B5BE30" w14:textId="7854F6B6" w:rsidR="009B6E20" w:rsidRPr="00D23A56" w:rsidRDefault="008A4F48" w:rsidP="009B6E20">
      <w:pPr>
        <w:spacing w:line="360" w:lineRule="auto"/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="Calibri" w:hAnsi="Calibri"/>
        </w:rPr>
        <w:t xml:space="preserve">#</w:t>
      </w:r>
      <w:r>
        <w:rPr>
          <w:b/>
          <w:sz w:val="22"/>
          <w:szCs w:val="22"/>
          <w:rFonts w:asciiTheme="minorHAnsi" w:hAnsiTheme="minorHAnsi"/>
        </w:rPr>
        <w:t xml:space="preserve">G2.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Se il volume della prostata è &gt;30-40 ml, è opportuno iniziare una terapia con inibitori della 5-alfa reduttasi in aggiunta al bloccante del recettore alfa-1 nei pazienti con LUTS (sintomi del tratto urinario inferiore) sintomatici da moderati a gravi (punteggio IPSS) per i quali la prostatectomia non è indicata.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14:paraId="6C4DF3AD" w14:textId="77777777" w:rsidR="009B6E20" w:rsidRPr="00D23A56" w:rsidRDefault="009B6E20" w:rsidP="009B6E2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D7E15CD" w14:textId="77777777" w:rsidR="0087687F" w:rsidRPr="00D23A56" w:rsidRDefault="0087687F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14:paraId="09172BF9" w14:textId="77777777" w:rsidR="00A67324" w:rsidRPr="00D23A56" w:rsidRDefault="00A67324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14:paraId="58FEA268" w14:textId="77777777" w:rsidR="009B6E20" w:rsidRPr="00D23A56" w:rsidRDefault="0087687F" w:rsidP="009B6E20">
      <w:pPr>
        <w:spacing w:line="360" w:lineRule="auto"/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G3.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Nella vaginite atrofica sintomatica, dopo aver provato trattamenti non ormonali, è appropriata la terapia estrogenica vaginale topica.</w:t>
      </w:r>
    </w:p>
    <w:p w14:paraId="3BA95D67" w14:textId="77777777" w:rsidR="009B6E20" w:rsidRPr="00D23A56" w:rsidRDefault="009B6E20" w:rsidP="009B6E20">
      <w:pPr>
        <w:jc w:val="both"/>
        <w:rPr>
          <w:rFonts w:asciiTheme="minorHAnsi" w:hAnsiTheme="minorHAnsi"/>
          <w:b/>
          <w:sz w:val="22"/>
          <w:szCs w:val="22"/>
        </w:rPr>
      </w:pPr>
    </w:p>
    <w:p w14:paraId="12C614E8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user-generated"/>
          <w:rFonts w:asciiTheme="minorHAnsi" w:eastAsiaTheme="majorEastAsia" w:hAnsiTheme="minorHAnsi"/>
          <w:b/>
          <w:color w:val="000000"/>
          <w:sz w:val="22"/>
          <w:szCs w:val="22"/>
        </w:rPr>
      </w:pPr>
    </w:p>
    <w:p w14:paraId="541CC738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user-generated"/>
          <w:rFonts w:asciiTheme="minorHAnsi" w:eastAsiaTheme="majorEastAsia" w:hAnsiTheme="minorHAnsi"/>
          <w:b/>
          <w:color w:val="000000"/>
          <w:sz w:val="22"/>
          <w:szCs w:val="22"/>
        </w:rPr>
      </w:pPr>
    </w:p>
    <w:p w14:paraId="6F139F5C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user-generated"/>
          <w:rFonts w:asciiTheme="minorHAnsi" w:eastAsiaTheme="majorEastAsia" w:hAnsiTheme="minorHAnsi"/>
          <w:b/>
          <w:color w:val="000000"/>
          <w:sz w:val="22"/>
          <w:szCs w:val="22"/>
        </w:rPr>
      </w:pPr>
    </w:p>
    <w:p w14:paraId="5ED57B77" w14:textId="77777777" w:rsidR="009B6E20" w:rsidRPr="00D23A56" w:rsidRDefault="00A67324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  <w:rFonts w:asciiTheme="minorHAnsi" w:eastAsiaTheme="majorEastAsia" w:hAnsiTheme="minorHAnsi"/>
        </w:rPr>
      </w:pPr>
      <w:r>
        <w:rPr>
          <w:b/>
          <w:sz w:val="28"/>
          <w:szCs w:val="28"/>
          <w:rFonts w:asciiTheme="minorHAnsi" w:hAnsiTheme="minorHAnsi"/>
        </w:rPr>
        <w:t xml:space="preserve">H :</w:t>
      </w:r>
      <w:r>
        <w:rPr>
          <w:b/>
          <w:sz w:val="28"/>
          <w:szCs w:val="28"/>
          <w:rFonts w:asciiTheme="minorHAnsi" w:hAnsiTheme="minorHAnsi"/>
        </w:rPr>
        <w:t xml:space="preserve"> </w:t>
      </w:r>
      <w:r>
        <w:rPr>
          <w:b/>
          <w:sz w:val="28"/>
          <w:szCs w:val="28"/>
          <w:rFonts w:asciiTheme="minorHAnsi" w:hAnsiTheme="minorHAnsi"/>
        </w:rPr>
        <w:t xml:space="preserve">Vaccini.</w:t>
      </w:r>
    </w:p>
    <w:p w14:paraId="3EEE6590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</w:p>
    <w:p w14:paraId="5ABB1D47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</w:p>
    <w:p w14:paraId="575F1012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</w:p>
    <w:p w14:paraId="74F8763A" w14:textId="77777777" w:rsidR="0087687F" w:rsidRPr="00D23A56" w:rsidRDefault="0087687F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2"/>
          <w:szCs w:val="22"/>
          <w:rFonts w:asciiTheme="minorHAnsi" w:eastAsiaTheme="majorEastAsia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H1.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La vaccinazione antinfluenzale annuale è appropriata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14:paraId="7ADC7A4A" w14:textId="77777777" w:rsidR="0087687F" w:rsidRPr="00D23A56" w:rsidRDefault="0087687F" w:rsidP="009B6E20">
      <w:pPr>
        <w:spacing w:line="360" w:lineRule="auto"/>
        <w:jc w:val="both"/>
        <w:rPr>
          <w:bCs/>
          <w:i/>
          <w:sz w:val="22"/>
          <w:szCs w:val="22"/>
          <w:rFonts w:asciiTheme="minorHAnsi" w:hAnsiTheme="minorHAnsi"/>
        </w:rPr>
      </w:pPr>
      <w:r>
        <w:rPr>
          <w:bCs/>
          <w:sz w:val="22"/>
          <w:szCs w:val="22"/>
          <w:rFonts w:asciiTheme="minorHAnsi" w:hAnsiTheme="minorHAnsi"/>
        </w:rPr>
        <w:t xml:space="preserve">*L'efficacia dei vaccini antinfluenzali trivalenti ad alte dosi e tetravalenti negli anziani è maggiore rispetto al vaccino trivalente a dose standard e può essere preferita.</w:t>
      </w:r>
      <w:r>
        <w:rPr>
          <w:bCs/>
          <w:sz w:val="22"/>
          <w:szCs w:val="22"/>
          <w:i/>
          <w:rFonts w:asciiTheme="minorHAnsi" w:hAnsiTheme="minorHAnsi"/>
        </w:rPr>
        <w:t xml:space="preserve"> </w:t>
      </w:r>
    </w:p>
    <w:p w14:paraId="774C6662" w14:textId="4AA4903A" w:rsidR="009B6E20" w:rsidRPr="00D23A56" w:rsidRDefault="0087687F" w:rsidP="009B6E20">
      <w:pPr>
        <w:jc w:val="both"/>
        <w:rPr>
          <w:bCs/>
          <w:i/>
          <w:color w:val="000000" w:themeColor="text1"/>
          <w:sz w:val="22"/>
          <w:szCs w:val="22"/>
          <w:rFonts w:asciiTheme="minorHAnsi" w:hAnsiTheme="minorHAnsi"/>
        </w:rPr>
      </w:pPr>
      <w:r>
        <w:rPr>
          <w:bCs/>
          <w:i/>
          <w:sz w:val="22"/>
          <w:szCs w:val="22"/>
          <w:rFonts w:asciiTheme="minorHAnsi" w:hAnsiTheme="minorHAnsi"/>
        </w:rPr>
        <w:t xml:space="preserve">* I vaccini antinfluenzali tetravalenti, trivalenti e trivalenti ad alte dosi hanno l'approvazione della FDA.</w:t>
      </w:r>
    </w:p>
    <w:p w14:paraId="4900C765" w14:textId="77777777" w:rsidR="009B6E20" w:rsidRPr="00D23A56" w:rsidRDefault="009B6E20" w:rsidP="009B6E20">
      <w:pPr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</w:p>
    <w:p w14:paraId="6C2FB1EE" w14:textId="77777777" w:rsidR="0087687F" w:rsidRPr="00D23A56" w:rsidRDefault="0087687F" w:rsidP="009B6E20">
      <w:pPr>
        <w:jc w:val="both"/>
        <w:rPr>
          <w:rFonts w:asciiTheme="minorHAnsi" w:hAnsiTheme="minorHAnsi"/>
          <w:b/>
          <w:sz w:val="22"/>
          <w:szCs w:val="22"/>
        </w:rPr>
      </w:pPr>
    </w:p>
    <w:p w14:paraId="7CC9D7D1" w14:textId="7846021F" w:rsidR="0087687F" w:rsidRPr="00D23A56" w:rsidRDefault="0087687F" w:rsidP="009B6E20">
      <w:pPr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H2.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Il vaccino pneumococcico (una dose per ciascuno dei vaccini coniugati 13-valenti e polisaccaridici 23-valenti) è appropriato dopo i 65 anni.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14:paraId="66695D8A" w14:textId="27A01635" w:rsidR="0087687F" w:rsidRPr="00D23A56" w:rsidRDefault="0087687F" w:rsidP="0087687F">
      <w:pPr>
        <w:spacing w:line="360" w:lineRule="auto"/>
        <w:ind w:firstLine="708"/>
        <w:jc w:val="both"/>
        <w:rPr>
          <w:bCs/>
          <w:sz w:val="22"/>
          <w:szCs w:val="22"/>
          <w:rFonts w:asciiTheme="minorHAnsi" w:hAnsiTheme="minorHAnsi"/>
        </w:rPr>
      </w:pPr>
      <w:r>
        <w:rPr>
          <w:bCs/>
          <w:sz w:val="22"/>
          <w:szCs w:val="22"/>
          <w:rFonts w:asciiTheme="minorHAnsi" w:hAnsiTheme="minorHAnsi"/>
        </w:rPr>
        <w:t xml:space="preserve">i) In individui che non sono stati vaccinati prima contro lo pneumococco, come prima dose deve essere somministrato il vaccino coniugato 13-valente, seguito da un vaccino polisaccaridico 23-valente almeno 1 anno dopo.</w:t>
      </w:r>
      <w:r>
        <w:rPr>
          <w:bCs/>
          <w:sz w:val="22"/>
          <w:szCs w:val="22"/>
          <w:rFonts w:asciiTheme="minorHAnsi" w:hAnsiTheme="minorHAnsi"/>
        </w:rPr>
        <w:t xml:space="preserve"> </w:t>
      </w:r>
    </w:p>
    <w:p w14:paraId="733677A2" w14:textId="3E285578" w:rsidR="0087687F" w:rsidRPr="00D23A56" w:rsidRDefault="0087687F" w:rsidP="0087687F">
      <w:pPr>
        <w:spacing w:line="360" w:lineRule="auto"/>
        <w:ind w:firstLine="708"/>
        <w:jc w:val="both"/>
        <w:rPr>
          <w:bCs/>
          <w:i/>
          <w:color w:val="000000"/>
          <w:sz w:val="22"/>
          <w:szCs w:val="22"/>
          <w:rFonts w:asciiTheme="minorHAnsi" w:hAnsiTheme="minorHAnsi"/>
        </w:rPr>
      </w:pPr>
      <w:r>
        <w:rPr>
          <w:bCs/>
          <w:sz w:val="22"/>
          <w:szCs w:val="22"/>
          <w:rFonts w:asciiTheme="minorHAnsi" w:hAnsiTheme="minorHAnsi"/>
        </w:rPr>
        <w:t xml:space="preserve">ii) Gli individui che hanno ricevuto un vaccino polisaccaridico 23-valente prima dovrebbero ricevere un vaccino coniugato 13-valente 1 anno dopo.</w:t>
      </w:r>
      <w:r>
        <w:rPr>
          <w:bCs/>
          <w:sz w:val="22"/>
          <w:szCs w:val="22"/>
          <w:i/>
          <w:rFonts w:asciiTheme="minorHAnsi" w:hAnsiTheme="minorHAnsi"/>
        </w:rPr>
        <w:t xml:space="preserve"> </w:t>
      </w:r>
    </w:p>
    <w:p w14:paraId="0B986F66" w14:textId="08912F8B" w:rsidR="0087687F" w:rsidRPr="00D23A56" w:rsidRDefault="0087687F" w:rsidP="0087687F">
      <w:pPr>
        <w:spacing w:line="360" w:lineRule="auto"/>
        <w:jc w:val="both"/>
        <w:rPr>
          <w:bCs/>
          <w:i/>
          <w:sz w:val="22"/>
          <w:szCs w:val="22"/>
          <w:rFonts w:asciiTheme="minorHAnsi" w:hAnsiTheme="minorHAnsi"/>
        </w:rPr>
      </w:pPr>
      <w:r>
        <w:rPr>
          <w:bCs/>
          <w:i/>
          <w:sz w:val="22"/>
          <w:szCs w:val="22"/>
          <w:rFonts w:asciiTheme="minorHAnsi" w:hAnsiTheme="minorHAnsi"/>
        </w:rPr>
        <w:t xml:space="preserve">* Se il vaccino polisaccaridico 23-valente è stato somministrato prima dei 65 anni, dovrebbe essere ripetuto almeno 5 anni dopo il primo vaccino in quelli di età superiore ai 65 anni.</w:t>
      </w:r>
    </w:p>
    <w:p w14:paraId="71F6651B" w14:textId="6ACD779E" w:rsidR="0087687F" w:rsidRPr="00D23A56" w:rsidRDefault="0087687F" w:rsidP="0087687F">
      <w:pPr>
        <w:spacing w:line="360" w:lineRule="auto"/>
        <w:jc w:val="both"/>
        <w:rPr>
          <w:bCs/>
          <w:i/>
          <w:sz w:val="22"/>
          <w:szCs w:val="22"/>
          <w:rFonts w:asciiTheme="minorHAnsi" w:hAnsiTheme="minorHAnsi"/>
        </w:rPr>
      </w:pPr>
      <w:r>
        <w:rPr>
          <w:bCs/>
          <w:i/>
          <w:sz w:val="22"/>
          <w:szCs w:val="22"/>
          <w:rFonts w:asciiTheme="minorHAnsi" w:hAnsiTheme="minorHAnsi"/>
        </w:rPr>
        <w:t xml:space="preserve">*Si raccomanda di ripetere il vaccino polisaccaridico 23-valente ogni 10 anni oltre i 65 anni.</w:t>
      </w:r>
      <w:r>
        <w:rPr>
          <w:bCs/>
          <w:i/>
          <w:sz w:val="22"/>
          <w:szCs w:val="22"/>
          <w:rFonts w:asciiTheme="minorHAnsi" w:hAnsiTheme="minorHAnsi"/>
        </w:rPr>
        <w:t xml:space="preserve"> </w:t>
      </w:r>
    </w:p>
    <w:p w14:paraId="1491C0D6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6A018F09" w14:textId="77777777" w:rsidR="0087687F" w:rsidRPr="00D23A56" w:rsidRDefault="0087687F" w:rsidP="0087687F">
      <w:pPr>
        <w:jc w:val="both"/>
        <w:rPr>
          <w:rFonts w:asciiTheme="minorHAnsi" w:hAnsiTheme="minorHAnsi"/>
          <w:i/>
          <w:sz w:val="22"/>
          <w:szCs w:val="22"/>
        </w:rPr>
      </w:pPr>
    </w:p>
    <w:p w14:paraId="58D94CD8" w14:textId="77777777"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H3.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La vaccinazione contro l'herpes zoster è appropriata (riduce il rischio di infezione da fuoco di Sant'Antonio e nevralgia posterpetica)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i/>
          <w:rFonts w:asciiTheme="minorHAnsi" w:hAnsiTheme="minorHAnsi"/>
        </w:rPr>
        <w:t xml:space="preserve"> </w:t>
      </w:r>
    </w:p>
    <w:p w14:paraId="2365EEFC" w14:textId="77777777" w:rsidR="00AE7765" w:rsidRDefault="0087687F" w:rsidP="0087687F">
      <w:pPr>
        <w:spacing w:before="100" w:beforeAutospacing="1" w:after="100" w:afterAutospacing="1" w:line="360" w:lineRule="auto"/>
        <w:contextualSpacing/>
        <w:jc w:val="both"/>
        <w:rPr>
          <w:bCs/>
          <w:i/>
          <w:sz w:val="22"/>
          <w:szCs w:val="22"/>
          <w:rFonts w:asciiTheme="minorHAnsi" w:hAnsiTheme="minorHAnsi"/>
        </w:rPr>
      </w:pPr>
      <w:r>
        <w:rPr>
          <w:bCs/>
          <w:i/>
          <w:sz w:val="22"/>
          <w:szCs w:val="22"/>
          <w:rFonts w:asciiTheme="minorHAnsi" w:hAnsiTheme="minorHAnsi"/>
        </w:rPr>
        <w:t xml:space="preserve">* La vaccinazione è raccomandata anche per i casi che hanno già avuto l'herpes zoster o la varicella.</w:t>
      </w:r>
      <w:r>
        <w:rPr>
          <w:bCs/>
          <w:i/>
          <w:sz w:val="22"/>
          <w:szCs w:val="22"/>
          <w:rFonts w:asciiTheme="minorHAnsi" w:hAnsiTheme="minorHAnsi"/>
        </w:rPr>
        <w:t xml:space="preserve"> </w:t>
      </w:r>
    </w:p>
    <w:p w14:paraId="188DFE55" w14:textId="77777777" w:rsidR="00AE7765" w:rsidRDefault="00AE7765" w:rsidP="00AE7765">
      <w:pPr>
        <w:spacing w:before="100" w:beforeAutospacing="1" w:after="100" w:afterAutospacing="1" w:line="360" w:lineRule="auto"/>
        <w:contextualSpacing/>
        <w:rPr>
          <w:bCs/>
          <w:i/>
          <w:sz w:val="22"/>
          <w:szCs w:val="22"/>
          <w:rFonts w:asciiTheme="minorHAnsi" w:hAnsiTheme="minorHAnsi"/>
        </w:rPr>
      </w:pPr>
      <w:r>
        <w:rPr>
          <w:bCs/>
          <w:i/>
          <w:sz w:val="22"/>
          <w:szCs w:val="22"/>
          <w:rFonts w:asciiTheme="minorHAnsi" w:hAnsiTheme="minorHAnsi"/>
        </w:rPr>
        <w:t xml:space="preserve">*RZV offre una protezione maggiore rispetto a ZVL.</w:t>
      </w:r>
    </w:p>
    <w:p w14:paraId="1A62D2FB" w14:textId="77777777" w:rsidR="00AE7765" w:rsidRPr="00AE7765" w:rsidRDefault="00AE7765" w:rsidP="00AE7765">
      <w:pPr>
        <w:spacing w:before="100" w:beforeAutospacing="1" w:after="100" w:afterAutospacing="1" w:line="360" w:lineRule="auto"/>
        <w:contextualSpacing/>
        <w:rPr>
          <w:bCs/>
          <w:i/>
          <w:color w:val="222222"/>
          <w:sz w:val="22"/>
          <w:szCs w:val="22"/>
          <w:shd w:val="clear" w:color="auto" w:fill="F8F9FA"/>
          <w:rFonts w:asciiTheme="minorHAnsi" w:hAnsiTheme="minorHAnsi"/>
        </w:rPr>
      </w:pPr>
      <w:r>
        <w:rPr>
          <w:bCs/>
          <w:i/>
          <w:sz w:val="22"/>
          <w:szCs w:val="22"/>
          <w:rFonts w:asciiTheme="minorHAnsi" w:hAnsiTheme="minorHAnsi"/>
        </w:rPr>
        <w:t xml:space="preserve">*RZV è preferito a ZVL.</w:t>
      </w:r>
      <w:r>
        <w:rPr>
          <w:bCs/>
          <w:i/>
          <w:sz w:val="22"/>
          <w:szCs w:val="22"/>
          <w:rFonts w:asciiTheme="minorHAnsi" w:hAnsiTheme="minorHAnsi"/>
        </w:rPr>
        <w:t xml:space="preserve"> </w:t>
      </w:r>
    </w:p>
    <w:p w14:paraId="5C44A154" w14:textId="7777777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bCs/>
          <w:i/>
          <w:color w:val="222222"/>
          <w:sz w:val="22"/>
          <w:szCs w:val="22"/>
          <w:shd w:val="clear" w:color="auto" w:fill="F8F9FA"/>
          <w:rFonts w:asciiTheme="minorHAnsi" w:hAnsiTheme="minorHAnsi"/>
        </w:rPr>
      </w:pPr>
      <w:r>
        <w:rPr>
          <w:i/>
          <w:color w:val="222222"/>
          <w:sz w:val="22"/>
          <w:szCs w:val="22"/>
          <w:rFonts w:asciiTheme="minorHAnsi" w:hAnsiTheme="minorHAnsi"/>
        </w:rPr>
        <w:t xml:space="preserve">*RZV viene somministrato per via intramuscolare in due dosi.</w:t>
      </w:r>
      <w:r>
        <w:rPr>
          <w:i/>
          <w:color w:val="222222"/>
          <w:sz w:val="22"/>
          <w:szCs w:val="22"/>
          <w:rFonts w:asciiTheme="minorHAnsi" w:hAnsiTheme="minorHAnsi"/>
        </w:rPr>
        <w:t xml:space="preserve"> </w:t>
      </w:r>
      <w:r>
        <w:rPr>
          <w:i/>
          <w:color w:val="222222"/>
          <w:sz w:val="22"/>
          <w:szCs w:val="22"/>
          <w:rFonts w:asciiTheme="minorHAnsi" w:hAnsiTheme="minorHAnsi"/>
        </w:rPr>
        <w:t xml:space="preserve">La seconda dose deve essere somministrata 2-6 mesi dopo la prima dose.</w:t>
      </w:r>
      <w:r>
        <w:rPr>
          <w:i/>
          <w:color w:val="222222"/>
          <w:sz w:val="22"/>
          <w:szCs w:val="22"/>
          <w:rFonts w:asciiTheme="minorHAnsi" w:hAnsiTheme="minorHAnsi"/>
        </w:rPr>
        <w:t xml:space="preserve"> </w:t>
      </w:r>
      <w:r>
        <w:rPr>
          <w:i/>
          <w:color w:val="222222"/>
          <w:sz w:val="22"/>
          <w:szCs w:val="22"/>
          <w:rFonts w:asciiTheme="minorHAnsi" w:hAnsiTheme="minorHAnsi"/>
        </w:rPr>
        <w:t xml:space="preserve">Questo programma deve essere utilizzato per tutti i pazienti, compresi quelli con una precedente storia di herpes zoster e quelli con precedente ZVL.</w:t>
      </w:r>
    </w:p>
    <w:p w14:paraId="4FEDEB8E" w14:textId="77777777"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Cs/>
          <w:i/>
          <w:sz w:val="22"/>
          <w:szCs w:val="22"/>
          <w:rFonts w:asciiTheme="minorHAnsi" w:hAnsiTheme="minorHAnsi"/>
        </w:rPr>
      </w:pPr>
      <w:r>
        <w:rPr>
          <w:bCs/>
          <w:i/>
          <w:sz w:val="22"/>
          <w:szCs w:val="22"/>
          <w:rFonts w:asciiTheme="minorHAnsi" w:hAnsiTheme="minorHAnsi"/>
        </w:rPr>
        <w:t xml:space="preserve">*In caso di infezione da herpes zoster, la vaccinazione è raccomandata non prima di 6-12 mesi.</w:t>
      </w:r>
      <w:r>
        <w:rPr>
          <w:bCs/>
          <w:i/>
          <w:sz w:val="22"/>
          <w:szCs w:val="22"/>
          <w:rFonts w:asciiTheme="minorHAnsi" w:hAnsiTheme="minorHAnsi"/>
        </w:rPr>
        <w:t xml:space="preserve"> </w:t>
      </w:r>
    </w:p>
    <w:p w14:paraId="757290D5" w14:textId="77777777" w:rsidR="0087687F" w:rsidRPr="00D23A56" w:rsidRDefault="0087687F" w:rsidP="0087687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05865890" w14:textId="77777777"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0E0030F5" w14:textId="77777777"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/>
          <w:i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H4.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È opportuno eseguire Td (tossoide tetano-difterico) ogni 10 anni</w:t>
      </w:r>
    </w:p>
    <w:p w14:paraId="3862D3A9" w14:textId="77777777" w:rsidR="0087687F" w:rsidRPr="00D23A56" w:rsidRDefault="0087687F" w:rsidP="009B6E2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bCs/>
          <w:i/>
          <w:sz w:val="22"/>
          <w:szCs w:val="22"/>
          <w:rFonts w:asciiTheme="minorHAnsi" w:hAnsiTheme="minorHAnsi"/>
        </w:rPr>
      </w:pPr>
      <w:r>
        <w:rPr>
          <w:bCs/>
          <w:i/>
          <w:sz w:val="22"/>
          <w:szCs w:val="22"/>
          <w:rFonts w:asciiTheme="minorHAnsi" w:hAnsiTheme="minorHAnsi"/>
        </w:rPr>
        <w:t xml:space="preserve">*Il vaccino contro la pertosse può essere raccomandato per gli anziani (come i nonni) che hanno stretto contatto con bambini di età superiore a 1 anno.</w:t>
      </w:r>
      <w:r>
        <w:rPr>
          <w:bCs/>
          <w:i/>
          <w:sz w:val="22"/>
          <w:szCs w:val="22"/>
          <w:rFonts w:asciiTheme="minorHAnsi" w:hAnsiTheme="minorHAnsi"/>
        </w:rPr>
        <w:t xml:space="preserve"> </w:t>
      </w:r>
      <w:r>
        <w:rPr>
          <w:bCs/>
          <w:i/>
          <w:sz w:val="22"/>
          <w:szCs w:val="22"/>
          <w:rFonts w:asciiTheme="minorHAnsi" w:hAnsiTheme="minorHAnsi"/>
        </w:rPr>
        <w:t xml:space="preserve">In questo caso può essere somministrato come dose singola di TdaP.</w:t>
      </w:r>
    </w:p>
    <w:p w14:paraId="425EDE20" w14:textId="77777777" w:rsidR="0087687F" w:rsidRPr="00D23A56" w:rsidRDefault="0087687F" w:rsidP="009B6E2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7D4B442D" w14:textId="77777777" w:rsidR="0087687F" w:rsidRPr="00D23A56" w:rsidRDefault="0087687F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</w:p>
    <w:p w14:paraId="4B835B79" w14:textId="77777777" w:rsidR="0087687F" w:rsidRPr="00D23A56" w:rsidRDefault="0087687F" w:rsidP="009B6E20">
      <w:pPr>
        <w:jc w:val="both"/>
        <w:rPr>
          <w:rFonts w:asciiTheme="minorHAnsi" w:hAnsiTheme="minorHAnsi"/>
          <w:b/>
          <w:sz w:val="22"/>
          <w:szCs w:val="22"/>
        </w:rPr>
      </w:pPr>
    </w:p>
    <w:p w14:paraId="095904CE" w14:textId="6E89A571" w:rsidR="0087687F" w:rsidRPr="00D23A56" w:rsidRDefault="008A4F48" w:rsidP="008874FC">
      <w:pPr>
        <w:spacing w:line="360" w:lineRule="auto"/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b/>
          <w:rFonts w:ascii="Calibri" w:hAnsi="Calibri"/>
        </w:rPr>
        <w:t xml:space="preserve">#</w:t>
      </w:r>
      <w:r>
        <w:rPr>
          <w:sz w:val="22"/>
          <w:szCs w:val="22"/>
          <w:b/>
          <w:rFonts w:asciiTheme="minorHAnsi" w:hAnsiTheme="minorHAnsi"/>
        </w:rPr>
        <w:t xml:space="preserve">H5.</w:t>
      </w:r>
      <w:r>
        <w:rPr>
          <w:sz w:val="22"/>
          <w:szCs w:val="22"/>
          <w:b/>
          <w:rFonts w:asciiTheme="minorHAnsi" w:hAnsiTheme="minorHAnsi"/>
        </w:rPr>
        <w:t xml:space="preserve"> </w:t>
      </w:r>
      <w:r>
        <w:rPr>
          <w:sz w:val="22"/>
          <w:szCs w:val="22"/>
          <w:b/>
          <w:rFonts w:asciiTheme="minorHAnsi" w:hAnsiTheme="minorHAnsi"/>
        </w:rPr>
        <w:t xml:space="preserve">È opportuno somministrare il vaccino meningococcico ai casi che si recano in pellegrinaggio.</w:t>
      </w:r>
      <w:r>
        <w:rPr>
          <w:sz w:val="22"/>
          <w:szCs w:val="22"/>
          <w:rFonts w:asciiTheme="minorHAnsi" w:hAnsiTheme="minorHAnsi"/>
        </w:rPr>
        <w:t xml:space="preserve"> </w:t>
      </w:r>
    </w:p>
    <w:p w14:paraId="371A1021" w14:textId="77777777" w:rsidR="0087687F" w:rsidRPr="00D23A56" w:rsidRDefault="0087687F" w:rsidP="008874FC">
      <w:pPr>
        <w:spacing w:line="360" w:lineRule="auto"/>
        <w:jc w:val="both"/>
        <w:rPr>
          <w:i/>
          <w:sz w:val="22"/>
          <w:szCs w:val="22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*Si consiglia di almeno 10 giorni prima dell'Hajj.</w:t>
      </w:r>
      <w:r>
        <w:rPr>
          <w:i/>
          <w:sz w:val="22"/>
          <w:szCs w:val="22"/>
          <w:rFonts w:asciiTheme="minorHAnsi" w:hAnsiTheme="minorHAnsi"/>
        </w:rPr>
        <w:t xml:space="preserve"> </w:t>
      </w:r>
    </w:p>
    <w:p w14:paraId="7DE98BCA" w14:textId="77777777" w:rsidR="0087687F" w:rsidRPr="00D23A56" w:rsidRDefault="0087687F" w:rsidP="0087687F">
      <w:pPr>
        <w:spacing w:line="360" w:lineRule="auto"/>
        <w:jc w:val="both"/>
        <w:rPr>
          <w:i/>
          <w:sz w:val="22"/>
          <w:szCs w:val="22"/>
          <w:vertAlign w:val="superscript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*La dose deve essere ripetuta se si viaggia di nuovo dopo 5 anni.</w:t>
      </w:r>
      <w:r>
        <w:rPr>
          <w:i/>
          <w:sz w:val="22"/>
          <w:szCs w:val="22"/>
          <w:vertAlign w:val="superscript"/>
          <w:rFonts w:asciiTheme="minorHAnsi" w:hAnsiTheme="minorHAnsi"/>
        </w:rPr>
        <w:t xml:space="preserve"> </w:t>
      </w:r>
    </w:p>
    <w:p w14:paraId="03A4C15E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35ACFA5E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480DBEC4" w14:textId="77777777" w:rsidR="0087687F" w:rsidRPr="00D23A56" w:rsidRDefault="0087687F" w:rsidP="0087687F">
      <w:pPr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14:paraId="525C3E24" w14:textId="77777777" w:rsidR="000A315F" w:rsidRPr="00D23A56" w:rsidRDefault="000A315F" w:rsidP="0087687F">
      <w:pPr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14:paraId="37C8DC38" w14:textId="77777777" w:rsidR="000A315F" w:rsidRPr="00D23A56" w:rsidRDefault="000A315F" w:rsidP="000A315F">
      <w:pPr>
        <w:spacing w:line="360" w:lineRule="auto"/>
        <w:jc w:val="both"/>
        <w:rPr>
          <w:b/>
          <w:sz w:val="28"/>
          <w:szCs w:val="28"/>
          <w:rFonts w:asciiTheme="minorHAnsi" w:hAnsiTheme="minorHAnsi"/>
        </w:rPr>
      </w:pPr>
      <w:r>
        <w:rPr>
          <w:b/>
          <w:sz w:val="28"/>
          <w:szCs w:val="28"/>
          <w:rFonts w:asciiTheme="minorHAnsi" w:hAnsiTheme="minorHAnsi"/>
        </w:rPr>
        <w:t xml:space="preserve">I:</w:t>
      </w:r>
      <w:r>
        <w:rPr>
          <w:b/>
          <w:sz w:val="28"/>
          <w:szCs w:val="28"/>
          <w:rFonts w:asciiTheme="minorHAnsi" w:hAnsiTheme="minorHAnsi"/>
        </w:rPr>
        <w:t xml:space="preserve"> </w:t>
      </w:r>
      <w:r>
        <w:rPr>
          <w:b/>
          <w:sz w:val="28"/>
          <w:szCs w:val="28"/>
          <w:rFonts w:asciiTheme="minorHAnsi" w:hAnsiTheme="minorHAnsi"/>
        </w:rPr>
        <w:t xml:space="preserve">Supplementi.</w:t>
      </w:r>
    </w:p>
    <w:p w14:paraId="2FB534D3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55B84C61" w14:textId="77777777" w:rsidR="000A315F" w:rsidRPr="00D23A56" w:rsidRDefault="000A315F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1A571B41" w14:textId="77777777" w:rsidR="008874FC" w:rsidRPr="00D23A56" w:rsidRDefault="008874FC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1ABD4350" w14:textId="77777777" w:rsidR="0087687F" w:rsidRPr="00D23A56" w:rsidRDefault="0087687F" w:rsidP="0087687F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I1.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Anziani con malnutrizione (MN) o rischio di malnutrizione (MNR) per avere consulenza nutrizionale e integratori alimentari per aumentare l'apporto alimentare e per raggiungere gli obiettivi nutrizionali, se non è sufficiente, è opportuno iniziare con integratori alimentari orali (ONS).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14:paraId="69CC1E77" w14:textId="77777777" w:rsidR="0087687F" w:rsidRPr="00D23A56" w:rsidRDefault="0087687F" w:rsidP="0087687F">
      <w:pPr>
        <w:autoSpaceDE w:val="0"/>
        <w:autoSpaceDN w:val="0"/>
        <w:adjustRightInd w:val="0"/>
        <w:spacing w:line="360" w:lineRule="auto"/>
        <w:jc w:val="both"/>
        <w:rPr>
          <w:bCs/>
          <w:i/>
          <w:sz w:val="22"/>
          <w:szCs w:val="22"/>
          <w:vertAlign w:val="superscript"/>
          <w:rFonts w:asciiTheme="minorHAnsi" w:hAnsiTheme="minorHAnsi"/>
        </w:rPr>
      </w:pPr>
      <w:r>
        <w:rPr>
          <w:bCs/>
          <w:i/>
          <w:sz w:val="22"/>
          <w:szCs w:val="22"/>
          <w:rFonts w:asciiTheme="minorHAnsi" w:hAnsiTheme="minorHAnsi"/>
        </w:rPr>
        <w:t xml:space="preserve">*Ci sono più prove riguardo all'inizio di ONS negli anziani con malattia cronica.</w:t>
      </w:r>
      <w:r>
        <w:rPr>
          <w:bCs/>
          <w:i/>
          <w:sz w:val="22"/>
          <w:szCs w:val="22"/>
          <w:rFonts w:asciiTheme="minorHAnsi" w:hAnsiTheme="minorHAnsi"/>
        </w:rPr>
        <w:t xml:space="preserve"> </w:t>
      </w:r>
    </w:p>
    <w:p w14:paraId="56B9A33B" w14:textId="77777777" w:rsidR="0087687F" w:rsidRPr="00D23A56" w:rsidRDefault="0087687F" w:rsidP="0087687F">
      <w:pPr>
        <w:autoSpaceDE w:val="0"/>
        <w:autoSpaceDN w:val="0"/>
        <w:adjustRightInd w:val="0"/>
        <w:spacing w:line="360" w:lineRule="auto"/>
        <w:jc w:val="both"/>
        <w:rPr>
          <w:bCs/>
          <w:i/>
          <w:color w:val="000000" w:themeColor="text1"/>
          <w:sz w:val="22"/>
          <w:szCs w:val="22"/>
          <w:rFonts w:asciiTheme="minorHAnsi" w:hAnsiTheme="minorHAnsi"/>
        </w:rPr>
      </w:pPr>
      <w:r>
        <w:rPr>
          <w:bCs/>
          <w:i/>
          <w:color w:val="000000" w:themeColor="text1"/>
          <w:sz w:val="22"/>
          <w:szCs w:val="22"/>
          <w:rFonts w:asciiTheme="minorHAnsi" w:hAnsiTheme="minorHAnsi"/>
        </w:rPr>
        <w:t xml:space="preserve">*Si raccomanda che il contenuto di ONS contenga almeno 400 kcal di energia e 30 g di proteine ​​al giorno e che l'ONS venga continuato per almeno 1 mese.</w:t>
      </w:r>
      <w:r>
        <w:rPr>
          <w:bCs/>
          <w:i/>
          <w:color w:val="000000" w:themeColor="text1"/>
          <w:sz w:val="22"/>
          <w:szCs w:val="22"/>
          <w:rFonts w:asciiTheme="minorHAnsi" w:hAnsiTheme="minorHAnsi"/>
        </w:rPr>
        <w:t xml:space="preserve"> </w:t>
      </w:r>
    </w:p>
    <w:p w14:paraId="2AB7ECC5" w14:textId="77777777" w:rsidR="0087687F" w:rsidRPr="00D23A56" w:rsidRDefault="0087687F" w:rsidP="0087687F">
      <w:pPr>
        <w:autoSpaceDE w:val="0"/>
        <w:autoSpaceDN w:val="0"/>
        <w:adjustRightInd w:val="0"/>
        <w:spacing w:line="360" w:lineRule="auto"/>
        <w:jc w:val="both"/>
        <w:rPr>
          <w:bCs/>
          <w:i/>
          <w:color w:val="000000" w:themeColor="text1"/>
          <w:sz w:val="22"/>
          <w:szCs w:val="22"/>
          <w:shd w:val="clear" w:color="auto" w:fill="FFFFFF"/>
          <w:rFonts w:asciiTheme="minorHAnsi" w:hAnsiTheme="minorHAnsi"/>
        </w:rPr>
      </w:pPr>
      <w:r>
        <w:rPr>
          <w:bCs/>
          <w:i/>
          <w:color w:val="000000" w:themeColor="text1"/>
          <w:sz w:val="22"/>
          <w:szCs w:val="22"/>
          <w:rFonts w:asciiTheme="minorHAnsi" w:hAnsiTheme="minorHAnsi"/>
        </w:rPr>
        <w:t xml:space="preserve">*È opportuno valutare i casi dati ONS una volta al mese.</w:t>
      </w:r>
    </w:p>
    <w:p w14:paraId="6D030F57" w14:textId="77777777" w:rsidR="0087687F" w:rsidRPr="00D23A56" w:rsidRDefault="0087687F" w:rsidP="0087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color w:val="000000"/>
          <w:sz w:val="22"/>
          <w:szCs w:val="22"/>
          <w:rFonts w:asciiTheme="minorHAnsi" w:hAnsiTheme="minorHAnsi"/>
        </w:rPr>
      </w:pP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*Il valore raccomandato per l'apporto energetico negli anziani è di 30 kcal/kg/giorno in termini di guida del trattamento.</w:t>
      </w:r>
    </w:p>
    <w:p w14:paraId="29706B47" w14:textId="77777777" w:rsidR="0087687F" w:rsidRPr="00D23A56" w:rsidRDefault="0087687F" w:rsidP="0087687F">
      <w:pPr>
        <w:pStyle w:val="HTMLncedenBiimlendirilmi"/>
        <w:shd w:val="clear" w:color="auto" w:fill="FFFFFF"/>
        <w:spacing w:line="360" w:lineRule="auto"/>
        <w:jc w:val="both"/>
        <w:rPr>
          <w:bCs/>
          <w:i/>
          <w:color w:val="000000"/>
          <w:sz w:val="22"/>
          <w:szCs w:val="22"/>
          <w:rFonts w:asciiTheme="minorHAnsi" w:hAnsiTheme="minorHAnsi" w:cs="Times New Roman"/>
        </w:rPr>
      </w:pP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*Negli individui anziani sani, l'assunzione di proteine ​​è raccomandata di 1,0-1,2 g/kg/giorno.</w:t>
      </w:r>
    </w:p>
    <w:p w14:paraId="58D04135" w14:textId="77777777" w:rsidR="0087687F" w:rsidRPr="00D23A56" w:rsidRDefault="0087687F" w:rsidP="0087687F">
      <w:pPr>
        <w:pStyle w:val="HTMLncedenBiimlendirilmi"/>
        <w:shd w:val="clear" w:color="auto" w:fill="FFFFFF"/>
        <w:spacing w:line="360" w:lineRule="auto"/>
        <w:jc w:val="both"/>
        <w:rPr>
          <w:bCs/>
          <w:i/>
          <w:color w:val="000000"/>
          <w:sz w:val="22"/>
          <w:szCs w:val="22"/>
          <w:rFonts w:asciiTheme="minorHAnsi" w:hAnsiTheme="minorHAnsi" w:cs="Times New Roman"/>
        </w:rPr>
      </w:pP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*Per le persone anziane con malattie acute o croniche, l'assunzione di proteine ​​è raccomandata come 1,2-1,5 g/kg/giorno.</w:t>
      </w:r>
    </w:p>
    <w:p w14:paraId="486273DB" w14:textId="77777777" w:rsidR="0087687F" w:rsidRPr="00D23A56" w:rsidRDefault="0087687F" w:rsidP="0087687F">
      <w:pPr>
        <w:pStyle w:val="HTMLncedenBiimlendirilmi"/>
        <w:shd w:val="clear" w:color="auto" w:fill="FFFFFF"/>
        <w:spacing w:line="360" w:lineRule="auto"/>
        <w:jc w:val="both"/>
        <w:rPr>
          <w:bCs/>
          <w:i/>
          <w:color w:val="000000"/>
          <w:sz w:val="22"/>
          <w:szCs w:val="22"/>
          <w:rFonts w:asciiTheme="minorHAnsi" w:hAnsiTheme="minorHAnsi" w:cs="Times New Roman"/>
        </w:rPr>
      </w:pP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*Per le persone anziane con malattie gravi, lesioni o malnutrizione, potrebbe essere necessario aumentare l'assunzione di proteine ​​da 1,5 g/kg/giorno a 2,0 g/kg/giorno.</w:t>
      </w: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 </w:t>
      </w:r>
    </w:p>
    <w:p w14:paraId="04037E17" w14:textId="77777777" w:rsidR="0087687F" w:rsidRPr="00D23A56" w:rsidRDefault="0087687F" w:rsidP="0087687F">
      <w:pPr>
        <w:pStyle w:val="HTMLncedenBiimlendirilmi"/>
        <w:shd w:val="clear" w:color="auto" w:fill="FFFFFF"/>
        <w:jc w:val="both"/>
        <w:rPr>
          <w:rFonts w:asciiTheme="minorHAnsi" w:hAnsiTheme="minorHAnsi" w:cs="Times New Roman"/>
          <w:b/>
          <w:i/>
          <w:color w:val="000000"/>
          <w:sz w:val="22"/>
          <w:szCs w:val="22"/>
        </w:rPr>
      </w:pPr>
    </w:p>
    <w:p w14:paraId="54CDCF08" w14:textId="77777777" w:rsidR="0087687F" w:rsidRPr="00D23A56" w:rsidRDefault="0087687F" w:rsidP="0087687F">
      <w:pPr>
        <w:pStyle w:val="HTMLncedenBiimlendirilmi"/>
        <w:shd w:val="clear" w:color="auto" w:fill="FFFFFF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768C5AA4" w14:textId="77777777" w:rsidR="0087687F" w:rsidRPr="00D23A56" w:rsidRDefault="0087687F" w:rsidP="0087687F">
      <w:pPr>
        <w:pStyle w:val="HTMLncedenBiimlendirilmi"/>
        <w:shd w:val="clear" w:color="auto" w:fill="FFFFFF"/>
        <w:spacing w:line="360" w:lineRule="auto"/>
        <w:jc w:val="both"/>
        <w:rPr>
          <w:b/>
          <w:sz w:val="22"/>
          <w:szCs w:val="22"/>
          <w:rFonts w:asciiTheme="minorHAnsi" w:hAnsiTheme="minorHAnsi" w:cs="Times New Roman"/>
        </w:rPr>
      </w:pPr>
      <w:r>
        <w:rPr>
          <w:b/>
          <w:sz w:val="22"/>
          <w:szCs w:val="22"/>
          <w:rFonts w:asciiTheme="minorHAnsi" w:hAnsiTheme="minorHAnsi"/>
        </w:rPr>
        <w:t xml:space="preserve">I2.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L'inizio di supplementi nutrizionali orali (ONS) è appropriato nei pazienti anziani ospedalizzati con MN o MNR (aumenta l'assunzione di cibo e il peso corporeo, riduce il rischio di complicanze e riammissioni)</w:t>
      </w:r>
    </w:p>
    <w:p w14:paraId="017E45A2" w14:textId="77777777" w:rsidR="0087687F" w:rsidRPr="00D23A56" w:rsidRDefault="0087687F" w:rsidP="0087687F">
      <w:pPr>
        <w:pStyle w:val="HTMLncedenBiimlendirilmi"/>
        <w:shd w:val="clear" w:color="auto" w:fill="FFFFFF"/>
        <w:spacing w:line="360" w:lineRule="auto"/>
        <w:jc w:val="both"/>
        <w:rPr>
          <w:b/>
          <w:i/>
          <w:sz w:val="22"/>
          <w:szCs w:val="22"/>
          <w:rFonts w:asciiTheme="minorHAnsi" w:hAnsiTheme="minorHAnsi" w:cs="Times New Roman"/>
        </w:rPr>
      </w:pPr>
      <w:r>
        <w:rPr>
          <w:sz w:val="22"/>
          <w:szCs w:val="22"/>
          <w:bCs/>
          <w:i/>
          <w:iCs/>
          <w:rFonts w:asciiTheme="minorHAnsi" w:hAnsiTheme="minorHAnsi"/>
        </w:rPr>
        <w:t xml:space="preserve">*L'apporto energetico spontaneo per via orale è generalmente basso negli anziani con ospedalizzazione acuta e non soddisfa i requisiti.</w:t>
      </w:r>
      <w:r>
        <w:rPr>
          <w:sz w:val="22"/>
          <w:szCs w:val="22"/>
          <w:b/>
          <w:rFonts w:asciiTheme="minorHAnsi" w:hAnsiTheme="minorHAnsi"/>
        </w:rPr>
        <w:t xml:space="preserve"> </w:t>
      </w:r>
      <w:r>
        <w:rPr>
          <w:sz w:val="22"/>
          <w:szCs w:val="22"/>
          <w:i/>
          <w:rFonts w:asciiTheme="minorHAnsi" w:hAnsiTheme="minorHAnsi"/>
        </w:rPr>
        <w:br/>
      </w:r>
      <w:r>
        <w:rPr>
          <w:sz w:val="22"/>
          <w:szCs w:val="22"/>
          <w:i/>
          <w:bCs/>
          <w:rFonts w:asciiTheme="minorHAnsi" w:hAnsiTheme="minorHAnsi"/>
        </w:rPr>
        <w:t xml:space="preserve">*Dopo la dimissione dall'ospedale, nella maggior parte dei casi può essere opportuno continuare a utilizzare ONS.</w:t>
      </w:r>
    </w:p>
    <w:p w14:paraId="64421BA9" w14:textId="77777777" w:rsidR="0087687F" w:rsidRPr="00D23A56" w:rsidRDefault="0087687F" w:rsidP="0087687F">
      <w:pPr>
        <w:pStyle w:val="HTMLncedenBiimlendirilmi"/>
        <w:shd w:val="clear" w:color="auto" w:fill="FFFFFF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14:paraId="6109F160" w14:textId="77777777" w:rsidR="004613B7" w:rsidRDefault="004613B7" w:rsidP="0087687F">
      <w:pPr>
        <w:spacing w:line="360" w:lineRule="auto"/>
        <w:contextualSpacing/>
        <w:jc w:val="both"/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</w:pPr>
    </w:p>
    <w:p w14:paraId="7B412CA7" w14:textId="5632418F" w:rsidR="0087687F" w:rsidRPr="00D23A56" w:rsidRDefault="0087687F" w:rsidP="0087687F">
      <w:pPr>
        <w:spacing w:line="360" w:lineRule="auto"/>
        <w:contextualSpacing/>
        <w:jc w:val="both"/>
        <w:rPr>
          <w:b/>
          <w:i/>
          <w:color w:val="000000" w:themeColor="text1"/>
          <w:sz w:val="22"/>
          <w:szCs w:val="22"/>
          <w:vertAlign w:val="superscript"/>
          <w:rFonts w:asciiTheme="minorHAnsi" w:hAnsiTheme="minorHAnsi"/>
        </w:rPr>
      </w:pPr>
      <w:r>
        <w:rPr>
          <w:b/>
          <w:sz w:val="22"/>
          <w:szCs w:val="22"/>
          <w:color w:val="212121"/>
          <w:shd w:val="clear" w:color="auto" w:fill="FFFFFF"/>
          <w:rFonts w:asciiTheme="minorHAnsi" w:hAnsiTheme="minorHAnsi"/>
        </w:rPr>
        <w:t xml:space="preserve">I3.</w:t>
      </w:r>
      <w:r>
        <w:rPr>
          <w:b/>
          <w:sz w:val="22"/>
          <w:szCs w:val="22"/>
          <w:color w:val="212121"/>
          <w:shd w:val="clear" w:color="auto" w:fill="FFFFFF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È opportuno iniziare la ONS dopo l'intervento (indipendentemente dallo stato nutrizionale) nei pazienti anziani con fratture dell'anca (migliora l'assunzione di cibo e riduce il rischio di complicanze)</w:t>
      </w:r>
      <w:r>
        <w:rPr>
          <w:b/>
          <w:sz w:val="22"/>
          <w:szCs w:val="22"/>
          <w:color w:val="212121"/>
          <w:shd w:val="clear" w:color="auto" w:fill="FFFFFF"/>
          <w:rFonts w:asciiTheme="minorHAnsi" w:hAnsiTheme="minorHAnsi"/>
        </w:rPr>
        <w:t xml:space="preserve"> </w:t>
      </w:r>
    </w:p>
    <w:p w14:paraId="0E5B09FE" w14:textId="77777777" w:rsidR="0087687F" w:rsidRPr="00D23A56" w:rsidRDefault="0087687F" w:rsidP="0087687F">
      <w:pPr>
        <w:spacing w:line="360" w:lineRule="auto"/>
        <w:contextualSpacing/>
        <w:jc w:val="both"/>
        <w:rPr>
          <w:bCs/>
          <w:i/>
          <w:color w:val="212121"/>
          <w:sz w:val="22"/>
          <w:szCs w:val="22"/>
          <w:shd w:val="clear" w:color="auto" w:fill="FFFFFF"/>
          <w:rFonts w:asciiTheme="minorHAnsi" w:hAnsiTheme="minorHAnsi"/>
        </w:rPr>
      </w:pPr>
      <w:r>
        <w:rPr>
          <w:bCs/>
          <w:i/>
          <w:color w:val="212121"/>
          <w:sz w:val="22"/>
          <w:szCs w:val="22"/>
          <w:shd w:val="clear" w:color="auto" w:fill="FFFFFF"/>
          <w:rFonts w:asciiTheme="minorHAnsi" w:hAnsiTheme="minorHAnsi"/>
        </w:rPr>
        <w:t xml:space="preserve">*Non esiste una raccomandazione specifica ONS (standard o ad alto contenuto proteico).</w:t>
      </w:r>
      <w:r>
        <w:rPr>
          <w:bCs/>
          <w:i/>
          <w:color w:val="212121"/>
          <w:sz w:val="22"/>
          <w:szCs w:val="22"/>
          <w:shd w:val="clear" w:color="auto" w:fill="FFFFFF"/>
          <w:rFonts w:asciiTheme="minorHAnsi" w:hAnsiTheme="minorHAnsi"/>
        </w:rPr>
        <w:t xml:space="preserve"> </w:t>
      </w:r>
    </w:p>
    <w:p w14:paraId="559B0A8C" w14:textId="77777777" w:rsidR="0087687F" w:rsidRPr="00D23A56" w:rsidRDefault="0087687F" w:rsidP="0087687F">
      <w:pPr>
        <w:spacing w:line="360" w:lineRule="auto"/>
        <w:contextualSpacing/>
        <w:jc w:val="both"/>
        <w:rPr>
          <w:bCs/>
          <w:i/>
          <w:color w:val="4472C4" w:themeColor="accent1"/>
          <w:sz w:val="22"/>
          <w:szCs w:val="22"/>
          <w:shd w:val="clear" w:color="auto" w:fill="FFFFFF"/>
          <w:rFonts w:asciiTheme="minorHAnsi" w:hAnsiTheme="minorHAnsi"/>
        </w:rPr>
      </w:pPr>
      <w:r>
        <w:rPr>
          <w:bCs/>
          <w:i/>
          <w:sz w:val="22"/>
          <w:szCs w:val="22"/>
          <w:color w:val="212121"/>
          <w:shd w:val="clear" w:color="auto" w:fill="FFFFFF"/>
          <w:rFonts w:asciiTheme="minorHAnsi" w:hAnsiTheme="minorHAnsi"/>
        </w:rPr>
        <w:t xml:space="preserve">*Potrebbe essere opportuno somministrare ONS per almeno 1 mese.</w:t>
      </w:r>
      <w:r>
        <w:rPr>
          <w:bCs/>
          <w:i/>
          <w:sz w:val="22"/>
          <w:szCs w:val="22"/>
          <w:color w:val="212121"/>
          <w:shd w:val="clear" w:color="auto" w:fill="FFFFFF"/>
          <w:rFonts w:asciiTheme="minorHAnsi" w:hAnsiTheme="minorHAnsi"/>
        </w:rPr>
        <w:t xml:space="preserve"> </w:t>
      </w:r>
      <w:r>
        <w:rPr>
          <w:bCs/>
          <w:i/>
          <w:sz w:val="22"/>
          <w:szCs w:val="22"/>
          <w:rFonts w:asciiTheme="minorHAnsi" w:hAnsiTheme="minorHAnsi"/>
        </w:rPr>
        <w:t xml:space="preserve">Negli studi, l'ONS è stato utilizzato tra 1-6 mesi dopo la frattura dell'anca.</w:t>
      </w:r>
      <w:r>
        <w:rPr>
          <w:bCs/>
          <w:i/>
          <w:sz w:val="22"/>
          <w:szCs w:val="22"/>
          <w:shd w:val="clear" w:color="auto" w:fill="FFFFFF"/>
          <w:color w:val="4472C4" w:themeColor="accent1"/>
          <w:rFonts w:asciiTheme="minorHAnsi" w:hAnsiTheme="minorHAnsi"/>
        </w:rPr>
        <w:t xml:space="preserve"> </w:t>
      </w:r>
    </w:p>
    <w:p w14:paraId="7B7FE44D" w14:textId="557DD554" w:rsidR="000A315F" w:rsidRPr="004613B7" w:rsidRDefault="0087687F" w:rsidP="004613B7">
      <w:pPr>
        <w:spacing w:line="360" w:lineRule="auto"/>
        <w:contextualSpacing/>
        <w:jc w:val="both"/>
        <w:rPr>
          <w:bCs/>
          <w:i/>
          <w:color w:val="000000" w:themeColor="text1"/>
          <w:sz w:val="22"/>
          <w:szCs w:val="22"/>
          <w:shd w:val="clear" w:color="auto" w:fill="FFFFFF"/>
          <w:rFonts w:asciiTheme="minorHAnsi" w:hAnsiTheme="minorHAnsi"/>
        </w:rPr>
      </w:pPr>
      <w:r>
        <w:rPr>
          <w:bCs/>
          <w:i/>
          <w:color w:val="000000" w:themeColor="text1"/>
          <w:sz w:val="22"/>
          <w:szCs w:val="22"/>
          <w:shd w:val="clear" w:color="auto" w:fill="FFFFFF"/>
          <w:rFonts w:asciiTheme="minorHAnsi" w:hAnsiTheme="minorHAnsi"/>
        </w:rPr>
        <w:t xml:space="preserve">*Può essere presa in considerazione anche l'inizio preoperatorio.</w:t>
      </w:r>
      <w:r>
        <w:rPr>
          <w:bCs/>
          <w:i/>
          <w:color w:val="000000" w:themeColor="text1"/>
          <w:sz w:val="22"/>
          <w:szCs w:val="22"/>
          <w:shd w:val="clear" w:color="auto" w:fill="FFFFFF"/>
          <w:rFonts w:asciiTheme="minorHAnsi" w:hAnsiTheme="minorHAnsi"/>
        </w:rPr>
        <w:t xml:space="preserve"> </w:t>
      </w:r>
    </w:p>
    <w:p w14:paraId="74665482" w14:textId="77777777" w:rsidR="000A315F" w:rsidRPr="00D23A56" w:rsidRDefault="000A315F" w:rsidP="0087687F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14C4E6DB" w14:textId="77777777" w:rsidR="0087687F" w:rsidRPr="00D23A56" w:rsidRDefault="0087687F" w:rsidP="000A315F">
      <w:pPr>
        <w:pStyle w:val="HTMLncedenBiimlendirilmi"/>
        <w:spacing w:line="360" w:lineRule="auto"/>
        <w:rPr>
          <w:b/>
          <w:sz w:val="22"/>
          <w:szCs w:val="22"/>
          <w:rFonts w:asciiTheme="minorHAnsi" w:hAnsiTheme="minorHAnsi" w:cs="Times New Roman"/>
        </w:rPr>
      </w:pPr>
      <w:r>
        <w:rPr>
          <w:b/>
          <w:sz w:val="22"/>
          <w:szCs w:val="22"/>
          <w:rFonts w:asciiTheme="minorHAnsi" w:hAnsiTheme="minorHAnsi"/>
        </w:rPr>
        <w:t xml:space="preserve">I4.</w:t>
      </w:r>
      <w:r>
        <w:rPr>
          <w:b/>
          <w:sz w:val="22"/>
          <w:szCs w:val="22"/>
          <w:rFonts w:asciiTheme="minorHAnsi" w:hAnsiTheme="minorHAnsi"/>
        </w:rPr>
        <w:t xml:space="preserve"> </w:t>
      </w:r>
      <w:r>
        <w:rPr>
          <w:b/>
          <w:sz w:val="22"/>
          <w:szCs w:val="22"/>
          <w:rFonts w:asciiTheme="minorHAnsi" w:hAnsiTheme="minorHAnsi"/>
        </w:rPr>
        <w:t xml:space="preserve">Al fine di garantire un adeguato apporto proteico ed energetico nei pazienti con ulcere da pressione, è opportuno iniziare l'ONS mirando a 1,2-2 g/kg/giorno di proteine ​​e 30-35 kcal/kg/giorno di energia.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14:paraId="60D91B20" w14:textId="77777777" w:rsidR="0087687F" w:rsidRPr="00D23A56" w:rsidRDefault="0087687F" w:rsidP="00C414DB">
      <w:pPr>
        <w:spacing w:line="360" w:lineRule="auto"/>
        <w:contextualSpacing/>
        <w:mirrorIndents/>
        <w:jc w:val="both"/>
        <w:rPr>
          <w:bCs/>
          <w:i/>
          <w:sz w:val="22"/>
          <w:szCs w:val="22"/>
          <w:rFonts w:asciiTheme="minorHAnsi" w:hAnsiTheme="minorHAnsi"/>
        </w:rPr>
      </w:pPr>
      <w:r>
        <w:rPr>
          <w:bCs/>
          <w:sz w:val="22"/>
          <w:szCs w:val="22"/>
          <w:rFonts w:asciiTheme="minorHAnsi" w:hAnsiTheme="minorHAnsi"/>
        </w:rPr>
        <w:t xml:space="preserve">*Nei pazienti malnutriti con ulcere da pressione, l'uso di ONS ad alto contenuto proteico ed energetico arricchito con arginina, zinco e antiossidanti può essere più vantaggioso.</w:t>
      </w:r>
    </w:p>
    <w:p w14:paraId="03F283FA" w14:textId="77777777" w:rsidR="0087687F" w:rsidRPr="00D23A56" w:rsidRDefault="0087687F" w:rsidP="00C414DB">
      <w:pPr>
        <w:pStyle w:val="HTMLncedenBiimlendirilmi"/>
        <w:spacing w:line="360" w:lineRule="auto"/>
        <w:contextualSpacing/>
        <w:mirrorIndents/>
        <w:jc w:val="both"/>
        <w:rPr>
          <w:bCs/>
          <w:i/>
          <w:color w:val="000000"/>
          <w:sz w:val="22"/>
          <w:szCs w:val="22"/>
          <w:rFonts w:asciiTheme="minorHAnsi" w:hAnsiTheme="minorHAnsi" w:cs="Times New Roman"/>
        </w:rPr>
      </w:pPr>
      <w:r>
        <w:rPr>
          <w:bCs/>
          <w:i/>
          <w:color w:val="000000"/>
          <w:sz w:val="22"/>
          <w:szCs w:val="22"/>
          <w:rFonts w:asciiTheme="minorHAnsi" w:hAnsiTheme="minorHAnsi"/>
        </w:rPr>
        <w:t xml:space="preserve">*L'aggiunta di arginina, glutammina e HMB ai prodotti nutrizionali può avere risultati positivi nei pazienti con ulcere da pressione.</w:t>
      </w:r>
    </w:p>
    <w:p w14:paraId="09BDD023" w14:textId="77777777" w:rsidR="0087687F" w:rsidRPr="00D23A56" w:rsidRDefault="0087687F" w:rsidP="0087687F">
      <w:pPr>
        <w:pStyle w:val="HTMLncedenBiimlendirilmi"/>
        <w:jc w:val="both"/>
        <w:rPr>
          <w:rFonts w:asciiTheme="minorHAnsi" w:hAnsiTheme="minorHAnsi" w:cs="Times New Roman"/>
          <w:b/>
          <w:i/>
          <w:color w:val="000000"/>
          <w:sz w:val="22"/>
          <w:szCs w:val="22"/>
        </w:rPr>
      </w:pPr>
    </w:p>
    <w:p w14:paraId="68BF3157" w14:textId="77777777" w:rsidR="00E62E1F" w:rsidRDefault="00E62E1F"/>
    <w:tbl>
      <w:tblPr>
        <w:tblpPr w:leftFromText="141" w:rightFromText="141" w:vertAnchor="text" w:horzAnchor="margin" w:tblpY="790"/>
        <w:tblW w:w="6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7"/>
      </w:tblGrid>
      <w:tr w:rsidR="00504EA8" w:rsidRPr="0063161F" w14:paraId="245F0ADC" w14:textId="77777777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97AE" w14:textId="77777777" w:rsidR="00504EA8" w:rsidRPr="003212D6" w:rsidRDefault="00504EA8" w:rsidP="00504EA8">
            <w:pPr>
              <w:rPr>
                <w:b/>
                <w:rFonts w:ascii="Calibri" w:hAnsi="Calibri"/>
              </w:rPr>
            </w:pPr>
            <w:r>
              <w:rPr>
                <w:b/>
                <w:rFonts w:ascii="Calibri" w:hAnsi="Calibri"/>
              </w:rPr>
              <w:t xml:space="preserve">Abbreviazioni:</w:t>
            </w:r>
          </w:p>
          <w:p w14:paraId="1F94A3DD" w14:textId="77777777"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ACEİ: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Inibitori dell'enzima di conversione dell'angiotensina</w:t>
            </w:r>
          </w:p>
        </w:tc>
      </w:tr>
      <w:tr w:rsidR="00504EA8" w:rsidRPr="0063161F" w14:paraId="03F2852A" w14:textId="77777777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6EE3" w14:textId="77777777"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ARB: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Bloccanti del recettore dell'angiotensina</w:t>
            </w:r>
          </w:p>
          <w:p w14:paraId="761AF9EA" w14:textId="77777777"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BTM: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Indicatori di turnover osseo</w:t>
            </w:r>
          </w:p>
        </w:tc>
      </w:tr>
      <w:tr w:rsidR="00504EA8" w:rsidRPr="0063161F" w14:paraId="496011B5" w14:textId="77777777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592E" w14:textId="77777777"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ChEİ: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Inibitori dell'acetilcolinesterasi</w:t>
            </w:r>
          </w:p>
          <w:p w14:paraId="24C8E0AD" w14:textId="77777777"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COMT: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Catecol-O-metiltransferasi</w:t>
            </w:r>
          </w:p>
        </w:tc>
      </w:tr>
      <w:tr w:rsidR="00504EA8" w:rsidRPr="0063161F" w14:paraId="1F2F0BAE" w14:textId="77777777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23D3" w14:textId="77777777"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EF: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Frazione di eiezione</w:t>
            </w:r>
          </w:p>
        </w:tc>
      </w:tr>
      <w:tr w:rsidR="00504EA8" w:rsidRPr="0063161F" w14:paraId="25792512" w14:textId="77777777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C443" w14:textId="77777777"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eGFR: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Tasso di filtrazione glomerulare stimato</w:t>
            </w:r>
          </w:p>
        </w:tc>
      </w:tr>
      <w:tr w:rsidR="00504EA8" w:rsidRPr="0063161F" w14:paraId="67E4F143" w14:textId="77777777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D837" w14:textId="77777777"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FDA: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Amministrazione di alimenti e farmaci</w:t>
            </w:r>
          </w:p>
          <w:p w14:paraId="3066840F" w14:textId="77777777"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FEV1: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Volume espiratorio forzato</w:t>
            </w:r>
          </w:p>
        </w:tc>
      </w:tr>
      <w:tr w:rsidR="00504EA8" w:rsidRPr="0063161F" w14:paraId="44D2EADE" w14:textId="77777777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91EC" w14:textId="77777777"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GİS: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Sistema gastrointestinale</w:t>
            </w:r>
          </w:p>
        </w:tc>
      </w:tr>
      <w:tr w:rsidR="00504EA8" w:rsidRPr="0063161F" w14:paraId="29F24A1C" w14:textId="77777777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2235" w14:textId="77777777" w:rsidR="00504EA8" w:rsidRPr="00055E8C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IPSS: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Punteggio internazionale dei sintomi della prostata</w:t>
            </w:r>
          </w:p>
        </w:tc>
      </w:tr>
      <w:tr w:rsidR="00504EA8" w:rsidRPr="0063161F" w14:paraId="64ED793C" w14:textId="77777777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DB81" w14:textId="77777777"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KOAH: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Broncopneumopatia cronica ostruttiva</w:t>
            </w:r>
          </w:p>
          <w:p w14:paraId="7B1EBAB4" w14:textId="77777777"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KMD: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Densità minerale ossea</w:t>
            </w:r>
          </w:p>
        </w:tc>
      </w:tr>
      <w:tr w:rsidR="00504EA8" w:rsidRPr="0063161F" w14:paraId="4717F0CB" w14:textId="77777777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7BB" w14:textId="77777777"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LUTS: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Sintomi del tratto urinario inferiore</w:t>
            </w:r>
          </w:p>
          <w:p w14:paraId="0970C7C0" w14:textId="77777777"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MAO-B: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Monoamino ossidasi-B</w:t>
            </w:r>
          </w:p>
          <w:p w14:paraId="46ABC7AC" w14:textId="77777777"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Mİ: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Infarto miocardico</w:t>
            </w:r>
          </w:p>
        </w:tc>
      </w:tr>
      <w:tr w:rsidR="00504EA8" w:rsidRPr="0063161F" w14:paraId="33A98B2D" w14:textId="77777777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7761" w14:textId="77777777"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MN: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Malnutrizione </w:t>
            </w:r>
          </w:p>
          <w:p w14:paraId="7459CA0F" w14:textId="77777777"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MNR: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Rischio di malnutrizione</w:t>
            </w:r>
          </w:p>
        </w:tc>
      </w:tr>
      <w:tr w:rsidR="00504EA8" w:rsidRPr="0063161F" w14:paraId="2693A496" w14:textId="77777777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FC37" w14:textId="77777777"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NSAİİ: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Farmaci antinfiammatori non steroidei</w:t>
            </w:r>
          </w:p>
          <w:p w14:paraId="46748CAB" w14:textId="77777777"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OAK: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Anticoagulante orale</w:t>
            </w:r>
          </w:p>
          <w:p w14:paraId="004548ED" w14:textId="77777777"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ONS: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Integratore alimentare orale</w:t>
            </w:r>
          </w:p>
          <w:p w14:paraId="7D0B668A" w14:textId="77777777"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RZV: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Vaccino zoster ricombinante</w:t>
            </w:r>
          </w:p>
          <w:p w14:paraId="3969B00D" w14:textId="77777777"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SaO2: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Saturazione di ossigeno</w:t>
            </w:r>
          </w:p>
        </w:tc>
      </w:tr>
      <w:tr w:rsidR="00504EA8" w:rsidRPr="0063161F" w14:paraId="59758CEC" w14:textId="77777777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DB5F" w14:textId="77777777"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SNRIs: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Inibitori della ricaptazione della serotonina-norepinefrina</w:t>
            </w:r>
          </w:p>
        </w:tc>
      </w:tr>
      <w:tr w:rsidR="00504EA8" w:rsidRPr="0063161F" w14:paraId="20C1FA2F" w14:textId="77777777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2988" w14:textId="77777777"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SSRIs: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Inibitori selettivi della ricaptazione della serotonina</w:t>
            </w:r>
          </w:p>
        </w:tc>
      </w:tr>
      <w:tr w:rsidR="00504EA8" w:rsidRPr="0063161F" w14:paraId="1FA6EDD4" w14:textId="77777777" w:rsidTr="00504EA8">
        <w:trPr>
          <w:trHeight w:val="37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A441" w14:textId="77777777"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TdaP: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Tetano, difterite e pertosse acellulare</w:t>
            </w:r>
          </w:p>
          <w:p w14:paraId="565540E1" w14:textId="77777777"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ZVL: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Vaccino zoster vivo</w:t>
            </w:r>
          </w:p>
        </w:tc>
      </w:tr>
    </w:tbl>
    <w:p w14:paraId="0908A9C1" w14:textId="3AEB84F7" w:rsidR="003212D6" w:rsidRPr="000C6676" w:rsidRDefault="003212D6" w:rsidP="003212D6">
      <w:pPr>
        <w:contextualSpacing/>
        <w:jc w:val="both"/>
        <w:sectPr w:rsidR="003212D6" w:rsidRPr="000C6676" w:rsidSect="003E168B">
          <w:pgSz w:w="11906" w:h="16838"/>
          <w:pgMar w:top="1417" w:right="1417" w:bottom="1417" w:left="1417" w:header="708" w:footer="708" w:gutter="0"/>
          <w:cols w:space="708"/>
          <w:docGrid w:linePitch="360"/>
        </w:sectPr>
        <w:rPr>
          <w:bCs/>
          <w:i/>
          <w:rFonts w:asciiTheme="minorHAnsi" w:hAnsiTheme="minorHAnsi" w:cstheme="minorHAnsi"/>
        </w:rPr>
      </w:pPr>
      <w:r>
        <w:rPr>
          <w:bCs/>
          <w:rFonts w:asciiTheme="minorHAnsi" w:hAnsiTheme="minorHAnsi"/>
        </w:rPr>
        <w:t xml:space="preserve">#</w:t>
      </w:r>
      <w:r>
        <w:rPr>
          <w:bCs/>
          <w:color w:val="000000"/>
          <w:shd w:val="clear" w:color="auto" w:fill="FFFFFF"/>
          <w:rFonts w:asciiTheme="minorHAnsi" w:hAnsiTheme="minorHAnsi"/>
        </w:rPr>
        <w:t xml:space="preserve">Criterio per il quale non è stato previsto alcun concerto nello studio del panel Internazionale Delphi</w:t>
      </w:r>
    </w:p>
    <w:p w14:paraId="77D8E750" w14:textId="77777777" w:rsidR="00580A4F" w:rsidRDefault="00580A4F"/>
    <w:sectPr w:rsidR="00580A4F" w:rsidSect="00686D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1BFA" w14:textId="77777777" w:rsidR="003E5EA3" w:rsidRDefault="003E5EA3" w:rsidP="00504EA8">
      <w:r>
        <w:separator/>
      </w:r>
    </w:p>
  </w:endnote>
  <w:endnote w:type="continuationSeparator" w:id="0">
    <w:p w14:paraId="413A893B" w14:textId="77777777" w:rsidR="003E5EA3" w:rsidRDefault="003E5EA3" w:rsidP="0050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Serif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E580" w14:textId="77777777" w:rsidR="003E5EA3" w:rsidRDefault="003E5EA3" w:rsidP="00504EA8">
      <w:r>
        <w:separator/>
      </w:r>
    </w:p>
  </w:footnote>
  <w:footnote w:type="continuationSeparator" w:id="0">
    <w:p w14:paraId="058048B9" w14:textId="77777777" w:rsidR="003E5EA3" w:rsidRDefault="003E5EA3" w:rsidP="0050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976"/>
    <w:multiLevelType w:val="multilevel"/>
    <w:tmpl w:val="002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B64D1"/>
    <w:multiLevelType w:val="hybridMultilevel"/>
    <w:tmpl w:val="CD9A3100"/>
    <w:lvl w:ilvl="0" w:tplc="C5BA2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7070F"/>
    <w:multiLevelType w:val="hybridMultilevel"/>
    <w:tmpl w:val="EC4473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956F4"/>
    <w:multiLevelType w:val="hybridMultilevel"/>
    <w:tmpl w:val="E4D8DB2A"/>
    <w:lvl w:ilvl="0" w:tplc="36FE1B8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6E8"/>
    <w:multiLevelType w:val="multilevel"/>
    <w:tmpl w:val="332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24521"/>
    <w:multiLevelType w:val="multilevel"/>
    <w:tmpl w:val="67E0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A1603"/>
    <w:multiLevelType w:val="multilevel"/>
    <w:tmpl w:val="2F2E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41A2D"/>
    <w:multiLevelType w:val="hybridMultilevel"/>
    <w:tmpl w:val="ED102BF2"/>
    <w:lvl w:ilvl="0" w:tplc="16A4F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3A2"/>
    <w:multiLevelType w:val="multilevel"/>
    <w:tmpl w:val="20E0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F30FB"/>
    <w:multiLevelType w:val="hybridMultilevel"/>
    <w:tmpl w:val="73306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C3D"/>
    <w:multiLevelType w:val="multilevel"/>
    <w:tmpl w:val="6C32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5B02"/>
    <w:multiLevelType w:val="multilevel"/>
    <w:tmpl w:val="4354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C1E43"/>
    <w:multiLevelType w:val="multilevel"/>
    <w:tmpl w:val="4E68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00095"/>
    <w:multiLevelType w:val="multilevel"/>
    <w:tmpl w:val="E792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E6178"/>
    <w:multiLevelType w:val="multilevel"/>
    <w:tmpl w:val="E7F6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734F2"/>
    <w:multiLevelType w:val="hybridMultilevel"/>
    <w:tmpl w:val="7D688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6123C"/>
    <w:multiLevelType w:val="multilevel"/>
    <w:tmpl w:val="8346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91A2A"/>
    <w:multiLevelType w:val="multilevel"/>
    <w:tmpl w:val="F24E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41E0B"/>
    <w:multiLevelType w:val="multilevel"/>
    <w:tmpl w:val="991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E40DB"/>
    <w:multiLevelType w:val="multilevel"/>
    <w:tmpl w:val="99CC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8752C"/>
    <w:multiLevelType w:val="multilevel"/>
    <w:tmpl w:val="D310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872E55"/>
    <w:multiLevelType w:val="multilevel"/>
    <w:tmpl w:val="6B76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30F27"/>
    <w:multiLevelType w:val="hybridMultilevel"/>
    <w:tmpl w:val="F7E6D4B6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E54DA"/>
    <w:multiLevelType w:val="multilevel"/>
    <w:tmpl w:val="EB7A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31156"/>
    <w:multiLevelType w:val="multilevel"/>
    <w:tmpl w:val="A1A2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E1825"/>
    <w:multiLevelType w:val="multilevel"/>
    <w:tmpl w:val="043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C465DE"/>
    <w:multiLevelType w:val="hybridMultilevel"/>
    <w:tmpl w:val="382413DE"/>
    <w:lvl w:ilvl="0" w:tplc="000AFE02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73396"/>
    <w:multiLevelType w:val="hybridMultilevel"/>
    <w:tmpl w:val="A2F6568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FE0002"/>
    <w:multiLevelType w:val="hybridMultilevel"/>
    <w:tmpl w:val="2A2E86BE"/>
    <w:lvl w:ilvl="0" w:tplc="D1F07BD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F1B2C"/>
    <w:multiLevelType w:val="multilevel"/>
    <w:tmpl w:val="5DF4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384945"/>
    <w:multiLevelType w:val="hybridMultilevel"/>
    <w:tmpl w:val="E5AC8848"/>
    <w:lvl w:ilvl="0" w:tplc="FEA21AC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049EF"/>
    <w:multiLevelType w:val="multilevel"/>
    <w:tmpl w:val="16CE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37E79"/>
    <w:multiLevelType w:val="hybridMultilevel"/>
    <w:tmpl w:val="C714D806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622A8"/>
    <w:multiLevelType w:val="hybridMultilevel"/>
    <w:tmpl w:val="BFDE55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0DA"/>
    <w:multiLevelType w:val="hybridMultilevel"/>
    <w:tmpl w:val="12EC5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3D0B"/>
    <w:multiLevelType w:val="hybridMultilevel"/>
    <w:tmpl w:val="936AF2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F2E18"/>
    <w:multiLevelType w:val="multilevel"/>
    <w:tmpl w:val="1EB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A22571"/>
    <w:multiLevelType w:val="multilevel"/>
    <w:tmpl w:val="54BC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870A7"/>
    <w:multiLevelType w:val="hybridMultilevel"/>
    <w:tmpl w:val="2A7E90CE"/>
    <w:lvl w:ilvl="0" w:tplc="CC3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8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C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E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23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C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A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0B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88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68B32D6"/>
    <w:multiLevelType w:val="multilevel"/>
    <w:tmpl w:val="D888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183197"/>
    <w:multiLevelType w:val="hybridMultilevel"/>
    <w:tmpl w:val="7B26086E"/>
    <w:lvl w:ilvl="0" w:tplc="A0E8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E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1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6B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E0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E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ED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E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EC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327197"/>
    <w:multiLevelType w:val="hybridMultilevel"/>
    <w:tmpl w:val="6DCA464A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C0981"/>
    <w:multiLevelType w:val="multilevel"/>
    <w:tmpl w:val="9DD2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505D43"/>
    <w:multiLevelType w:val="hybridMultilevel"/>
    <w:tmpl w:val="319A5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96686"/>
    <w:multiLevelType w:val="multilevel"/>
    <w:tmpl w:val="DFC4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CB0A6A"/>
    <w:multiLevelType w:val="hybridMultilevel"/>
    <w:tmpl w:val="55089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E49F0"/>
    <w:multiLevelType w:val="multilevel"/>
    <w:tmpl w:val="68F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1B52C4"/>
    <w:multiLevelType w:val="multilevel"/>
    <w:tmpl w:val="F9B4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36184"/>
    <w:multiLevelType w:val="multilevel"/>
    <w:tmpl w:val="A7E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703D7A"/>
    <w:multiLevelType w:val="multilevel"/>
    <w:tmpl w:val="6C3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8"/>
  </w:num>
  <w:num w:numId="3">
    <w:abstractNumId w:val="33"/>
  </w:num>
  <w:num w:numId="4">
    <w:abstractNumId w:val="1"/>
  </w:num>
  <w:num w:numId="5">
    <w:abstractNumId w:val="2"/>
  </w:num>
  <w:num w:numId="6">
    <w:abstractNumId w:val="22"/>
  </w:num>
  <w:num w:numId="7">
    <w:abstractNumId w:val="30"/>
  </w:num>
  <w:num w:numId="8">
    <w:abstractNumId w:val="11"/>
  </w:num>
  <w:num w:numId="9">
    <w:abstractNumId w:val="12"/>
  </w:num>
  <w:num w:numId="10">
    <w:abstractNumId w:val="26"/>
  </w:num>
  <w:num w:numId="11">
    <w:abstractNumId w:val="13"/>
  </w:num>
  <w:num w:numId="12">
    <w:abstractNumId w:val="28"/>
  </w:num>
  <w:num w:numId="13">
    <w:abstractNumId w:val="46"/>
  </w:num>
  <w:num w:numId="14">
    <w:abstractNumId w:val="31"/>
  </w:num>
  <w:num w:numId="15">
    <w:abstractNumId w:val="36"/>
  </w:num>
  <w:num w:numId="16">
    <w:abstractNumId w:val="37"/>
  </w:num>
  <w:num w:numId="17">
    <w:abstractNumId w:val="19"/>
  </w:num>
  <w:num w:numId="18">
    <w:abstractNumId w:val="21"/>
  </w:num>
  <w:num w:numId="19">
    <w:abstractNumId w:val="17"/>
  </w:num>
  <w:num w:numId="20">
    <w:abstractNumId w:val="29"/>
  </w:num>
  <w:num w:numId="21">
    <w:abstractNumId w:val="10"/>
  </w:num>
  <w:num w:numId="22">
    <w:abstractNumId w:val="5"/>
  </w:num>
  <w:num w:numId="23">
    <w:abstractNumId w:val="49"/>
  </w:num>
  <w:num w:numId="24">
    <w:abstractNumId w:val="14"/>
  </w:num>
  <w:num w:numId="25">
    <w:abstractNumId w:val="47"/>
  </w:num>
  <w:num w:numId="26">
    <w:abstractNumId w:val="23"/>
  </w:num>
  <w:num w:numId="27">
    <w:abstractNumId w:val="42"/>
  </w:num>
  <w:num w:numId="28">
    <w:abstractNumId w:val="8"/>
  </w:num>
  <w:num w:numId="29">
    <w:abstractNumId w:val="39"/>
  </w:num>
  <w:num w:numId="30">
    <w:abstractNumId w:val="24"/>
  </w:num>
  <w:num w:numId="31">
    <w:abstractNumId w:val="0"/>
  </w:num>
  <w:num w:numId="32">
    <w:abstractNumId w:val="3"/>
  </w:num>
  <w:num w:numId="33">
    <w:abstractNumId w:val="18"/>
  </w:num>
  <w:num w:numId="34">
    <w:abstractNumId w:val="4"/>
  </w:num>
  <w:num w:numId="35">
    <w:abstractNumId w:val="25"/>
  </w:num>
  <w:num w:numId="36">
    <w:abstractNumId w:val="44"/>
  </w:num>
  <w:num w:numId="37">
    <w:abstractNumId w:val="16"/>
  </w:num>
  <w:num w:numId="38">
    <w:abstractNumId w:val="20"/>
  </w:num>
  <w:num w:numId="39">
    <w:abstractNumId w:val="15"/>
  </w:num>
  <w:num w:numId="40">
    <w:abstractNumId w:val="45"/>
  </w:num>
  <w:num w:numId="41">
    <w:abstractNumId w:val="34"/>
  </w:num>
  <w:num w:numId="42">
    <w:abstractNumId w:val="43"/>
  </w:num>
  <w:num w:numId="43">
    <w:abstractNumId w:val="7"/>
  </w:num>
  <w:num w:numId="44">
    <w:abstractNumId w:val="41"/>
  </w:num>
  <w:num w:numId="45">
    <w:abstractNumId w:val="32"/>
  </w:num>
  <w:num w:numId="46">
    <w:abstractNumId w:val="35"/>
  </w:num>
  <w:num w:numId="47">
    <w:abstractNumId w:val="40"/>
  </w:num>
  <w:num w:numId="48">
    <w:abstractNumId w:val="27"/>
  </w:num>
  <w:num w:numId="49">
    <w:abstractNumId w:val="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7F"/>
    <w:rsid w:val="00083447"/>
    <w:rsid w:val="000A315F"/>
    <w:rsid w:val="001A5946"/>
    <w:rsid w:val="0021098E"/>
    <w:rsid w:val="00220470"/>
    <w:rsid w:val="00271D01"/>
    <w:rsid w:val="002D1D53"/>
    <w:rsid w:val="003212D6"/>
    <w:rsid w:val="00381C12"/>
    <w:rsid w:val="003C46C7"/>
    <w:rsid w:val="003E5EA3"/>
    <w:rsid w:val="004613B7"/>
    <w:rsid w:val="00504EA8"/>
    <w:rsid w:val="005130B0"/>
    <w:rsid w:val="00580A4F"/>
    <w:rsid w:val="006318EC"/>
    <w:rsid w:val="0063366A"/>
    <w:rsid w:val="00686DAC"/>
    <w:rsid w:val="006946BB"/>
    <w:rsid w:val="006A4946"/>
    <w:rsid w:val="007109B3"/>
    <w:rsid w:val="00787C15"/>
    <w:rsid w:val="00851AFB"/>
    <w:rsid w:val="008765EF"/>
    <w:rsid w:val="0087687F"/>
    <w:rsid w:val="008874FC"/>
    <w:rsid w:val="008A4F48"/>
    <w:rsid w:val="0096528C"/>
    <w:rsid w:val="00967E82"/>
    <w:rsid w:val="009B6E20"/>
    <w:rsid w:val="009D3E08"/>
    <w:rsid w:val="009E5E56"/>
    <w:rsid w:val="00A64DD3"/>
    <w:rsid w:val="00A67324"/>
    <w:rsid w:val="00AE7765"/>
    <w:rsid w:val="00AF4C98"/>
    <w:rsid w:val="00AF66B5"/>
    <w:rsid w:val="00B35A74"/>
    <w:rsid w:val="00B4173A"/>
    <w:rsid w:val="00C414DB"/>
    <w:rsid w:val="00CB650A"/>
    <w:rsid w:val="00CF34E0"/>
    <w:rsid w:val="00D175F8"/>
    <w:rsid w:val="00D23A56"/>
    <w:rsid w:val="00D43402"/>
    <w:rsid w:val="00D75F55"/>
    <w:rsid w:val="00DC669A"/>
    <w:rsid w:val="00DF6CCD"/>
    <w:rsid w:val="00E62E1F"/>
    <w:rsid w:val="00E6620A"/>
    <w:rsid w:val="00E72F78"/>
    <w:rsid w:val="00E85B98"/>
    <w:rsid w:val="00E9431A"/>
    <w:rsid w:val="00F33FC1"/>
    <w:rsid w:val="00F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7A2C"/>
  <w15:chartTrackingRefBased/>
  <w15:docId w15:val="{41F8D6EC-50C9-4F4C-B13F-73118770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7F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768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68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768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7687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768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768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7687F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7687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tr-TR"/>
    </w:rPr>
  </w:style>
  <w:style w:type="paragraph" w:styleId="ListeParagraf">
    <w:name w:val="List Paragraph"/>
    <w:basedOn w:val="Normal"/>
    <w:uiPriority w:val="34"/>
    <w:qFormat/>
    <w:rsid w:val="008768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76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7687F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87687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768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paragraph" w:styleId="NormalWeb">
    <w:name w:val="Normal (Web)"/>
    <w:basedOn w:val="Normal"/>
    <w:uiPriority w:val="99"/>
    <w:unhideWhenUsed/>
    <w:rsid w:val="0087687F"/>
    <w:pPr>
      <w:spacing w:before="100" w:beforeAutospacing="1" w:after="100" w:afterAutospacing="1"/>
    </w:pPr>
  </w:style>
  <w:style w:type="character" w:customStyle="1" w:styleId="h1">
    <w:name w:val="h1"/>
    <w:basedOn w:val="VarsaylanParagrafYazTipi"/>
    <w:rsid w:val="0087687F"/>
  </w:style>
  <w:style w:type="character" w:customStyle="1" w:styleId="headingendmark">
    <w:name w:val="headingendmark"/>
    <w:basedOn w:val="VarsaylanParagrafYazTipi"/>
    <w:rsid w:val="0087687F"/>
  </w:style>
  <w:style w:type="character" w:styleId="Kpr">
    <w:name w:val="Hyperlink"/>
    <w:basedOn w:val="VarsaylanParagrafYazTipi"/>
    <w:uiPriority w:val="99"/>
    <w:unhideWhenUsed/>
    <w:rsid w:val="0087687F"/>
    <w:rPr>
      <w:color w:val="0000FF"/>
      <w:u w:val="single"/>
    </w:rPr>
  </w:style>
  <w:style w:type="paragraph" w:customStyle="1" w:styleId="bulletndent1">
    <w:name w:val="bulletındent1"/>
    <w:basedOn w:val="Normal"/>
    <w:rsid w:val="0087687F"/>
    <w:pPr>
      <w:spacing w:before="100" w:beforeAutospacing="1" w:after="100" w:afterAutospacing="1"/>
    </w:pPr>
  </w:style>
  <w:style w:type="character" w:customStyle="1" w:styleId="glyph">
    <w:name w:val="glyph"/>
    <w:basedOn w:val="VarsaylanParagrafYazTipi"/>
    <w:rsid w:val="0087687F"/>
  </w:style>
  <w:style w:type="character" w:styleId="Vurgu">
    <w:name w:val="Emphasis"/>
    <w:basedOn w:val="VarsaylanParagrafYazTipi"/>
    <w:uiPriority w:val="20"/>
    <w:qFormat/>
    <w:rsid w:val="0087687F"/>
    <w:rPr>
      <w:i/>
      <w:iCs/>
    </w:rPr>
  </w:style>
  <w:style w:type="character" w:customStyle="1" w:styleId="apple-converted-space">
    <w:name w:val="apple-converted-space"/>
    <w:basedOn w:val="VarsaylanParagrafYazTipi"/>
    <w:rsid w:val="0087687F"/>
  </w:style>
  <w:style w:type="character" w:styleId="zlenenKpr">
    <w:name w:val="FollowedHyperlink"/>
    <w:basedOn w:val="VarsaylanParagrafYazTipi"/>
    <w:uiPriority w:val="99"/>
    <w:semiHidden/>
    <w:unhideWhenUsed/>
    <w:rsid w:val="0087687F"/>
    <w:rPr>
      <w:color w:val="954F72" w:themeColor="followedHyperlink"/>
      <w:u w:val="single"/>
    </w:rPr>
  </w:style>
  <w:style w:type="character" w:customStyle="1" w:styleId="nowrap">
    <w:name w:val="nowrap"/>
    <w:basedOn w:val="VarsaylanParagrafYazTipi"/>
    <w:rsid w:val="0087687F"/>
  </w:style>
  <w:style w:type="paragraph" w:customStyle="1" w:styleId="headinganchor">
    <w:name w:val="headinganchor"/>
    <w:basedOn w:val="Normal"/>
    <w:rsid w:val="0087687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7687F"/>
    <w:rPr>
      <w:b/>
      <w:bCs/>
    </w:rPr>
  </w:style>
  <w:style w:type="character" w:customStyle="1" w:styleId="highlighted">
    <w:name w:val="highlighted"/>
    <w:basedOn w:val="VarsaylanParagrafYazTipi"/>
    <w:rsid w:val="0087687F"/>
  </w:style>
  <w:style w:type="character" w:customStyle="1" w:styleId="h2">
    <w:name w:val="h2"/>
    <w:basedOn w:val="VarsaylanParagrafYazTipi"/>
    <w:rsid w:val="0087687F"/>
  </w:style>
  <w:style w:type="paragraph" w:customStyle="1" w:styleId="svarticle">
    <w:name w:val="svarticle"/>
    <w:basedOn w:val="Normal"/>
    <w:rsid w:val="0087687F"/>
    <w:pPr>
      <w:spacing w:before="100" w:beforeAutospacing="1" w:after="100" w:afterAutospacing="1"/>
    </w:pPr>
  </w:style>
  <w:style w:type="character" w:customStyle="1" w:styleId="highlight">
    <w:name w:val="highlight"/>
    <w:basedOn w:val="VarsaylanParagrafYazTipi"/>
    <w:rsid w:val="0087687F"/>
  </w:style>
  <w:style w:type="paragraph" w:customStyle="1" w:styleId="paragraph">
    <w:name w:val="paragraph"/>
    <w:basedOn w:val="Normal"/>
    <w:rsid w:val="0087687F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87687F"/>
  </w:style>
  <w:style w:type="character" w:customStyle="1" w:styleId="spellingerror">
    <w:name w:val="spellingerror"/>
    <w:basedOn w:val="VarsaylanParagrafYazTipi"/>
    <w:rsid w:val="0087687F"/>
  </w:style>
  <w:style w:type="character" w:customStyle="1" w:styleId="eop">
    <w:name w:val="eop"/>
    <w:basedOn w:val="VarsaylanParagrafYazTipi"/>
    <w:rsid w:val="0087687F"/>
  </w:style>
  <w:style w:type="character" w:styleId="AklamaBavurusu">
    <w:name w:val="annotation reference"/>
    <w:basedOn w:val="VarsaylanParagrafYazTipi"/>
    <w:uiPriority w:val="99"/>
    <w:semiHidden/>
    <w:unhideWhenUsed/>
    <w:rsid w:val="008768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7687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7687F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68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687F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87F"/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87F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medcalcfontcctab">
    <w:name w:val="medcalcfontcctab"/>
    <w:basedOn w:val="VarsaylanParagrafYazTipi"/>
    <w:rsid w:val="0087687F"/>
  </w:style>
  <w:style w:type="paragraph" w:customStyle="1" w:styleId="bulletindent1">
    <w:name w:val="bulletindent1"/>
    <w:basedOn w:val="Normal"/>
    <w:rsid w:val="0087687F"/>
    <w:pPr>
      <w:spacing w:before="100" w:beforeAutospacing="1" w:after="100" w:afterAutospacing="1"/>
    </w:pPr>
  </w:style>
  <w:style w:type="character" w:customStyle="1" w:styleId="cit">
    <w:name w:val="cit"/>
    <w:basedOn w:val="VarsaylanParagrafYazTipi"/>
    <w:rsid w:val="0087687F"/>
  </w:style>
  <w:style w:type="character" w:customStyle="1" w:styleId="fm-vol-iss-date">
    <w:name w:val="fm-vol-iss-date"/>
    <w:basedOn w:val="VarsaylanParagrafYazTipi"/>
    <w:rsid w:val="0087687F"/>
  </w:style>
  <w:style w:type="character" w:customStyle="1" w:styleId="doi">
    <w:name w:val="doi"/>
    <w:basedOn w:val="VarsaylanParagrafYazTipi"/>
    <w:rsid w:val="0087687F"/>
  </w:style>
  <w:style w:type="character" w:customStyle="1" w:styleId="fm-citation-ids-label">
    <w:name w:val="fm-citation-ids-label"/>
    <w:basedOn w:val="VarsaylanParagrafYazTipi"/>
    <w:rsid w:val="0087687F"/>
  </w:style>
  <w:style w:type="character" w:customStyle="1" w:styleId="title-text">
    <w:name w:val="title-text"/>
    <w:basedOn w:val="VarsaylanParagrafYazTipi"/>
    <w:rsid w:val="0087687F"/>
  </w:style>
  <w:style w:type="character" w:customStyle="1" w:styleId="published-date">
    <w:name w:val="published-date"/>
    <w:basedOn w:val="VarsaylanParagrafYazTipi"/>
    <w:rsid w:val="0087687F"/>
  </w:style>
  <w:style w:type="character" w:customStyle="1" w:styleId="subhead-sans">
    <w:name w:val="subhead-sans"/>
    <w:basedOn w:val="VarsaylanParagrafYazTipi"/>
    <w:rsid w:val="0087687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7687F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7687F"/>
    <w:rPr>
      <w:color w:val="808080"/>
      <w:shd w:val="clear" w:color="auto" w:fill="E6E6E6"/>
    </w:rPr>
  </w:style>
  <w:style w:type="paragraph" w:styleId="Dzeltme">
    <w:name w:val="Revision"/>
    <w:hidden/>
    <w:uiPriority w:val="99"/>
    <w:semiHidden/>
    <w:rsid w:val="0087687F"/>
    <w:rPr>
      <w:rFonts w:eastAsiaTheme="minorEastAsia"/>
      <w:sz w:val="22"/>
      <w:szCs w:val="22"/>
      <w:lang w:eastAsia="tr-TR"/>
    </w:rPr>
  </w:style>
  <w:style w:type="paragraph" w:customStyle="1" w:styleId="title1">
    <w:name w:val="title1"/>
    <w:basedOn w:val="Normal"/>
    <w:rsid w:val="0087687F"/>
    <w:rPr>
      <w:sz w:val="27"/>
      <w:szCs w:val="27"/>
    </w:rPr>
  </w:style>
  <w:style w:type="paragraph" w:customStyle="1" w:styleId="desc2">
    <w:name w:val="desc2"/>
    <w:basedOn w:val="Normal"/>
    <w:rsid w:val="0087687F"/>
    <w:rPr>
      <w:sz w:val="26"/>
      <w:szCs w:val="26"/>
    </w:rPr>
  </w:style>
  <w:style w:type="paragraph" w:customStyle="1" w:styleId="details1">
    <w:name w:val="details1"/>
    <w:basedOn w:val="Normal"/>
    <w:rsid w:val="0087687F"/>
    <w:rPr>
      <w:sz w:val="22"/>
      <w:szCs w:val="22"/>
    </w:rPr>
  </w:style>
  <w:style w:type="character" w:customStyle="1" w:styleId="jrnl">
    <w:name w:val="jrnl"/>
    <w:basedOn w:val="VarsaylanParagrafYazTipi"/>
    <w:rsid w:val="0087687F"/>
  </w:style>
  <w:style w:type="character" w:customStyle="1" w:styleId="reference2">
    <w:name w:val="reference2"/>
    <w:basedOn w:val="VarsaylanParagrafYazTipi"/>
    <w:rsid w:val="0087687F"/>
  </w:style>
  <w:style w:type="paragraph" w:customStyle="1" w:styleId="p">
    <w:name w:val="p"/>
    <w:basedOn w:val="Normal"/>
    <w:rsid w:val="0087687F"/>
    <w:pPr>
      <w:spacing w:before="100" w:beforeAutospacing="1" w:after="100" w:afterAutospacing="1"/>
    </w:pPr>
  </w:style>
  <w:style w:type="character" w:customStyle="1" w:styleId="element-citation">
    <w:name w:val="element-citation"/>
    <w:basedOn w:val="VarsaylanParagrafYazTipi"/>
    <w:rsid w:val="0087687F"/>
  </w:style>
  <w:style w:type="character" w:customStyle="1" w:styleId="ref-journal">
    <w:name w:val="ref-journal"/>
    <w:basedOn w:val="VarsaylanParagrafYazTipi"/>
    <w:rsid w:val="0087687F"/>
  </w:style>
  <w:style w:type="character" w:customStyle="1" w:styleId="ref-vol">
    <w:name w:val="ref-vol"/>
    <w:basedOn w:val="VarsaylanParagrafYazTipi"/>
    <w:rsid w:val="0087687F"/>
  </w:style>
  <w:style w:type="character" w:customStyle="1" w:styleId="A0">
    <w:name w:val="A0"/>
    <w:uiPriority w:val="99"/>
    <w:rsid w:val="0087687F"/>
    <w:rPr>
      <w:rFonts w:cs="Times"/>
      <w:color w:val="000000"/>
      <w:sz w:val="18"/>
      <w:szCs w:val="18"/>
    </w:rPr>
  </w:style>
  <w:style w:type="paragraph" w:customStyle="1" w:styleId="xydpa63fa9c4yiv7303835055ydpbaf6fb72yiv8453841409ydp3fb8dab1msonormal">
    <w:name w:val="x_ydpa63fa9c4yiv7303835055ydpbaf6fb72yiv8453841409ydp3fb8dab1msonormal"/>
    <w:basedOn w:val="Normal"/>
    <w:rsid w:val="0087687F"/>
    <w:pPr>
      <w:spacing w:before="100" w:beforeAutospacing="1" w:after="100" w:afterAutospacing="1"/>
    </w:pPr>
  </w:style>
  <w:style w:type="paragraph" w:customStyle="1" w:styleId="Saptanm">
    <w:name w:val="Saptanmış"/>
    <w:rsid w:val="008768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tr-TR"/>
    </w:rPr>
  </w:style>
  <w:style w:type="paragraph" w:customStyle="1" w:styleId="xydp98b0ef9amsonormal">
    <w:name w:val="x_ydp98b0ef9amsonormal"/>
    <w:basedOn w:val="Normal"/>
    <w:rsid w:val="0087687F"/>
    <w:pPr>
      <w:spacing w:before="100" w:beforeAutospacing="1" w:after="100" w:afterAutospacing="1"/>
    </w:pPr>
  </w:style>
  <w:style w:type="character" w:customStyle="1" w:styleId="xydp98b0ef9amsohyperlink">
    <w:name w:val="x_ydp98b0ef9amsohyperlink"/>
    <w:basedOn w:val="VarsaylanParagrafYazTipi"/>
    <w:rsid w:val="0087687F"/>
  </w:style>
  <w:style w:type="character" w:customStyle="1" w:styleId="user-generated">
    <w:name w:val="user-generated"/>
    <w:basedOn w:val="VarsaylanParagrafYazTipi"/>
    <w:rsid w:val="0087687F"/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87687F"/>
    <w:rPr>
      <w:color w:val="808080"/>
      <w:shd w:val="clear" w:color="auto" w:fill="E6E6E6"/>
    </w:rPr>
  </w:style>
  <w:style w:type="paragraph" w:customStyle="1" w:styleId="xydpfcd73491msonormal">
    <w:name w:val="x_ydpfcd73491msonormal"/>
    <w:basedOn w:val="Normal"/>
    <w:rsid w:val="0087687F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VarsaylanParagrafYazTipi"/>
    <w:uiPriority w:val="99"/>
    <w:rsid w:val="0087687F"/>
    <w:rPr>
      <w:rFonts w:ascii="Courier New" w:eastAsia="Times New Roman" w:hAnsi="Courier New" w:cs="Courier New"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B6E20"/>
    <w:rPr>
      <w:color w:val="605E5C"/>
      <w:shd w:val="clear" w:color="auto" w:fill="E1DFDD"/>
    </w:rPr>
  </w:style>
  <w:style w:type="paragraph" w:customStyle="1" w:styleId="Normal1">
    <w:name w:val="Normal1"/>
    <w:rsid w:val="00E6620A"/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04E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4EA8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04E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4EA8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Obekli</dc:creator>
  <cp:keywords/>
  <dc:description/>
  <cp:lastModifiedBy>Tugba Obekli</cp:lastModifiedBy>
  <cp:revision>3</cp:revision>
  <dcterms:created xsi:type="dcterms:W3CDTF">2021-10-25T06:25:00Z</dcterms:created>
  <dcterms:modified xsi:type="dcterms:W3CDTF">2021-10-25T06:30:00Z</dcterms:modified>
</cp:coreProperties>
</file>