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9431A" w:rsidRPr="00D23A56" w:rsidP="00E9431A" w14:paraId="58730876" w14:textId="77777777">
      <w:pPr>
        <w:bidi w:val="0"/>
        <w:jc w:val="both"/>
        <w:rPr>
          <w:rFonts w:asciiTheme="minorHAnsi" w:hAnsiTheme="minorHAnsi"/>
          <w:b/>
          <w:color w:val="FF0000"/>
          <w:u w:val="single"/>
        </w:rPr>
      </w:pPr>
      <w:r w:rsidRPr="00D23A56">
        <w:rPr>
          <w:rFonts w:asciiTheme="minorHAnsi" w:hAnsiTheme="minorHAnsi"/>
          <w:b/>
          <w:color w:val="FF0000"/>
          <w:u w:val="single"/>
          <w:rtl w:val="0"/>
          <w:lang w:val="ru"/>
        </w:rPr>
        <w:t>ВРЕМЯ НАЧИНАТЬ - ЛЕКАРСТВА, КОТОРЫЕ ПОДХОДЯТ ПОЖИЛЫМ ЛЮДЯМ</w:t>
      </w:r>
    </w:p>
    <w:p w:rsidR="00E9431A" w:rsidRPr="00D23A56" w:rsidP="00E9431A" w14:paraId="501877C0" w14:textId="77777777">
      <w:pPr>
        <w:jc w:val="both"/>
        <w:rPr>
          <w:rFonts w:asciiTheme="minorHAnsi" w:hAnsiTheme="minorHAnsi"/>
          <w:b/>
          <w:color w:val="FF0000"/>
        </w:rPr>
      </w:pPr>
    </w:p>
    <w:p w:rsidR="00E9431A" w:rsidRPr="00D23A56" w:rsidP="00E9431A" w14:paraId="55B6D545" w14:textId="77777777">
      <w:pPr>
        <w:bidi w:val="0"/>
        <w:rPr>
          <w:rFonts w:asciiTheme="minorHAnsi" w:hAnsiTheme="minorHAnsi" w:cstheme="minorHAnsi"/>
          <w:b/>
          <w:bCs/>
          <w:sz w:val="28"/>
          <w:szCs w:val="28"/>
          <w:lang w:eastAsia="en-GB"/>
        </w:rPr>
      </w:pPr>
      <w:r w:rsidRPr="00D23A56">
        <w:rPr>
          <w:rFonts w:asciiTheme="minorHAnsi" w:hAnsiTheme="minorHAnsi"/>
          <w:b/>
          <w:color w:val="FF0000"/>
          <w:rtl w:val="0"/>
          <w:lang w:val="ru"/>
        </w:rPr>
        <w:t>Применение этой группы препаратов в условиях, соответствующих критериям, показано и потенциально полезно пожилым людям, однако их часто не принимают во внимание в клинической практике или не назначают из-за преклонного возраста пациента без дополнительной уважительной причины. Неспособность использовать эти препараты в рамках критериев рассматривается как «потенциально несоответствующее применение лекарств». Врачи-клиницисты должны принимать решение, исходя из потенциальной пользы и вреда препарата для пациента (баланс пользы и вреда), ожидаемой продолжительности его жизни и целей лечения, определенных в соответствии с предпочтениями пациента/лица, осуществляющего уход. В некоторых случаях врачи могут посчитать целесообразным не использовать данную группу препаратов.</w:t>
      </w:r>
    </w:p>
    <w:p w:rsidR="00E9431A" w:rsidP="00E9431A" w14:paraId="62208DB5" w14:textId="48A587AC">
      <w:pPr>
        <w:rPr>
          <w:rFonts w:asciiTheme="minorHAnsi" w:hAnsiTheme="minorHAnsi" w:cstheme="minorHAnsi"/>
          <w:b/>
          <w:bCs/>
          <w:sz w:val="28"/>
          <w:szCs w:val="28"/>
          <w:lang w:eastAsia="en-GB"/>
        </w:rPr>
      </w:pPr>
    </w:p>
    <w:p w:rsidR="00E6620A" w:rsidRPr="00E6620A" w:rsidP="00E6620A" w14:paraId="296F98C0" w14:textId="77777777">
      <w:pPr>
        <w:pStyle w:val="Normal1"/>
        <w:bidi w:val="0"/>
        <w:jc w:val="both"/>
        <w:rPr>
          <w:rFonts w:ascii="Calibri" w:eastAsia="Calibri" w:hAnsi="Calibri" w:cs="Calibri"/>
          <w:bCs/>
          <w:i/>
          <w:sz w:val="22"/>
          <w:szCs w:val="22"/>
        </w:rPr>
      </w:pPr>
      <w:r w:rsidRPr="00E6620A">
        <w:rPr>
          <w:rFonts w:ascii="Calibri" w:eastAsia="Calibri" w:hAnsi="Calibri" w:cs="Calibri"/>
          <w:bCs/>
          <w:i/>
          <w:sz w:val="22"/>
          <w:szCs w:val="22"/>
          <w:rtl w:val="0"/>
          <w:lang w:val="ru"/>
        </w:rPr>
        <w:t>Для облегчения клинического использования к некоторым критериям добавлены пояснения, выделенные курсивом с префиксом *.</w:t>
      </w:r>
    </w:p>
    <w:p w:rsidR="00E6620A" w:rsidRPr="00E6620A" w:rsidP="00E6620A" w14:paraId="3943D245" w14:textId="77777777">
      <w:pPr>
        <w:pStyle w:val="Normal1"/>
        <w:jc w:val="both"/>
        <w:rPr>
          <w:rFonts w:ascii="Calibri" w:eastAsia="Calibri" w:hAnsi="Calibri" w:cs="Calibri"/>
          <w:bCs/>
          <w:i/>
          <w:sz w:val="22"/>
          <w:szCs w:val="22"/>
        </w:rPr>
      </w:pPr>
    </w:p>
    <w:p w:rsidR="00E6620A" w:rsidRPr="00E6620A" w:rsidP="00E6620A" w14:paraId="79E676B5" w14:textId="77777777">
      <w:pPr>
        <w:pStyle w:val="Normal1"/>
        <w:bidi w:val="0"/>
        <w:jc w:val="both"/>
        <w:rPr>
          <w:rFonts w:ascii="Calibri" w:eastAsia="Calibri" w:hAnsi="Calibri" w:cs="Calibri"/>
          <w:bCs/>
          <w:i/>
          <w:sz w:val="22"/>
          <w:szCs w:val="22"/>
          <w:u w:val="single"/>
        </w:rPr>
      </w:pPr>
      <w:r w:rsidRPr="00E6620A">
        <w:rPr>
          <w:rFonts w:ascii="Calibri" w:eastAsia="Calibri" w:hAnsi="Calibri" w:cs="Calibri"/>
          <w:bCs/>
          <w:i/>
          <w:sz w:val="22"/>
          <w:szCs w:val="22"/>
          <w:rtl w:val="0"/>
          <w:lang w:val="ru"/>
        </w:rPr>
        <w:t>Ссылки относятся к критериям и пояснениям, если таковые имеются.</w:t>
      </w:r>
    </w:p>
    <w:p w:rsidR="00E6620A" w:rsidRPr="00D23A56" w:rsidP="00E9431A" w14:paraId="11529D77" w14:textId="77777777">
      <w:pPr>
        <w:rPr>
          <w:rFonts w:asciiTheme="minorHAnsi" w:hAnsiTheme="minorHAnsi" w:cstheme="minorHAnsi"/>
          <w:b/>
          <w:bCs/>
          <w:sz w:val="28"/>
          <w:szCs w:val="28"/>
          <w:lang w:eastAsia="en-GB"/>
        </w:rPr>
      </w:pPr>
    </w:p>
    <w:p w:rsidR="00E9431A" w:rsidRPr="00D23A56" w:rsidP="0087687F" w14:paraId="15E94A33" w14:textId="77777777">
      <w:pPr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87687F" w:rsidRPr="00D23A56" w:rsidP="0087687F" w14:paraId="31D03A27" w14:textId="77777777">
      <w:pPr>
        <w:jc w:val="both"/>
        <w:rPr>
          <w:rFonts w:asciiTheme="minorHAnsi" w:hAnsiTheme="minorHAnsi"/>
          <w:sz w:val="22"/>
          <w:szCs w:val="22"/>
        </w:rPr>
      </w:pPr>
    </w:p>
    <w:p w:rsidR="00E9431A" w:rsidRPr="00D23A56" w:rsidP="00E9431A" w14:paraId="1C53C9C7" w14:textId="77777777">
      <w:pPr>
        <w:bidi w:val="0"/>
        <w:rPr>
          <w:rFonts w:asciiTheme="minorHAnsi" w:hAnsiTheme="minorHAnsi" w:cstheme="minorHAnsi"/>
          <w:b/>
          <w:bCs/>
          <w:sz w:val="28"/>
          <w:szCs w:val="28"/>
          <w:u w:val="single"/>
          <w:lang w:eastAsia="en-GB"/>
        </w:rPr>
      </w:pPr>
      <w:r w:rsidRPr="00D23A56">
        <w:rPr>
          <w:rFonts w:asciiTheme="minorHAnsi" w:hAnsiTheme="minorHAnsi" w:cstheme="minorHAnsi"/>
          <w:b/>
          <w:bCs/>
          <w:sz w:val="28"/>
          <w:szCs w:val="28"/>
          <w:u w:val="single"/>
          <w:rtl w:val="0"/>
          <w:lang w:val="ru" w:eastAsia="en-GB"/>
        </w:rPr>
        <w:t>ВРЕМЯ НАЧАТЬ (со ссылками и пояснениями)</w:t>
      </w:r>
    </w:p>
    <w:p w:rsidR="00E9431A" w:rsidRPr="00D23A56" w:rsidP="00E9431A" w14:paraId="5570A870" w14:textId="77777777">
      <w:pPr>
        <w:rPr>
          <w:rFonts w:asciiTheme="minorHAnsi" w:hAnsiTheme="minorHAnsi" w:cstheme="minorHAnsi"/>
          <w:b/>
          <w:bCs/>
          <w:sz w:val="28"/>
          <w:szCs w:val="28"/>
          <w:lang w:eastAsia="en-GB"/>
        </w:rPr>
      </w:pPr>
    </w:p>
    <w:p w:rsidR="00E9431A" w:rsidRPr="00D23A56" w:rsidP="00E9431A" w14:paraId="5DFAC606" w14:textId="77777777">
      <w:pPr>
        <w:rPr>
          <w:rFonts w:asciiTheme="minorHAnsi" w:hAnsiTheme="minorHAnsi" w:cstheme="minorHAnsi"/>
          <w:b/>
          <w:bCs/>
          <w:sz w:val="28"/>
          <w:szCs w:val="28"/>
          <w:lang w:eastAsia="en-GB"/>
        </w:rPr>
      </w:pPr>
    </w:p>
    <w:p w:rsidR="00E9431A" w:rsidRPr="00D23A56" w:rsidP="00E9431A" w14:paraId="788BBF40" w14:textId="77777777">
      <w:pPr>
        <w:pStyle w:val="paragraph"/>
        <w:bidi w:val="0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eastAsiaTheme="majorEastAsia" w:hAnsiTheme="minorHAnsi"/>
          <w:b/>
          <w:bCs/>
          <w:sz w:val="28"/>
          <w:szCs w:val="28"/>
        </w:rPr>
      </w:pPr>
      <w:r w:rsidRPr="00D23A56">
        <w:rPr>
          <w:rStyle w:val="normaltextrun"/>
          <w:rFonts w:asciiTheme="minorHAnsi" w:eastAsiaTheme="majorEastAsia" w:hAnsiTheme="minorHAnsi"/>
          <w:b/>
          <w:bCs/>
          <w:sz w:val="28"/>
          <w:szCs w:val="28"/>
          <w:rtl w:val="0"/>
          <w:lang w:val="ru"/>
        </w:rPr>
        <w:t>A: Критерии сердечно-сосудистой системы.</w:t>
      </w:r>
    </w:p>
    <w:p w:rsidR="0087687F" w:rsidRPr="00D23A56" w:rsidP="0087687F" w14:paraId="2434E9BF" w14:textId="77777777">
      <w:pPr>
        <w:jc w:val="both"/>
        <w:rPr>
          <w:rFonts w:asciiTheme="minorHAnsi" w:hAnsiTheme="minorHAnsi"/>
          <w:b/>
          <w:i/>
          <w:color w:val="5B9BD5" w:themeColor="accent5"/>
          <w:sz w:val="22"/>
          <w:szCs w:val="22"/>
          <w:u w:val="single"/>
        </w:rPr>
      </w:pPr>
    </w:p>
    <w:p w:rsidR="00E9431A" w:rsidRPr="00D23A56" w:rsidP="0087687F" w14:paraId="1CF802A8" w14:textId="77777777">
      <w:pPr>
        <w:jc w:val="both"/>
        <w:rPr>
          <w:rFonts w:asciiTheme="minorHAnsi" w:hAnsiTheme="minorHAnsi"/>
          <w:b/>
          <w:i/>
          <w:color w:val="5B9BD5" w:themeColor="accent5"/>
          <w:sz w:val="22"/>
          <w:szCs w:val="22"/>
          <w:u w:val="single"/>
        </w:rPr>
      </w:pPr>
    </w:p>
    <w:p w:rsidR="00E9431A" w:rsidRPr="00D23A56" w:rsidP="0087687F" w14:paraId="718A9855" w14:textId="77777777">
      <w:pPr>
        <w:jc w:val="both"/>
        <w:rPr>
          <w:rFonts w:asciiTheme="minorHAnsi" w:hAnsiTheme="minorHAnsi"/>
          <w:b/>
          <w:i/>
          <w:color w:val="5B9BD5" w:themeColor="accent5"/>
          <w:sz w:val="22"/>
          <w:szCs w:val="22"/>
          <w:u w:val="single"/>
        </w:rPr>
      </w:pPr>
    </w:p>
    <w:p w:rsidR="0087687F" w:rsidRPr="00D23A56" w:rsidP="0087687F" w14:paraId="6D02E2A5" w14:textId="77777777">
      <w:pPr>
        <w:bidi w:val="0"/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  <w:rtl w:val="0"/>
          <w:lang w:val="ru"/>
        </w:rPr>
        <w:t>A1. Пациентам, имеющим задокументированное атеросклеротическое заболевание коронарной артерии (острый коронарный синдром/коронарную ангиопластику или стентирование в анамнезе/аортокоронарное шунтирование/аневризму брюшной аорты), задокументированное атеросклеротическое цереброваскулярное заболевание (ишемический инсульт/ТИА в анамнезе/предыдущую каротидную эндартерэктомию или предшествующую симптоматическую каротидную эндартерэктомию или предшествующую симптоматическую каротидную эндартерэктомию или стентирование), для вторичной профилактики целесообразно начать антиагрегантную терапию (аспирин или клопидогрель).</w:t>
      </w:r>
    </w:p>
    <w:p w:rsidR="0087687F" w:rsidRPr="00D23A56" w:rsidP="0087687F" w14:paraId="22BDD831" w14:textId="77777777">
      <w:pPr>
        <w:bidi w:val="0"/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Cs/>
          <w:i/>
          <w:sz w:val="22"/>
          <w:szCs w:val="22"/>
          <w:rtl w:val="0"/>
          <w:lang w:val="ru"/>
        </w:rPr>
        <w:t>* Начало приема аспирина для первичной профилактики сердечно-сосудистых заболеваний в большинстве случаев нецелесообразно (из-за повышенного риска внутричерепных и желудочно-кишечных кровотечений и ограниченной пользы).</w:t>
      </w:r>
    </w:p>
    <w:p w:rsidR="0087687F" w:rsidRPr="00D23A56" w:rsidP="0087687F" w14:paraId="681B9A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7687F" w:rsidRPr="00D23A56" w:rsidP="0087687F" w14:paraId="703454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87687F" w:rsidRPr="00D23A56" w:rsidP="0087687F" w14:paraId="22A21658" w14:textId="77777777">
      <w:pPr>
        <w:bidi w:val="0"/>
        <w:spacing w:after="100" w:afterAutospacing="1" w:line="36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  <w:rtl w:val="0"/>
          <w:lang w:val="ru"/>
        </w:rPr>
        <w:t>A2. Пациентам с документально подтвержденным атеросклеротическим заболеванием коронарных артерий (острый коронарный синдром/ коронарная ангиопластика или стентирование в анамнезе/коронарное шунтирование/аневризма брюшной аорты), задокументированное цереброваскулярное заболевание (ишемический инсульт/ТИА в анамнезе/прошлая каротидная эндартерэктомия или стентирование) или заболевание периферических артерий, для вторичной профилактики целесообразно начать терапию статинами.</w:t>
      </w:r>
    </w:p>
    <w:p w:rsidR="0087687F" w:rsidRPr="00D23A56" w:rsidP="0087687F" w14:paraId="3F3FF42D" w14:textId="77777777">
      <w:pPr>
        <w:bidi w:val="0"/>
        <w:spacing w:after="100" w:afterAutospacing="1" w:line="360" w:lineRule="auto"/>
        <w:contextualSpacing/>
        <w:jc w:val="both"/>
        <w:rPr>
          <w:rFonts w:asciiTheme="minorHAnsi" w:hAnsiTheme="minorHAnsi"/>
          <w:bCs/>
          <w:i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  <w:rtl w:val="0"/>
          <w:lang w:val="ru"/>
        </w:rPr>
        <w:t>*</w:t>
      </w:r>
      <w:r w:rsidRPr="00D23A56">
        <w:rPr>
          <w:rFonts w:asciiTheme="minorHAnsi" w:hAnsiTheme="minorHAnsi"/>
          <w:bCs/>
          <w:i/>
          <w:sz w:val="22"/>
          <w:szCs w:val="22"/>
          <w:rtl w:val="0"/>
          <w:lang w:val="ru"/>
        </w:rPr>
        <w:t xml:space="preserve"> У пациентов с ожидаемой продолжительностью жизни &lt;2 лет, пациентов с терминальной деменцией и пациентов в возрасте &gt;85 лет возможные побочные эффекты (миопатия, отравление печени и т. д.) от приема статинов превышают ожидаемую от них пользу. * В этих случаях решение о терапии статинами должно приниматься совместно путем информирования пациента/родственника пациента.</w:t>
      </w:r>
    </w:p>
    <w:p w:rsidR="0087687F" w:rsidRPr="004613B7" w:rsidP="004613B7" w14:paraId="12AAE422" w14:textId="3DA82C84">
      <w:pPr>
        <w:spacing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Cs/>
          <w:sz w:val="22"/>
          <w:szCs w:val="22"/>
        </w:rPr>
        <w:t xml:space="preserve"> </w:t>
      </w:r>
    </w:p>
    <w:p w:rsidR="003C46C7" w:rsidRPr="00D23A56" w:rsidP="005130B0" w14:paraId="40FEA8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7687F" w:rsidRPr="00D23A56" w:rsidP="005130B0" w14:paraId="04856B56" w14:textId="77777777">
      <w:pPr>
        <w:bidi w:val="0"/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  <w:rtl w:val="0"/>
          <w:lang w:val="ru"/>
        </w:rPr>
        <w:t>A3. Целесообразно начинать антигипертензивную терапию пациентам с постоянным систолическим артериальным давлением &gt;160 мм рт. ст. и/или постоянным диастолическим артериальным давлением &gt;90 мм рт. ст.</w:t>
      </w:r>
    </w:p>
    <w:p w:rsidR="003C46C7" w:rsidRPr="00D23A56" w:rsidP="0087687F" w14:paraId="0D7378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D43402" w:rsidRPr="00D23A56" w:rsidP="00D43402" w14:paraId="27ECAC8C" w14:textId="77777777">
      <w:pPr>
        <w:spacing w:before="100" w:beforeAutospacing="1" w:after="100" w:afterAutospacing="1"/>
        <w:contextualSpacing/>
        <w:jc w:val="both"/>
        <w:rPr>
          <w:rFonts w:asciiTheme="minorHAnsi" w:hAnsiTheme="minorHAnsi"/>
          <w:i/>
          <w:sz w:val="22"/>
          <w:szCs w:val="22"/>
        </w:rPr>
      </w:pPr>
    </w:p>
    <w:p w:rsidR="00D43402" w:rsidRPr="00D23A56" w:rsidP="00D43402" w14:paraId="3DA44B14" w14:textId="77777777">
      <w:pPr>
        <w:spacing w:before="100" w:beforeAutospacing="1" w:after="100" w:afterAutospacing="1"/>
        <w:contextualSpacing/>
        <w:jc w:val="both"/>
        <w:rPr>
          <w:rFonts w:asciiTheme="minorHAnsi" w:hAnsiTheme="minorHAnsi"/>
          <w:i/>
          <w:sz w:val="22"/>
          <w:szCs w:val="22"/>
        </w:rPr>
      </w:pPr>
    </w:p>
    <w:p w:rsidR="0087687F" w:rsidRPr="00D23A56" w:rsidP="00D43402" w14:paraId="62E11E66" w14:textId="77777777">
      <w:pPr>
        <w:bidi w:val="0"/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  <w:rtl w:val="0"/>
          <w:lang w:val="ru"/>
        </w:rPr>
        <w:t>A4. При наличии хронической неклапанной ФП целесообразно назначать ОАК (антагонисты витамина К, прямые ингибиторы тромбина или ингибиторы фактора Ха) с учетом оценки по шкале CHA2DS2-VASc.</w:t>
      </w:r>
      <w:r w:rsidRPr="00D23A56">
        <w:rPr>
          <w:rFonts w:asciiTheme="minorHAnsi" w:hAnsiTheme="minorHAnsi"/>
          <w:b/>
          <w:sz w:val="22"/>
          <w:szCs w:val="22"/>
          <w:rtl w:val="0"/>
          <w:lang w:val="ru"/>
        </w:rPr>
        <w:t xml:space="preserve">  </w:t>
      </w:r>
    </w:p>
    <w:p w:rsidR="0087687F" w:rsidRPr="00D23A56" w:rsidP="0087687F" w14:paraId="71580A9D" w14:textId="77777777">
      <w:pPr>
        <w:bidi w:val="0"/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Cs/>
          <w:i/>
          <w:iCs/>
          <w:color w:val="000000" w:themeColor="text1"/>
          <w:sz w:val="22"/>
          <w:szCs w:val="22"/>
        </w:rPr>
      </w:pPr>
      <w:r w:rsidRPr="00D23A56">
        <w:rPr>
          <w:rFonts w:asciiTheme="minorHAnsi" w:hAnsiTheme="minorHAnsi"/>
          <w:bCs/>
          <w:i/>
          <w:iCs/>
          <w:color w:val="000000" w:themeColor="text1"/>
          <w:sz w:val="22"/>
          <w:szCs w:val="22"/>
          <w:rtl w:val="0"/>
          <w:lang w:val="ru"/>
        </w:rPr>
        <w:t xml:space="preserve">* Рекомендуется отдавать предпочтение не </w:t>
      </w:r>
      <w:r w:rsidRPr="00D23A56">
        <w:rPr>
          <w:rFonts w:asciiTheme="minorHAnsi" w:hAnsiTheme="minorHAnsi"/>
          <w:bCs/>
          <w:i/>
          <w:iCs/>
          <w:sz w:val="22"/>
          <w:szCs w:val="22"/>
          <w:rtl w:val="0"/>
          <w:lang w:val="ru"/>
        </w:rPr>
        <w:t>антагонистам витамина К</w:t>
      </w:r>
      <w:r w:rsidRPr="00D23A56">
        <w:rPr>
          <w:rFonts w:asciiTheme="minorHAnsi" w:hAnsiTheme="minorHAnsi"/>
          <w:bCs/>
          <w:i/>
          <w:iCs/>
          <w:color w:val="000000" w:themeColor="text1"/>
          <w:sz w:val="22"/>
          <w:szCs w:val="22"/>
          <w:rtl w:val="0"/>
          <w:lang w:val="ru"/>
        </w:rPr>
        <w:t>, а пероральным антикоагулянтам без витамина К (NOAC).</w:t>
      </w:r>
    </w:p>
    <w:p w:rsidR="004613B7" w:rsidRPr="00D23A56" w:rsidP="00D43402" w14:paraId="3463BB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D43402" w:rsidRPr="00D23A56" w:rsidP="00D43402" w14:paraId="59C8B0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7687F" w:rsidRPr="00D23A56" w:rsidP="00D43402" w14:paraId="032514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bidi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  <w:rtl w:val="0"/>
          <w:lang w:val="ru"/>
        </w:rPr>
        <w:t>A5. При наличии систолической сердечной недостаточности (ФВ &lt;= 40%) или ИМ с подъемом сегмента ST целесообразно начать терапию ингибиторами АПФ.</w:t>
      </w:r>
    </w:p>
    <w:p w:rsidR="00D43402" w:rsidRPr="00D23A56" w:rsidP="0087687F" w14:paraId="4095EF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:rsidR="00D43402" w:rsidRPr="00D23A56" w:rsidP="00D43402" w14:paraId="0368180C" w14:textId="77777777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D43402" w:rsidRPr="00D23A56" w:rsidP="00D43402" w14:paraId="4B6F3EE1" w14:textId="77777777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87687F" w:rsidRPr="00D23A56" w:rsidP="0087687F" w14:paraId="05CC1243" w14:textId="77777777">
      <w:pPr>
        <w:bidi w:val="0"/>
        <w:spacing w:line="36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  <w:rtl w:val="0"/>
          <w:lang w:val="ru"/>
        </w:rPr>
        <w:t>A6. При систолической сердечной недостаточности (ФВ &lt;=40%) или ишемической болезни сердца (из-за антиангинального эффекта при хронической ишемической болезни сердца/эффекта снижения смертности в период после ИМ) целесообразно начать терапию бета-адреноблокаторами (бисопролол при систолической сердечной недостаточности/метопролол сукцинат с пролонгированным высвобождением/карведилол</w:t>
      </w:r>
      <w:r w:rsidRPr="00D23A56">
        <w:rPr>
          <w:rFonts w:asciiTheme="minorHAnsi" w:hAnsiTheme="minorHAnsi"/>
          <w:sz w:val="22"/>
          <w:szCs w:val="22"/>
          <w:rtl w:val="0"/>
          <w:lang w:val="ru"/>
        </w:rPr>
        <w:t>/</w:t>
      </w:r>
      <w:r w:rsidRPr="00D23A56">
        <w:rPr>
          <w:rFonts w:asciiTheme="minorHAnsi" w:hAnsiTheme="minorHAnsi"/>
          <w:b/>
          <w:sz w:val="22"/>
          <w:szCs w:val="22"/>
          <w:rtl w:val="0"/>
          <w:lang w:val="ru"/>
        </w:rPr>
        <w:t xml:space="preserve">небиволол; при ишемической болезни сердца целесообразно назначить любой бета-адреноблокатор). </w:t>
      </w:r>
    </w:p>
    <w:p w:rsidR="0087687F" w:rsidRPr="004613B7" w:rsidP="004613B7" w14:paraId="3679C730" w14:textId="711F0F39">
      <w:pPr>
        <w:bidi w:val="0"/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Cs/>
          <w:i/>
          <w:color w:val="000000"/>
          <w:sz w:val="22"/>
          <w:szCs w:val="22"/>
          <w:shd w:val="clear" w:color="auto" w:fill="FFFFFF"/>
        </w:rPr>
      </w:pPr>
      <w:r w:rsidRPr="00D23A56">
        <w:rPr>
          <w:rFonts w:asciiTheme="minorHAnsi" w:hAnsiTheme="minorHAnsi"/>
          <w:bCs/>
          <w:sz w:val="22"/>
          <w:szCs w:val="22"/>
          <w:rtl w:val="0"/>
          <w:lang w:val="ru"/>
        </w:rPr>
        <w:t>*</w:t>
      </w:r>
      <w:r w:rsidRPr="00D23A56">
        <w:rPr>
          <w:rFonts w:asciiTheme="minorHAnsi" w:hAnsiTheme="minorHAnsi"/>
          <w:bCs/>
          <w:i/>
          <w:color w:val="000000"/>
          <w:sz w:val="22"/>
          <w:szCs w:val="22"/>
          <w:shd w:val="clear" w:color="auto" w:fill="FFFFFF"/>
          <w:rtl w:val="0"/>
          <w:lang w:val="ru"/>
        </w:rPr>
        <w:t xml:space="preserve">Терапию бета-адреноблокаторами можно прекратить через 3 года после инфаркта миокарда, учитывая соотношение потенциальной пользы и вреда. </w:t>
      </w:r>
    </w:p>
    <w:p w:rsidR="0087687F" w:rsidRPr="00D23A56" w:rsidP="0087687F" w14:paraId="78DB50A7" w14:textId="77777777">
      <w:pPr>
        <w:contextualSpacing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3C46C7" w:rsidRPr="00D23A56" w:rsidP="0087687F" w14:paraId="10B21D2B" w14:textId="77777777">
      <w:pPr>
        <w:contextualSpacing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D43402" w:rsidRPr="00D23A56" w:rsidP="00D43402" w14:paraId="1C15AFE6" w14:textId="77777777">
      <w:pPr>
        <w:bidi w:val="0"/>
        <w:jc w:val="both"/>
        <w:rPr>
          <w:rFonts w:asciiTheme="minorHAnsi" w:hAnsiTheme="minorHAnsi"/>
          <w:b/>
          <w:sz w:val="28"/>
          <w:szCs w:val="28"/>
        </w:rPr>
      </w:pPr>
      <w:r w:rsidRPr="00D23A56">
        <w:rPr>
          <w:rFonts w:asciiTheme="minorHAnsi" w:hAnsiTheme="minorHAnsi"/>
          <w:b/>
          <w:sz w:val="28"/>
          <w:szCs w:val="28"/>
          <w:rtl w:val="0"/>
          <w:lang w:val="ru"/>
        </w:rPr>
        <w:t>B. Критерии центральной нервной системы.</w:t>
      </w:r>
    </w:p>
    <w:p w:rsidR="00D43402" w:rsidRPr="00D23A56" w:rsidP="00D43402" w14:paraId="0709C3A7" w14:textId="77777777">
      <w:pPr>
        <w:jc w:val="both"/>
        <w:rPr>
          <w:rFonts w:asciiTheme="minorHAnsi" w:hAnsiTheme="minorHAnsi"/>
          <w:b/>
          <w:sz w:val="28"/>
          <w:szCs w:val="28"/>
        </w:rPr>
      </w:pPr>
    </w:p>
    <w:p w:rsidR="00D43402" w:rsidRPr="00D23A56" w:rsidP="00D43402" w14:paraId="4C5FAEF4" w14:textId="77777777">
      <w:pPr>
        <w:jc w:val="both"/>
        <w:rPr>
          <w:rFonts w:asciiTheme="minorHAnsi" w:hAnsiTheme="minorHAnsi"/>
          <w:b/>
          <w:sz w:val="28"/>
          <w:szCs w:val="28"/>
        </w:rPr>
      </w:pPr>
      <w:r w:rsidRPr="00D23A56">
        <w:rPr>
          <w:rFonts w:asciiTheme="minorHAnsi" w:hAnsiTheme="minorHAnsi"/>
          <w:b/>
          <w:sz w:val="28"/>
          <w:szCs w:val="28"/>
        </w:rPr>
        <w:t xml:space="preserve"> </w:t>
      </w:r>
    </w:p>
    <w:p w:rsidR="0087687F" w:rsidRPr="00D23A56" w:rsidP="00D43402" w14:paraId="0DC7B0F8" w14:textId="77777777">
      <w:pPr>
        <w:bidi w:val="0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D23A56">
        <w:rPr>
          <w:rFonts w:asciiTheme="minorHAnsi" w:hAnsiTheme="minorHAnsi"/>
          <w:b/>
          <w:sz w:val="22"/>
          <w:szCs w:val="22"/>
          <w:rtl w:val="0"/>
          <w:lang w:val="ru"/>
        </w:rPr>
        <w:t>B1. При наличии сильного депрессивного расстройства целесообразно начинать лечение антидепрессантами.</w:t>
      </w:r>
    </w:p>
    <w:p w:rsidR="003C46C7" w:rsidRPr="00D23A56" w:rsidP="00D43402" w14:paraId="40DCC3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D43402" w:rsidRPr="00D23A56" w:rsidP="00D43402" w14:paraId="6074A61B" w14:textId="77777777">
      <w:pPr>
        <w:jc w:val="both"/>
        <w:rPr>
          <w:rFonts w:eastAsia="LiberationSerif" w:asciiTheme="minorHAnsi" w:hAnsiTheme="minorHAnsi"/>
          <w:sz w:val="22"/>
          <w:szCs w:val="22"/>
        </w:rPr>
      </w:pPr>
    </w:p>
    <w:p w:rsidR="00D43402" w:rsidRPr="00D23A56" w:rsidP="00D43402" w14:paraId="76155177" w14:textId="77777777">
      <w:pPr>
        <w:jc w:val="both"/>
        <w:rPr>
          <w:rFonts w:eastAsia="LiberationSerif" w:asciiTheme="minorHAnsi" w:hAnsiTheme="minorHAnsi"/>
          <w:sz w:val="22"/>
          <w:szCs w:val="22"/>
        </w:rPr>
      </w:pPr>
    </w:p>
    <w:p w:rsidR="0087687F" w:rsidRPr="00D23A56" w:rsidP="00D43402" w14:paraId="2AE34582" w14:textId="77777777">
      <w:pPr>
        <w:bidi w:val="0"/>
        <w:spacing w:line="360" w:lineRule="auto"/>
        <w:jc w:val="both"/>
        <w:rPr>
          <w:rFonts w:eastAsia="LiberationSerif" w:asciiTheme="minorHAnsi" w:hAnsiTheme="minorHAnsi"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  <w:rtl w:val="0"/>
          <w:lang w:val="ru"/>
        </w:rPr>
        <w:t xml:space="preserve">B2. При наличии выраженной постоянной тревожности, влияющей на функциональность, целесообразно начать лечение СИОЗС (СИОЗСН или прегабалин, если СИОЗС противопоказаны). </w:t>
      </w:r>
    </w:p>
    <w:p w:rsidR="0087687F" w:rsidRPr="00D23A56" w:rsidP="00D43402" w14:paraId="6BEE48B1" w14:textId="77777777">
      <w:pPr>
        <w:bidi w:val="0"/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</w:pPr>
      <w:r w:rsidRPr="00D23A56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  <w:rtl w:val="0"/>
          <w:lang w:val="ru"/>
        </w:rPr>
        <w:t>* Монотерапия буспироном может использоваться для лечения тревожности у пациентов, которым не помогают СИОЗС или которые не переносят СИОЗС, если у них нет сопутствующей депрессии.</w:t>
      </w:r>
    </w:p>
    <w:p w:rsidR="004613B7" w:rsidP="0087687F" w14:paraId="41B5723A" w14:textId="77777777">
      <w:pPr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87687F" w:rsidRPr="00D23A56" w:rsidP="0087687F" w14:paraId="2E8512F8" w14:textId="14454D5C">
      <w:pPr>
        <w:bidi w:val="0"/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rtl w:val="0"/>
          <w:lang w:val="ru"/>
        </w:rPr>
        <w:t xml:space="preserve">#B3. </w:t>
      </w:r>
      <w:r w:rsidRPr="00D23A56">
        <w:rPr>
          <w:rFonts w:asciiTheme="minorHAnsi" w:hAnsiTheme="minorHAnsi"/>
          <w:b/>
          <w:color w:val="000000"/>
          <w:sz w:val="22"/>
          <w:szCs w:val="22"/>
          <w:rtl w:val="0"/>
          <w:lang w:val="ru"/>
        </w:rPr>
        <w:t>Терапию ингибиторами холинэстеразы (ИХЭ) целесообразно начинать на ранней и средней стадии болезни Альцгеймера.</w:t>
      </w:r>
    </w:p>
    <w:p w:rsidR="0087687F" w:rsidRPr="00D23A56" w:rsidP="0087687F" w14:paraId="42358A69" w14:textId="77777777">
      <w:pPr>
        <w:bidi w:val="0"/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Cs/>
          <w:i/>
          <w:color w:val="000000"/>
          <w:sz w:val="22"/>
          <w:szCs w:val="22"/>
        </w:rPr>
      </w:pPr>
      <w:r w:rsidRPr="00D23A56">
        <w:rPr>
          <w:rFonts w:asciiTheme="minorHAnsi" w:hAnsiTheme="minorHAnsi"/>
          <w:bCs/>
          <w:i/>
          <w:color w:val="000000"/>
          <w:sz w:val="22"/>
          <w:szCs w:val="22"/>
          <w:rtl w:val="0"/>
          <w:lang w:val="ru"/>
        </w:rPr>
        <w:t>* Имеются показания к началу терапии ИХЭ при болезни Альцгеймера.</w:t>
      </w:r>
    </w:p>
    <w:p w:rsidR="0087687F" w:rsidRPr="00D23A56" w:rsidP="0087687F" w14:paraId="1B0BC194" w14:textId="77777777">
      <w:pPr>
        <w:bidi w:val="0"/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Cs/>
          <w:i/>
          <w:color w:val="000000"/>
          <w:sz w:val="22"/>
          <w:szCs w:val="22"/>
        </w:rPr>
      </w:pPr>
      <w:r w:rsidRPr="00D23A56">
        <w:rPr>
          <w:rFonts w:asciiTheme="minorHAnsi" w:hAnsiTheme="minorHAnsi"/>
          <w:bCs/>
          <w:i/>
          <w:color w:val="000000"/>
          <w:sz w:val="22"/>
          <w:szCs w:val="22"/>
          <w:rtl w:val="0"/>
          <w:lang w:val="ru"/>
        </w:rPr>
        <w:t>* Имеются показания к применению и одобрение FDA (федерального Управления по контролю за пищевыми продуктами США) для всех 3 ингибиторов холинэстеразы (донепезил, галантамин, ривастигмин) при болезни Альцгеймера, от ранней до умеренной стадии.</w:t>
      </w:r>
    </w:p>
    <w:p w:rsidR="0087687F" w:rsidRPr="00D23A56" w:rsidP="0087687F" w14:paraId="2D0DFFAB" w14:textId="77777777">
      <w:pPr>
        <w:bidi w:val="0"/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Cs/>
          <w:i/>
          <w:color w:val="000000"/>
          <w:sz w:val="22"/>
          <w:szCs w:val="22"/>
        </w:rPr>
      </w:pPr>
      <w:r w:rsidRPr="00D23A56">
        <w:rPr>
          <w:rFonts w:asciiTheme="minorHAnsi" w:hAnsiTheme="minorHAnsi"/>
          <w:bCs/>
          <w:i/>
          <w:color w:val="000000"/>
          <w:sz w:val="22"/>
          <w:szCs w:val="22"/>
          <w:rtl w:val="0"/>
          <w:lang w:val="ru"/>
        </w:rPr>
        <w:t>* Имеются показания к применению и одобрение FDA для использования донепезила при лечении запущенной болезни Альцгеймера.</w:t>
      </w:r>
    </w:p>
    <w:p w:rsidR="0087687F" w:rsidRPr="00D23A56" w:rsidP="0087687F" w14:paraId="0D15FFBE" w14:textId="77777777">
      <w:pPr>
        <w:bidi w:val="0"/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Cs/>
          <w:i/>
          <w:color w:val="000000"/>
          <w:sz w:val="22"/>
          <w:szCs w:val="22"/>
        </w:rPr>
      </w:pPr>
      <w:r w:rsidRPr="00D23A56">
        <w:rPr>
          <w:rFonts w:asciiTheme="minorHAnsi" w:hAnsiTheme="minorHAnsi"/>
          <w:bCs/>
          <w:i/>
          <w:color w:val="000000"/>
          <w:sz w:val="22"/>
          <w:szCs w:val="22"/>
          <w:rtl w:val="0"/>
          <w:lang w:val="ru"/>
        </w:rPr>
        <w:t>* Имеются показания к применению и одобрение FDA для использования ривастигмина при деменции, связанной с болезнью Паркинсона. Есть исследования, показывающие, что донепезил может быть полезным при деменции, связанной с болезнью Паркинсона.</w:t>
      </w:r>
    </w:p>
    <w:p w:rsidR="0087687F" w:rsidRPr="00D23A56" w:rsidP="0087687F" w14:paraId="2000CD7A" w14:textId="77777777">
      <w:pPr>
        <w:bidi w:val="0"/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Cs/>
          <w:i/>
          <w:color w:val="000000"/>
          <w:sz w:val="22"/>
          <w:szCs w:val="22"/>
        </w:rPr>
      </w:pPr>
      <w:r w:rsidRPr="00D23A56">
        <w:rPr>
          <w:rFonts w:asciiTheme="minorHAnsi" w:hAnsiTheme="minorHAnsi"/>
          <w:bCs/>
          <w:i/>
          <w:color w:val="000000"/>
          <w:sz w:val="22"/>
          <w:szCs w:val="22"/>
          <w:rtl w:val="0"/>
          <w:lang w:val="ru"/>
        </w:rPr>
        <w:t>* Нет убедительных показаний к использованию ИХЭ при деменции с тельцами Леви и сосудистой деменции, но их использование можно рекомендовать.</w:t>
      </w:r>
    </w:p>
    <w:p w:rsidR="0087687F" w:rsidRPr="00D23A56" w:rsidP="0087687F" w14:paraId="59D796AA" w14:textId="77777777">
      <w:pPr>
        <w:bidi w:val="0"/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Cs/>
          <w:i/>
          <w:color w:val="000000"/>
          <w:sz w:val="22"/>
          <w:szCs w:val="22"/>
        </w:rPr>
      </w:pPr>
      <w:r w:rsidRPr="00D23A56">
        <w:rPr>
          <w:rFonts w:asciiTheme="minorHAnsi" w:hAnsiTheme="minorHAnsi"/>
          <w:bCs/>
          <w:i/>
          <w:color w:val="000000"/>
          <w:sz w:val="22"/>
          <w:szCs w:val="22"/>
          <w:rtl w:val="0"/>
          <w:lang w:val="ru"/>
        </w:rPr>
        <w:t>* Есть исследования, показывающие, что донепезил и ривастигмин могут быть полезны при деменции с тельцами Леви. Не существует ни одного ИХЭ, одобренного FDA для пациентов с деменцией с тельцами Леви.</w:t>
      </w:r>
    </w:p>
    <w:p w:rsidR="0087687F" w:rsidRPr="00D23A56" w:rsidP="0087687F" w14:paraId="3EBBCD54" w14:textId="77777777">
      <w:pPr>
        <w:bidi w:val="0"/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Cs/>
          <w:i/>
          <w:color w:val="000000"/>
          <w:sz w:val="22"/>
          <w:szCs w:val="22"/>
        </w:rPr>
      </w:pPr>
      <w:r w:rsidRPr="00D23A56">
        <w:rPr>
          <w:rFonts w:asciiTheme="minorHAnsi" w:hAnsiTheme="minorHAnsi"/>
          <w:bCs/>
          <w:i/>
          <w:color w:val="000000"/>
          <w:sz w:val="22"/>
          <w:szCs w:val="22"/>
          <w:rtl w:val="0"/>
          <w:lang w:val="ru"/>
        </w:rPr>
        <w:t>* Есть исследования, показывающие, что ингибиторы холинэстеразы могут быть полезными при сосудистой деменции. Не существует ни одного ИХЭ, одобренного FDA для лечения сосудистой деменции.</w:t>
      </w:r>
    </w:p>
    <w:p w:rsidR="0087687F" w:rsidRPr="00D23A56" w:rsidP="0087687F" w14:paraId="7EAB25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7687F" w:rsidRPr="00D23A56" w:rsidP="0087687F" w14:paraId="06BC92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7687F" w:rsidRPr="00D23A56" w:rsidP="0087687F" w14:paraId="0B548E8F" w14:textId="3DC096EB">
      <w:pPr>
        <w:shd w:val="clear" w:color="auto" w:fill="FFFFFF"/>
        <w:bidi w:val="0"/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rtl w:val="0"/>
          <w:lang w:val="ru"/>
        </w:rPr>
        <w:t>#</w:t>
      </w:r>
      <w:r w:rsidRPr="00D23A56">
        <w:rPr>
          <w:rFonts w:asciiTheme="minorHAnsi" w:hAnsiTheme="minorHAnsi"/>
          <w:b/>
          <w:color w:val="000000"/>
          <w:sz w:val="22"/>
          <w:szCs w:val="22"/>
          <w:rtl w:val="0"/>
          <w:lang w:val="ru"/>
        </w:rPr>
        <w:t xml:space="preserve">B4. При средней и тяжелой степени болезни Альцгеймера целесообразно начинать лечение мемантином. </w:t>
      </w:r>
    </w:p>
    <w:p w:rsidR="0087687F" w:rsidRPr="00D23A56" w:rsidP="0087687F" w14:paraId="45EDB9E6" w14:textId="77777777">
      <w:pPr>
        <w:shd w:val="clear" w:color="auto" w:fill="FFFFFF"/>
        <w:bidi w:val="0"/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D23A56">
        <w:rPr>
          <w:rFonts w:asciiTheme="minorHAnsi" w:hAnsiTheme="minorHAnsi"/>
          <w:bCs/>
          <w:i/>
          <w:color w:val="000000"/>
          <w:sz w:val="22"/>
          <w:szCs w:val="22"/>
          <w:rtl w:val="0"/>
          <w:lang w:val="ru"/>
        </w:rPr>
        <w:t>* Мемантин также может быть эффективным при сосудистой деменции.</w:t>
      </w:r>
    </w:p>
    <w:p w:rsidR="0087687F" w:rsidRPr="00D23A56" w:rsidP="00D43402" w14:paraId="4C017E00" w14:textId="77777777">
      <w:pPr>
        <w:shd w:val="clear" w:color="auto" w:fill="FFFFFF"/>
        <w:bidi w:val="0"/>
        <w:spacing w:before="100" w:beforeAutospacing="1" w:after="100" w:afterAutospacing="1"/>
        <w:contextualSpacing/>
        <w:jc w:val="both"/>
        <w:rPr>
          <w:rFonts w:asciiTheme="minorHAnsi" w:hAnsiTheme="minorHAnsi"/>
          <w:bCs/>
          <w:i/>
          <w:sz w:val="22"/>
          <w:szCs w:val="22"/>
        </w:rPr>
      </w:pPr>
      <w:r w:rsidRPr="00D23A56">
        <w:rPr>
          <w:rFonts w:asciiTheme="minorHAnsi" w:hAnsiTheme="minorHAnsi"/>
          <w:bCs/>
          <w:i/>
          <w:sz w:val="22"/>
          <w:szCs w:val="22"/>
          <w:rtl w:val="0"/>
          <w:lang w:val="ru"/>
        </w:rPr>
        <w:t>* Мемантин может быть полезным при поведенческих и психиатрических симптомах деменции (BPSD).</w:t>
      </w:r>
    </w:p>
    <w:p w:rsidR="0087687F" w:rsidRPr="00D23A56" w:rsidP="00D43402" w14:paraId="704BB0D8" w14:textId="77777777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inorHAnsi" w:hAnsiTheme="minorHAnsi"/>
          <w:bCs/>
          <w:i/>
          <w:sz w:val="22"/>
          <w:szCs w:val="22"/>
        </w:rPr>
      </w:pPr>
    </w:p>
    <w:p w:rsidR="00D43402" w:rsidP="00D43402" w14:paraId="671A19EB" w14:textId="77777777">
      <w:p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/>
          <w:color w:val="000000"/>
          <w:sz w:val="22"/>
          <w:szCs w:val="22"/>
        </w:rPr>
      </w:pPr>
    </w:p>
    <w:p w:rsidR="00D23A56" w:rsidRPr="00D23A56" w:rsidP="00D43402" w14:paraId="6F613C63" w14:textId="77777777">
      <w:p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/>
          <w:color w:val="000000"/>
          <w:sz w:val="22"/>
          <w:szCs w:val="22"/>
        </w:rPr>
      </w:pPr>
    </w:p>
    <w:p w:rsidR="0087687F" w:rsidRPr="00D23A56" w:rsidP="00D43402" w14:paraId="00569103" w14:textId="206A7836">
      <w:pPr>
        <w:shd w:val="clear" w:color="auto" w:fill="FFFFFF"/>
        <w:bidi w:val="0"/>
        <w:spacing w:before="100" w:beforeAutospacing="1" w:after="100" w:afterAutospacing="1" w:line="360" w:lineRule="auto"/>
        <w:contextualSpacing/>
        <w:rPr>
          <w:rFonts w:asciiTheme="minorHAnsi" w:hAnsiTheme="minorHAns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rtl w:val="0"/>
          <w:lang w:val="ru"/>
        </w:rPr>
        <w:t>#B5. У пациентов с эссенциальным тремором, влияющим на функциональные возможности, целесообразно начинать терапию пропранололом или пиримидоном.</w:t>
      </w:r>
    </w:p>
    <w:p w:rsidR="0087687F" w:rsidRPr="00D23A56" w:rsidP="00D43402" w14:paraId="1405DB10" w14:textId="77777777">
      <w:pPr>
        <w:bidi w:val="0"/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D23A56">
        <w:rPr>
          <w:rFonts w:asciiTheme="minorHAnsi" w:hAnsiTheme="minorHAnsi"/>
          <w:sz w:val="22"/>
          <w:szCs w:val="22"/>
          <w:rtl w:val="0"/>
          <w:lang w:val="ru"/>
        </w:rPr>
        <w:t>*</w:t>
      </w:r>
      <w:r w:rsidRPr="00D23A56">
        <w:rPr>
          <w:rFonts w:asciiTheme="minorHAnsi" w:hAnsiTheme="minorHAnsi"/>
          <w:i/>
          <w:sz w:val="22"/>
          <w:szCs w:val="22"/>
          <w:rtl w:val="0"/>
          <w:lang w:val="ru"/>
        </w:rPr>
        <w:t xml:space="preserve"> Пиримидон не одобрен FDA. </w:t>
      </w:r>
    </w:p>
    <w:p w:rsidR="0087687F" w:rsidRPr="00D23A56" w:rsidP="00D43402" w14:paraId="3FB1A66B" w14:textId="77777777">
      <w:pPr>
        <w:bidi w:val="0"/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D23A56">
        <w:rPr>
          <w:rFonts w:asciiTheme="minorHAnsi" w:hAnsiTheme="minorHAnsi"/>
          <w:i/>
          <w:sz w:val="22"/>
          <w:szCs w:val="22"/>
          <w:rtl w:val="0"/>
          <w:lang w:val="ru"/>
        </w:rPr>
        <w:t>* Побочные эффекты пиримидона (седативный эффект, головокружение и тошнота) являются распространенными. При использовании следует начинать с небольшой дозы и постепенно ее увеличивать.</w:t>
      </w:r>
    </w:p>
    <w:p w:rsidR="0087687F" w:rsidRPr="00D23A56" w:rsidP="0087687F" w14:paraId="1D4A2228" w14:textId="77777777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87687F" w:rsidRPr="00D23A56" w:rsidP="00D43402" w14:paraId="712E900F" w14:textId="77777777">
      <w:pPr>
        <w:bidi w:val="0"/>
        <w:jc w:val="both"/>
        <w:rPr>
          <w:rFonts w:asciiTheme="minorHAnsi" w:hAnsiTheme="minorHAnsi"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  <w:rtl w:val="0"/>
          <w:lang w:val="ru"/>
        </w:rPr>
        <w:t xml:space="preserve">B6. При наличии идиопатического паркинсонизма, вызывающего функциональное расстройство и инвалидность, целесообразно начать лечение L-допой. </w:t>
      </w:r>
    </w:p>
    <w:p w:rsidR="00AF4C98" w:rsidRPr="00D23A56" w:rsidP="0087687F" w14:paraId="225983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87687F" w:rsidRPr="00D23A56" w:rsidP="0087687F" w14:paraId="68C87009" w14:textId="77777777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2"/>
          <w:szCs w:val="22"/>
        </w:rPr>
      </w:pPr>
    </w:p>
    <w:p w:rsidR="00B4173A" w:rsidRPr="00D23A56" w:rsidP="0087687F" w14:paraId="6C7F062C" w14:textId="77777777">
      <w:pPr>
        <w:spacing w:before="100" w:beforeAutospacing="1" w:after="100" w:afterAutospacing="1"/>
        <w:contextualSpacing/>
        <w:jc w:val="both"/>
        <w:rPr>
          <w:rFonts w:asciiTheme="minorHAnsi" w:hAnsiTheme="minorHAnsi"/>
          <w:sz w:val="22"/>
          <w:szCs w:val="22"/>
        </w:rPr>
      </w:pPr>
    </w:p>
    <w:p w:rsidR="0087687F" w:rsidRPr="00D23A56" w:rsidP="00D43402" w14:paraId="601CBE51" w14:textId="77777777">
      <w:pPr>
        <w:bidi w:val="0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  <w:rtl w:val="0"/>
          <w:lang w:val="ru"/>
        </w:rPr>
        <w:t>B7. Если у пациентов с идиопатическим паркинсонизмом начинаются моторные флуктуации, целесообразно добавить к терапии L-допой ингибитор MAO-B или ингибитор COMT.</w:t>
      </w:r>
    </w:p>
    <w:p w:rsidR="00F33FC1" w:rsidRPr="00D23A56" w:rsidP="00D43402" w14:paraId="397AED01" w14:textId="77777777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F33FC1" w:rsidRPr="00D23A56" w:rsidP="00D43402" w14:paraId="3BE31887" w14:textId="77777777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87687F" w:rsidRPr="00D23A56" w:rsidP="0087687F" w14:paraId="1230D2BB" w14:textId="77777777">
      <w:pPr>
        <w:shd w:val="clear" w:color="auto" w:fill="FFFFFF"/>
        <w:bidi w:val="0"/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D23A56">
        <w:rPr>
          <w:rFonts w:asciiTheme="minorHAnsi" w:hAnsiTheme="minorHAnsi"/>
          <w:b/>
          <w:color w:val="000000"/>
          <w:sz w:val="22"/>
          <w:szCs w:val="22"/>
          <w:rtl w:val="0"/>
          <w:lang w:val="ru"/>
        </w:rPr>
        <w:t xml:space="preserve">B8. Пациентам с синдромом беспокойных ног, у которых исключены дефицит железа и хроническая почечная недостаточность, следует назначать блокаторы альфа-2-дельта кальциевых каналов (прегабалин, габапентин) или агонисты дофамина (прамипексол/ропинирол/ротиготин), если симптомы болезни отрицательно влияют на качество жизни. </w:t>
      </w:r>
    </w:p>
    <w:p w:rsidR="0087687F" w:rsidRPr="00D23A56" w:rsidP="0087687F" w14:paraId="761101AF" w14:textId="77777777">
      <w:pPr>
        <w:shd w:val="clear" w:color="auto" w:fill="FFFFFF"/>
        <w:bidi w:val="0"/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Cs/>
          <w:i/>
          <w:color w:val="000000"/>
          <w:sz w:val="22"/>
          <w:szCs w:val="22"/>
        </w:rPr>
      </w:pPr>
      <w:r w:rsidRPr="00D23A56">
        <w:rPr>
          <w:rFonts w:asciiTheme="minorHAnsi" w:hAnsiTheme="minorHAnsi"/>
          <w:bCs/>
          <w:i/>
          <w:color w:val="000000"/>
          <w:sz w:val="22"/>
          <w:szCs w:val="22"/>
          <w:rtl w:val="0"/>
          <w:lang w:val="ru"/>
        </w:rPr>
        <w:t>* Терапия L-допой (50-200 мг) может быть уместной в особенности в случаях с перемежающимися симптомами. Ее также можно использовать в симптоматических случаях почечной недостаточности.</w:t>
      </w:r>
    </w:p>
    <w:p w:rsidR="004613B7" w:rsidRPr="00D23A56" w:rsidP="00D43402" w14:paraId="79E60F3F" w14:textId="77777777">
      <w:pPr>
        <w:contextualSpacing/>
        <w:jc w:val="both"/>
        <w:rPr>
          <w:rFonts w:asciiTheme="minorHAnsi" w:hAnsiTheme="minorHAnsi"/>
          <w:b/>
          <w:i/>
          <w:color w:val="5B9BD5" w:themeColor="accent5"/>
          <w:sz w:val="22"/>
          <w:szCs w:val="22"/>
          <w:u w:val="single"/>
        </w:rPr>
      </w:pPr>
    </w:p>
    <w:p w:rsidR="0087687F" w:rsidRPr="00D23A56" w:rsidP="00D43402" w14:paraId="01B07368" w14:textId="77777777">
      <w:pPr>
        <w:contextualSpacing/>
        <w:jc w:val="both"/>
        <w:rPr>
          <w:rFonts w:asciiTheme="minorHAnsi" w:hAnsiTheme="minorHAnsi"/>
          <w:b/>
          <w:i/>
          <w:color w:val="5B9BD5" w:themeColor="accent5"/>
          <w:sz w:val="22"/>
          <w:szCs w:val="22"/>
          <w:u w:val="single"/>
        </w:rPr>
      </w:pPr>
    </w:p>
    <w:p w:rsidR="00F33FC1" w:rsidRPr="00D23A56" w:rsidP="00D43402" w14:paraId="69481546" w14:textId="77777777">
      <w:pPr>
        <w:contextualSpacing/>
        <w:jc w:val="both"/>
        <w:rPr>
          <w:rFonts w:asciiTheme="minorHAnsi" w:hAnsiTheme="minorHAnsi"/>
          <w:b/>
          <w:i/>
          <w:color w:val="5B9BD5" w:themeColor="accent5"/>
          <w:sz w:val="22"/>
          <w:szCs w:val="22"/>
          <w:u w:val="single"/>
        </w:rPr>
      </w:pPr>
    </w:p>
    <w:p w:rsidR="00F33FC1" w:rsidRPr="00D23A56" w:rsidP="00D43402" w14:paraId="0D651CFD" w14:textId="77777777">
      <w:pPr>
        <w:bidi w:val="0"/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D23A56">
        <w:rPr>
          <w:rFonts w:asciiTheme="minorHAnsi" w:hAnsiTheme="minorHAnsi"/>
          <w:b/>
          <w:sz w:val="28"/>
          <w:szCs w:val="28"/>
          <w:rtl w:val="0"/>
          <w:lang w:val="ru"/>
        </w:rPr>
        <w:t xml:space="preserve">С: Критерии пищеварительной системы. </w:t>
      </w:r>
    </w:p>
    <w:p w:rsidR="00F33FC1" w:rsidRPr="00D23A56" w:rsidP="00D43402" w14:paraId="7B15D85E" w14:textId="77777777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8"/>
          <w:szCs w:val="28"/>
        </w:rPr>
      </w:pPr>
    </w:p>
    <w:p w:rsidR="0087687F" w:rsidRPr="00D23A56" w:rsidP="00D43402" w14:paraId="101A92C6" w14:textId="77777777">
      <w:pPr>
        <w:ind w:left="360"/>
        <w:contextualSpacing/>
        <w:jc w:val="both"/>
        <w:rPr>
          <w:rFonts w:asciiTheme="minorHAnsi" w:hAnsiTheme="minorHAnsi"/>
          <w:sz w:val="22"/>
          <w:szCs w:val="22"/>
        </w:rPr>
      </w:pPr>
    </w:p>
    <w:p w:rsidR="00D43402" w:rsidRPr="00D23A56" w:rsidP="00D43402" w14:paraId="667D7CE2" w14:textId="77777777">
      <w:pPr>
        <w:ind w:left="360"/>
        <w:contextualSpacing/>
        <w:jc w:val="both"/>
        <w:rPr>
          <w:rFonts w:asciiTheme="minorHAnsi" w:hAnsiTheme="minorHAnsi"/>
          <w:sz w:val="22"/>
          <w:szCs w:val="22"/>
        </w:rPr>
      </w:pPr>
    </w:p>
    <w:p w:rsidR="0087687F" w:rsidRPr="00D23A56" w:rsidP="00D43402" w14:paraId="772CEAD3" w14:textId="77777777">
      <w:pPr>
        <w:pStyle w:val="HTMLPreformatted"/>
        <w:bidi w:val="0"/>
        <w:contextualSpacing/>
        <w:jc w:val="both"/>
        <w:rPr>
          <w:rFonts w:asciiTheme="minorHAnsi" w:hAnsiTheme="minorHAnsi" w:cs="Times New Roman"/>
          <w:b/>
          <w:sz w:val="22"/>
          <w:szCs w:val="22"/>
        </w:rPr>
      </w:pPr>
      <w:r w:rsidRPr="00D23A56">
        <w:rPr>
          <w:rFonts w:asciiTheme="minorHAnsi" w:hAnsiTheme="minorHAnsi" w:cs="Times New Roman"/>
          <w:b/>
          <w:sz w:val="22"/>
          <w:szCs w:val="22"/>
          <w:rtl w:val="0"/>
          <w:lang w:val="ru"/>
        </w:rPr>
        <w:t xml:space="preserve">C1. В случае симптоматических запоров, не реагирующих на изменение образа жизни (диета-упражнения), целесообразно извлечь каловую пробку и начать прием клетчатки (псиллиум, </w:t>
      </w:r>
      <w:r w:rsidRPr="00D23A56">
        <w:rPr>
          <w:rFonts w:asciiTheme="minorHAnsi" w:hAnsiTheme="minorHAnsi" w:cs="Times New Roman"/>
          <w:b/>
          <w:color w:val="000000" w:themeColor="text1"/>
          <w:sz w:val="22"/>
          <w:szCs w:val="22"/>
          <w:rtl w:val="0"/>
          <w:lang w:val="ru"/>
        </w:rPr>
        <w:t>метилцеллюлоза</w:t>
      </w:r>
      <w:r w:rsidRPr="00D23A56">
        <w:rPr>
          <w:rFonts w:asciiTheme="minorHAnsi" w:hAnsiTheme="minorHAnsi" w:cs="Times New Roman"/>
          <w:b/>
          <w:sz w:val="22"/>
          <w:szCs w:val="22"/>
          <w:rtl w:val="0"/>
          <w:lang w:val="ru"/>
        </w:rPr>
        <w:t xml:space="preserve">, поликарбофил, </w:t>
      </w:r>
      <w:r w:rsidRPr="00D23A56">
        <w:rPr>
          <w:rFonts w:asciiTheme="minorHAnsi" w:hAnsiTheme="minorHAnsi" w:cs="Times New Roman"/>
          <w:b/>
          <w:color w:val="000000" w:themeColor="text1"/>
          <w:sz w:val="22"/>
          <w:szCs w:val="22"/>
          <w:shd w:val="clear" w:color="auto" w:fill="FFFFFF"/>
          <w:rtl w:val="0"/>
          <w:lang w:val="ru"/>
        </w:rPr>
        <w:t>декстрин пшеницы)</w:t>
      </w:r>
      <w:r w:rsidRPr="00D23A56">
        <w:rPr>
          <w:rFonts w:asciiTheme="minorHAnsi" w:hAnsiTheme="minorHAnsi" w:cs="Times New Roman"/>
          <w:b/>
          <w:sz w:val="22"/>
          <w:szCs w:val="22"/>
          <w:rtl w:val="0"/>
          <w:lang w:val="ru"/>
        </w:rPr>
        <w:t xml:space="preserve"> или полиэтиленгликоль.</w:t>
      </w:r>
    </w:p>
    <w:p w:rsidR="0087687F" w:rsidRPr="00D23A56" w:rsidP="0087687F" w14:paraId="144D6251" w14:textId="77777777">
      <w:pPr>
        <w:tabs>
          <w:tab w:val="center" w:pos="4536"/>
        </w:tabs>
        <w:jc w:val="both"/>
        <w:rPr>
          <w:rFonts w:asciiTheme="minorHAnsi" w:hAnsiTheme="minorHAnsi"/>
          <w:b/>
          <w:iCs/>
          <w:color w:val="000000" w:themeColor="text1"/>
          <w:sz w:val="22"/>
          <w:szCs w:val="22"/>
        </w:rPr>
      </w:pPr>
    </w:p>
    <w:p w:rsidR="0087687F" w:rsidRPr="00D23A56" w:rsidP="0087687F" w14:paraId="77C1752B" w14:textId="77777777">
      <w:pPr>
        <w:tabs>
          <w:tab w:val="center" w:pos="4536"/>
        </w:tabs>
        <w:jc w:val="both"/>
        <w:rPr>
          <w:rFonts w:asciiTheme="minorHAnsi" w:hAnsiTheme="minorHAnsi"/>
          <w:b/>
          <w:iCs/>
          <w:color w:val="000000" w:themeColor="text1"/>
          <w:sz w:val="22"/>
          <w:szCs w:val="22"/>
        </w:rPr>
      </w:pPr>
    </w:p>
    <w:p w:rsidR="00F33FC1" w:rsidRPr="00D23A56" w:rsidP="0087687F" w14:paraId="53B8F838" w14:textId="77777777">
      <w:pPr>
        <w:tabs>
          <w:tab w:val="center" w:pos="4536"/>
        </w:tabs>
        <w:jc w:val="both"/>
        <w:rPr>
          <w:rFonts w:asciiTheme="minorHAnsi" w:hAnsiTheme="minorHAnsi"/>
          <w:b/>
          <w:iCs/>
          <w:color w:val="000000" w:themeColor="text1"/>
          <w:sz w:val="22"/>
          <w:szCs w:val="22"/>
        </w:rPr>
      </w:pPr>
    </w:p>
    <w:p w:rsidR="00F33FC1" w:rsidRPr="00D23A56" w:rsidP="009B6E20" w14:paraId="7A175116" w14:textId="77777777">
      <w:pPr>
        <w:bidi w:val="0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D23A56">
        <w:rPr>
          <w:rFonts w:asciiTheme="minorHAnsi" w:hAnsiTheme="minorHAnsi"/>
          <w:b/>
          <w:sz w:val="28"/>
          <w:szCs w:val="28"/>
          <w:rtl w:val="0"/>
          <w:lang w:val="ru"/>
        </w:rPr>
        <w:t>D: Критерии дыхательной системы.</w:t>
      </w:r>
    </w:p>
    <w:p w:rsidR="00F33FC1" w:rsidRPr="00D23A56" w:rsidP="009B6E20" w14:paraId="6B8EA38A" w14:textId="77777777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F33FC1" w:rsidRPr="00D23A56" w:rsidP="009B6E20" w14:paraId="5A24CA5C" w14:textId="77777777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9B6E20" w:rsidRPr="00D23A56" w:rsidP="009B6E20" w14:paraId="5074148C" w14:textId="77777777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87687F" w:rsidRPr="00D23A56" w:rsidP="009B6E20" w14:paraId="104512A2" w14:textId="77777777">
      <w:pPr>
        <w:bidi w:val="0"/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  <w:rtl w:val="0"/>
          <w:lang w:val="ru"/>
        </w:rPr>
        <w:t>D1. Пациентам с легкой и умеренной астмой или ХОБЛ целесообразно начать регулярную ингаляционную терапию агонистами бета2 или холинолитиками.</w:t>
      </w:r>
    </w:p>
    <w:p w:rsidR="00F33FC1" w:rsidRPr="00D23A56" w:rsidP="0087687F" w14:paraId="44E887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color w:val="000000" w:themeColor="text1"/>
          <w:sz w:val="22"/>
          <w:szCs w:val="22"/>
          <w:lang w:eastAsia="en-GB"/>
        </w:rPr>
      </w:pPr>
    </w:p>
    <w:p w:rsidR="00787C15" w:rsidRPr="00D23A56" w:rsidP="009B6E20" w14:paraId="45BB95A6" w14:textId="77777777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87687F" w:rsidRPr="00D23A56" w:rsidP="009B6E20" w14:paraId="4868D3BA" w14:textId="77777777">
      <w:pPr>
        <w:bidi w:val="0"/>
        <w:spacing w:before="100" w:beforeAutospacing="1" w:after="100" w:afterAutospacing="1"/>
        <w:contextualSpacing/>
        <w:jc w:val="both"/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</w:pPr>
      <w:r w:rsidRPr="00D23A56">
        <w:rPr>
          <w:rFonts w:asciiTheme="minorHAnsi" w:hAnsiTheme="minorHAnsi"/>
          <w:b/>
          <w:color w:val="212121"/>
          <w:sz w:val="22"/>
          <w:szCs w:val="22"/>
          <w:shd w:val="clear" w:color="auto" w:fill="FFFFFF"/>
          <w:rtl w:val="0"/>
          <w:lang w:val="ru"/>
        </w:rPr>
        <w:t>D2. Пациентам с астмой средней и тяжелой степени или ХОБЛ с ОФВ1 &lt;50% и рецидивирующими обострениями, требующими пероральной терапии стероидами, рекомендуется начать регулярную терапию ингаляционными кортикостероидами.</w:t>
      </w:r>
    </w:p>
    <w:p w:rsidR="009B6E20" w:rsidRPr="00D23A56" w:rsidP="009B6E20" w14:paraId="4D0D91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9B6E20" w:rsidRPr="00D23A56" w:rsidP="009B6E20" w14:paraId="1C84F6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9B6E20" w:rsidRPr="00D23A56" w:rsidP="009B6E20" w14:paraId="33E9CF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  <w:rtl w:val="0"/>
          <w:lang w:val="ru"/>
        </w:rPr>
        <w:t>D3. Пациентам с хронической гипоксемией (pO</w:t>
      </w:r>
      <w:r w:rsidRPr="00D23A56">
        <w:rPr>
          <w:rFonts w:asciiTheme="minorHAnsi" w:hAnsiTheme="minorHAnsi"/>
          <w:b/>
          <w:sz w:val="22"/>
          <w:szCs w:val="22"/>
          <w:vertAlign w:val="subscript"/>
          <w:rtl w:val="0"/>
          <w:lang w:val="ru"/>
        </w:rPr>
        <w:t>2</w:t>
      </w:r>
      <w:r w:rsidRPr="00D23A56">
        <w:rPr>
          <w:rFonts w:asciiTheme="minorHAnsi" w:hAnsiTheme="minorHAnsi"/>
          <w:b/>
          <w:sz w:val="22"/>
          <w:szCs w:val="22"/>
          <w:rtl w:val="0"/>
          <w:lang w:val="ru"/>
        </w:rPr>
        <w:t xml:space="preserve"> &lt;=55 мм рт. ст. или SO2 &lt;=88%) целесообразно дома начать непрерывную кислородную терапию. </w:t>
      </w:r>
    </w:p>
    <w:p w:rsidR="009B6E20" w:rsidRPr="00D23A56" w:rsidP="009B6E20" w14:paraId="2BDC61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7687F" w:rsidRPr="00D23A56" w:rsidP="0087687F" w14:paraId="617EEDEF" w14:textId="77777777">
      <w:pPr>
        <w:jc w:val="both"/>
        <w:rPr>
          <w:rFonts w:asciiTheme="minorHAnsi" w:hAnsiTheme="minorHAnsi"/>
          <w:sz w:val="22"/>
          <w:szCs w:val="22"/>
        </w:rPr>
      </w:pPr>
    </w:p>
    <w:p w:rsidR="00851AFB" w:rsidRPr="00D23A56" w:rsidP="0087687F" w14:paraId="5D7AD01A" w14:textId="77777777">
      <w:pPr>
        <w:jc w:val="both"/>
        <w:rPr>
          <w:rFonts w:asciiTheme="minorHAnsi" w:hAnsiTheme="minorHAnsi"/>
          <w:sz w:val="22"/>
          <w:szCs w:val="22"/>
        </w:rPr>
      </w:pPr>
    </w:p>
    <w:p w:rsidR="00851AFB" w:rsidRPr="00D23A56" w:rsidP="0087687F" w14:paraId="4B8E4CF6" w14:textId="77777777">
      <w:pPr>
        <w:jc w:val="both"/>
        <w:rPr>
          <w:rFonts w:asciiTheme="minorHAnsi" w:hAnsiTheme="minorHAnsi"/>
          <w:sz w:val="22"/>
          <w:szCs w:val="22"/>
        </w:rPr>
      </w:pPr>
    </w:p>
    <w:p w:rsidR="00851AFB" w:rsidRPr="00D23A56" w:rsidP="009B6E20" w14:paraId="2D2B5934" w14:textId="77777777">
      <w:pPr>
        <w:bidi w:val="0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D23A56">
        <w:rPr>
          <w:rFonts w:asciiTheme="minorHAnsi" w:hAnsiTheme="minorHAnsi"/>
          <w:b/>
          <w:sz w:val="28"/>
          <w:szCs w:val="28"/>
          <w:rtl w:val="0"/>
          <w:lang w:val="ru"/>
        </w:rPr>
        <w:t>E: Критерии костно-мышечной системы и обезболивающие препараты.</w:t>
      </w:r>
    </w:p>
    <w:p w:rsidR="00851AFB" w:rsidRPr="00D23A56" w:rsidP="009B6E20" w14:paraId="7309DF94" w14:textId="77777777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851AFB" w:rsidRPr="00D23A56" w:rsidP="009B6E20" w14:paraId="5CD319BD" w14:textId="77777777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9B6E20" w:rsidRPr="00D23A56" w:rsidP="009B6E20" w14:paraId="298F53EF" w14:textId="77777777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9B6E20" w:rsidRPr="00D23A56" w:rsidP="009B6E20" w14:paraId="7A93BD5B" w14:textId="2F9263FE">
      <w:pPr>
        <w:bidi w:val="0"/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rtl w:val="0"/>
          <w:lang w:val="ru"/>
        </w:rPr>
        <w:t>#</w:t>
      </w:r>
      <w:r w:rsidRPr="00D23A56" w:rsidR="0087687F">
        <w:rPr>
          <w:rFonts w:asciiTheme="minorHAnsi" w:hAnsiTheme="minorHAnsi"/>
          <w:b/>
          <w:color w:val="000000"/>
          <w:sz w:val="22"/>
          <w:szCs w:val="22"/>
          <w:rtl w:val="0"/>
          <w:lang w:val="ru"/>
        </w:rPr>
        <w:t>E1. Пациентам с ежедневным потреблением витамина D с пищей &lt;800-1000 МЕ или с потреблением элементарного кальция &lt;1000-1200 мг целесообразно начать заместительную терапию.</w:t>
      </w:r>
    </w:p>
    <w:p w:rsidR="009B6E20" w:rsidRPr="00D23A56" w:rsidP="009B6E20" w14:paraId="10D43B7B" w14:textId="77777777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9B6E20" w:rsidRPr="00D23A56" w:rsidP="009B6E20" w14:paraId="31F38A20" w14:textId="77777777">
      <w:pPr>
        <w:spacing w:before="100" w:beforeAutospacing="1" w:after="100" w:afterAutospacing="1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9B6E20" w:rsidRPr="00D23A56" w:rsidP="009B6E20" w14:paraId="6706B9C1" w14:textId="77777777">
      <w:pPr>
        <w:spacing w:before="100" w:beforeAutospacing="1" w:after="100" w:afterAutospacing="1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87687F" w:rsidRPr="00D23A56" w:rsidP="0087687F" w14:paraId="08110093" w14:textId="77777777">
      <w:pPr>
        <w:bidi w:val="0"/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23A56">
        <w:rPr>
          <w:rFonts w:asciiTheme="minorHAnsi" w:hAnsiTheme="minorHAnsi"/>
          <w:b/>
          <w:color w:val="000000" w:themeColor="text1"/>
          <w:sz w:val="22"/>
          <w:szCs w:val="22"/>
          <w:rtl w:val="0"/>
          <w:lang w:val="ru"/>
        </w:rPr>
        <w:t>E2. Пациентам с документально подтвержденным остеопорозом</w:t>
      </w:r>
      <w:r w:rsidRPr="00D23A56">
        <w:rPr>
          <w:rFonts w:ascii="Symbol" w:hAnsi="Symbol"/>
          <w:b/>
          <w:color w:val="000000" w:themeColor="text1"/>
          <w:sz w:val="22"/>
          <w:szCs w:val="22"/>
          <w:rtl w:val="0"/>
          <w:lang w:val="ru"/>
        </w:rPr>
        <w:sym w:font="Symbol" w:char="F05B"/>
      </w:r>
      <w:r w:rsidRPr="00D23A56">
        <w:rPr>
          <w:rFonts w:asciiTheme="minorHAnsi" w:hAnsiTheme="minorHAnsi"/>
          <w:b/>
          <w:color w:val="000000" w:themeColor="text1"/>
          <w:sz w:val="22"/>
          <w:szCs w:val="22"/>
          <w:rtl w:val="0"/>
          <w:lang w:val="ru"/>
        </w:rPr>
        <w:t xml:space="preserve"> с хрупким переломом и/или минеральной денситометрией костей T (общая бедренная кость, шейка бедра или поясница </w:t>
      </w:r>
      <w:r w:rsidRPr="00D23A56">
        <w:rPr>
          <w:rFonts w:asciiTheme="minorHAnsi" w:hAnsiTheme="minorHAnsi"/>
          <w:b/>
          <w:color w:val="000000" w:themeColor="text1"/>
          <w:sz w:val="22"/>
          <w:szCs w:val="22"/>
          <w:u w:val="single"/>
          <w:rtl w:val="0"/>
          <w:lang w:val="ru"/>
        </w:rPr>
        <w:t>&lt;</w:t>
      </w:r>
      <w:r w:rsidRPr="00D23A56">
        <w:rPr>
          <w:rFonts w:asciiTheme="minorHAnsi" w:hAnsiTheme="minorHAnsi"/>
          <w:b/>
          <w:color w:val="000000" w:themeColor="text1"/>
          <w:sz w:val="22"/>
          <w:szCs w:val="22"/>
          <w:rtl w:val="0"/>
          <w:lang w:val="ru"/>
        </w:rPr>
        <w:t>-2,5)</w:t>
      </w:r>
      <w:r w:rsidRPr="00D23A56">
        <w:rPr>
          <w:rFonts w:ascii="Symbol" w:hAnsi="Symbol"/>
          <w:b/>
          <w:color w:val="000000" w:themeColor="text1"/>
          <w:sz w:val="22"/>
          <w:szCs w:val="22"/>
          <w:rtl w:val="0"/>
          <w:lang w:val="ru"/>
        </w:rPr>
        <w:sym w:font="Symbol" w:char="F05D"/>
      </w:r>
      <w:r w:rsidRPr="00D23A56">
        <w:rPr>
          <w:rFonts w:asciiTheme="minorHAnsi" w:hAnsiTheme="minorHAnsi"/>
          <w:b/>
          <w:color w:val="000000" w:themeColor="text1"/>
          <w:sz w:val="22"/>
          <w:szCs w:val="22"/>
          <w:rtl w:val="0"/>
          <w:lang w:val="ru"/>
        </w:rPr>
        <w:t xml:space="preserve">  целесообразно назначить антирезорбтивное средство (бисфосфонат, деносумаб) или анаболическое средство (аналог паратгормона).  </w:t>
      </w:r>
    </w:p>
    <w:p w:rsidR="009B6E20" w:rsidRPr="004613B7" w:rsidP="004613B7" w14:paraId="57E27822" w14:textId="09E3DEFF">
      <w:pPr>
        <w:bidi w:val="0"/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i/>
          <w:iCs/>
          <w:color w:val="222222"/>
          <w:sz w:val="22"/>
          <w:szCs w:val="22"/>
        </w:rPr>
      </w:pPr>
      <w:r w:rsidRPr="00D23A56">
        <w:rPr>
          <w:rFonts w:asciiTheme="minorHAnsi" w:hAnsiTheme="minorHAnsi"/>
          <w:b/>
          <w:color w:val="000000" w:themeColor="text1"/>
          <w:sz w:val="22"/>
          <w:szCs w:val="22"/>
          <w:rtl w:val="0"/>
          <w:lang w:val="ru"/>
        </w:rPr>
        <w:t>*</w:t>
      </w:r>
      <w:r w:rsidRPr="00D23A56">
        <w:rPr>
          <w:rFonts w:asciiTheme="minorHAnsi" w:hAnsiTheme="minorHAnsi"/>
          <w:i/>
          <w:iCs/>
          <w:color w:val="222222"/>
          <w:sz w:val="22"/>
          <w:szCs w:val="22"/>
          <w:rtl w:val="0"/>
          <w:lang w:val="ru"/>
        </w:rPr>
        <w:t xml:space="preserve"> Лечение также должно включать адекватное потребление витамина D и элементарного кальция.</w:t>
      </w:r>
    </w:p>
    <w:p w:rsidR="009B6E20" w:rsidRPr="00D23A56" w:rsidP="009B6E20" w14:paraId="26278BF4" w14:textId="77777777">
      <w:pPr>
        <w:pStyle w:val="HTMLPreformatted"/>
        <w:contextualSpacing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87687F" w:rsidRPr="00D23A56" w:rsidP="009B6E20" w14:paraId="5630D878" w14:textId="77777777">
      <w:pPr>
        <w:pStyle w:val="HTMLPreformatted"/>
        <w:bidi w:val="0"/>
        <w:spacing w:line="360" w:lineRule="auto"/>
        <w:contextualSpacing/>
        <w:jc w:val="both"/>
        <w:rPr>
          <w:rStyle w:val="nowrap"/>
          <w:rFonts w:asciiTheme="minorHAnsi" w:hAnsiTheme="minorHAnsi" w:cs="Times New Roman"/>
          <w:b/>
          <w:sz w:val="22"/>
          <w:szCs w:val="22"/>
        </w:rPr>
      </w:pPr>
      <w:r w:rsidRPr="00D23A56">
        <w:rPr>
          <w:rFonts w:asciiTheme="minorHAnsi" w:hAnsiTheme="minorHAnsi" w:cs="Times New Roman"/>
          <w:b/>
          <w:sz w:val="22"/>
          <w:szCs w:val="22"/>
          <w:rtl w:val="0"/>
          <w:lang w:val="ru"/>
        </w:rPr>
        <w:t xml:space="preserve">E3. Пациентам, начинающим длительную (ожидаемая продолжительность ≥3 месяцев) системную кортикостероидную терапию: начинать терапию бисфосфонатами целесообразно всем пациентам, которые будут получать i) преднизолон или эквивалентную стероидную терапию в дозе </w:t>
      </w:r>
      <w:r w:rsidRPr="00D23A56">
        <w:rPr>
          <w:rFonts w:asciiTheme="minorHAnsi" w:hAnsiTheme="minorHAnsi" w:cs="Times New Roman"/>
          <w:i/>
          <w:sz w:val="22"/>
          <w:szCs w:val="22"/>
          <w:shd w:val="clear" w:color="auto" w:fill="FFFFFF"/>
          <w:rtl w:val="0"/>
          <w:lang w:val="ru"/>
        </w:rPr>
        <w:t>≥</w:t>
      </w:r>
      <w:r w:rsidRPr="00D23A56">
        <w:rPr>
          <w:rFonts w:asciiTheme="minorHAnsi" w:hAnsiTheme="minorHAnsi" w:cs="Times New Roman"/>
          <w:b/>
          <w:sz w:val="22"/>
          <w:szCs w:val="22"/>
          <w:rtl w:val="0"/>
          <w:lang w:val="ru"/>
        </w:rPr>
        <w:t>7,5 мг/день, ii) если показатель T &lt;-1, всем пациентам, которые будут получать дозозависимую стероидную терапию.</w:t>
      </w:r>
    </w:p>
    <w:p w:rsidR="0096528C" w:rsidP="009B6E20" w14:paraId="2AED62B7" w14:textId="77777777">
      <w:pPr>
        <w:pStyle w:val="HTMLPreformatted"/>
        <w:bidi w:val="0"/>
        <w:spacing w:line="360" w:lineRule="auto"/>
        <w:contextualSpacing/>
        <w:jc w:val="both"/>
        <w:rPr>
          <w:rStyle w:val="nowrap"/>
          <w:rFonts w:asciiTheme="minorHAnsi" w:hAnsiTheme="minorHAnsi" w:cs="Times New Roman"/>
          <w:bCs/>
          <w:i/>
          <w:iCs/>
          <w:sz w:val="22"/>
          <w:szCs w:val="22"/>
        </w:rPr>
      </w:pPr>
      <w:r w:rsidRPr="00D23A56">
        <w:rPr>
          <w:rStyle w:val="nowrap"/>
          <w:rFonts w:asciiTheme="minorHAnsi" w:hAnsiTheme="minorHAnsi" w:cs="Times New Roman"/>
          <w:bCs/>
          <w:i/>
          <w:iCs/>
          <w:sz w:val="22"/>
          <w:szCs w:val="22"/>
          <w:rtl w:val="0"/>
          <w:lang w:val="ru"/>
        </w:rPr>
        <w:t xml:space="preserve">* В возрасте &gt;=70 лет может оказаться целесообразным начать лечение бисфосфонатами всех пациентов, которые будут получать дозозависимую длительную (&gt;3 месяцев) стероидную терапию. </w:t>
      </w:r>
    </w:p>
    <w:p w:rsidR="0096528C" w:rsidRPr="00AE7765" w:rsidP="00AE7765" w14:paraId="6FF0C844" w14:textId="77777777">
      <w:pPr>
        <w:pStyle w:val="HTMLPreformatted"/>
        <w:bidi w:val="0"/>
        <w:spacing w:line="360" w:lineRule="auto"/>
        <w:contextualSpacing/>
        <w:jc w:val="both"/>
        <w:rPr>
          <w:rFonts w:asciiTheme="minorHAnsi" w:hAnsiTheme="minorHAnsi" w:cs="Times New Roman"/>
          <w:bCs/>
          <w:i/>
          <w:iCs/>
          <w:sz w:val="22"/>
          <w:szCs w:val="22"/>
        </w:rPr>
      </w:pPr>
      <w:r>
        <w:rPr>
          <w:rStyle w:val="nowrap"/>
          <w:rFonts w:asciiTheme="minorHAnsi" w:hAnsiTheme="minorHAnsi" w:cs="Times New Roman"/>
          <w:bCs/>
          <w:i/>
          <w:iCs/>
          <w:sz w:val="22"/>
          <w:szCs w:val="22"/>
          <w:rtl w:val="0"/>
          <w:lang w:val="ru"/>
        </w:rPr>
        <w:t xml:space="preserve">* Лечение также должно включать адекватное потребление витамина D и базового количества кальция. </w:t>
      </w:r>
    </w:p>
    <w:p w:rsidR="009B6E20" w:rsidRPr="00D23A56" w:rsidP="0087687F" w14:paraId="033FC4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9B6E20" w:rsidRPr="00D23A56" w:rsidP="0087687F" w14:paraId="166D5A25" w14:textId="77777777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87687F" w:rsidRPr="00D23A56" w:rsidP="0087687F" w14:paraId="7C280405" w14:textId="1CE4EFD8">
      <w:pPr>
        <w:bidi w:val="0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  <w:rtl w:val="0"/>
          <w:lang w:val="ru"/>
        </w:rPr>
        <w:t>E4. Целесообразно начать антирезорбтивную терапию длительного действия после отмены по крайней мере двух доз деносумаба (повышенный риск рикошета BTM, потеря МПК и перелом позвоночника после отмены деносумаба).</w:t>
      </w:r>
    </w:p>
    <w:p w:rsidR="0087687F" w:rsidRPr="00D23A56" w:rsidP="0087687F" w14:paraId="262F3811" w14:textId="77777777">
      <w:pPr>
        <w:bidi w:val="0"/>
        <w:spacing w:line="360" w:lineRule="auto"/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D23A56">
        <w:rPr>
          <w:rFonts w:asciiTheme="minorHAnsi" w:hAnsiTheme="minorHAnsi"/>
          <w:bCs/>
          <w:i/>
          <w:iCs/>
          <w:sz w:val="22"/>
          <w:szCs w:val="22"/>
          <w:rtl w:val="0"/>
          <w:lang w:val="ru"/>
        </w:rPr>
        <w:t xml:space="preserve">* Эффект отскока более выражен у пациентов, у которых лечение деносумабом было прекращено после приема двух доз. </w:t>
      </w:r>
    </w:p>
    <w:p w:rsidR="009B6E20" w:rsidRPr="00D23A56" w:rsidP="0087687F" w14:paraId="0212F7FC" w14:textId="77777777">
      <w:pPr>
        <w:jc w:val="both"/>
        <w:rPr>
          <w:rFonts w:asciiTheme="minorHAnsi" w:hAnsiTheme="minorHAnsi"/>
          <w:b/>
          <w:sz w:val="22"/>
          <w:szCs w:val="22"/>
        </w:rPr>
      </w:pPr>
    </w:p>
    <w:p w:rsidR="009B6E20" w:rsidRPr="00D23A56" w:rsidP="0087687F" w14:paraId="2CC036D2" w14:textId="77777777">
      <w:pPr>
        <w:jc w:val="both"/>
        <w:rPr>
          <w:rFonts w:asciiTheme="minorHAnsi" w:hAnsiTheme="minorHAnsi"/>
          <w:b/>
          <w:sz w:val="22"/>
          <w:szCs w:val="22"/>
        </w:rPr>
      </w:pPr>
    </w:p>
    <w:p w:rsidR="0087687F" w:rsidRPr="00D23A56" w:rsidP="0087687F" w14:paraId="6503D993" w14:textId="43362B23">
      <w:pPr>
        <w:bidi w:val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rtl w:val="0"/>
          <w:lang w:val="ru"/>
        </w:rPr>
        <w:t>#E5.После лечения терипаратидом целесообразно начинать антирезорбтивную терапию.</w:t>
      </w:r>
    </w:p>
    <w:p w:rsidR="0087687F" w:rsidRPr="00D23A56" w:rsidP="0087687F" w14:paraId="5FBED197" w14:textId="77777777">
      <w:pPr>
        <w:jc w:val="both"/>
        <w:rPr>
          <w:rFonts w:asciiTheme="minorHAnsi" w:hAnsiTheme="minorHAnsi"/>
          <w:b/>
          <w:sz w:val="22"/>
          <w:szCs w:val="22"/>
        </w:rPr>
      </w:pPr>
    </w:p>
    <w:p w:rsidR="009B6E20" w:rsidRPr="00D23A56" w:rsidP="009B6E20" w14:paraId="306D1B00" w14:textId="77777777">
      <w:pPr>
        <w:jc w:val="both"/>
        <w:rPr>
          <w:rFonts w:asciiTheme="minorHAnsi" w:hAnsiTheme="minorHAnsi"/>
          <w:b/>
          <w:sz w:val="22"/>
          <w:szCs w:val="22"/>
        </w:rPr>
      </w:pPr>
    </w:p>
    <w:p w:rsidR="009B6E20" w:rsidRPr="00D23A56" w:rsidP="009B6E20" w14:paraId="64B19941" w14:textId="77777777">
      <w:pPr>
        <w:jc w:val="both"/>
        <w:rPr>
          <w:rFonts w:asciiTheme="minorHAnsi" w:hAnsiTheme="minorHAnsi"/>
          <w:b/>
          <w:sz w:val="22"/>
          <w:szCs w:val="22"/>
        </w:rPr>
      </w:pPr>
    </w:p>
    <w:p w:rsidR="0087687F" w:rsidRPr="00D23A56" w:rsidP="009B6E20" w14:paraId="0C512CAE" w14:textId="77777777">
      <w:pPr>
        <w:bidi w:val="0"/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  <w:rtl w:val="0"/>
          <w:lang w:val="ru"/>
        </w:rPr>
        <w:t xml:space="preserve">E6. При наличии хронического активного ревматологического заболевания целесообразно начать болезнь-модифицирующую терапию. </w:t>
      </w:r>
    </w:p>
    <w:p w:rsidR="0087687F" w:rsidRPr="00D23A56" w:rsidP="0087687F" w14:paraId="212BCF6D" w14:textId="77777777">
      <w:pPr>
        <w:jc w:val="both"/>
        <w:rPr>
          <w:rFonts w:asciiTheme="minorHAnsi" w:hAnsiTheme="minorHAnsi"/>
          <w:sz w:val="22"/>
          <w:szCs w:val="22"/>
        </w:rPr>
      </w:pPr>
    </w:p>
    <w:p w:rsidR="0087687F" w:rsidRPr="00D23A56" w:rsidP="0087687F" w14:paraId="187FA5B2" w14:textId="77777777">
      <w:pPr>
        <w:spacing w:before="100" w:beforeAutospacing="1" w:after="100" w:afterAutospacing="1"/>
        <w:jc w:val="both"/>
        <w:rPr>
          <w:rFonts w:asciiTheme="minorHAnsi" w:hAnsiTheme="minorHAnsi"/>
          <w:b/>
          <w:sz w:val="22"/>
          <w:szCs w:val="22"/>
        </w:rPr>
      </w:pPr>
    </w:p>
    <w:p w:rsidR="00A67324" w:rsidRPr="00D23A56" w:rsidP="0087687F" w14:paraId="74044AC5" w14:textId="77777777">
      <w:pPr>
        <w:spacing w:before="100" w:beforeAutospacing="1" w:after="100" w:afterAutospacing="1"/>
        <w:jc w:val="both"/>
        <w:rPr>
          <w:rFonts w:asciiTheme="minorHAnsi" w:hAnsiTheme="minorHAnsi"/>
          <w:b/>
          <w:sz w:val="22"/>
          <w:szCs w:val="22"/>
        </w:rPr>
      </w:pPr>
    </w:p>
    <w:p w:rsidR="0096528C" w:rsidRPr="00D23A56" w:rsidP="0096528C" w14:paraId="63B54EBE" w14:textId="77777777">
      <w:pPr>
        <w:bidi w:val="0"/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  <w:rtl w:val="0"/>
          <w:lang w:val="ru"/>
        </w:rPr>
        <w:t xml:space="preserve">E7. Пациентам, принимающим метотрексат, целесообразно начинать прием фолиевой кислоты.  </w:t>
      </w:r>
    </w:p>
    <w:p w:rsidR="0096528C" w:rsidRPr="00D23A56" w:rsidP="0096528C" w14:paraId="3D9AAD82" w14:textId="77777777">
      <w:pPr>
        <w:spacing w:before="100" w:beforeAutospacing="1" w:after="100" w:afterAutospacing="1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9B6E20" w:rsidRPr="00D23A56" w:rsidP="009B6E20" w14:paraId="29A90A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9B6E20" w:rsidRPr="00D23A56" w:rsidP="009B6E20" w14:paraId="54F6D2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9B6E20" w:rsidP="004613B7" w14:paraId="37FD3780" w14:textId="32C8C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rFonts w:asciiTheme="minorHAnsi" w:hAnsiTheme="minorHAnsi"/>
          <w:sz w:val="22"/>
          <w:szCs w:val="22"/>
          <w:lang w:eastAsia="en-GB"/>
        </w:rPr>
      </w:pPr>
      <w:r w:rsidRPr="00D23A56">
        <w:rPr>
          <w:rFonts w:asciiTheme="minorHAnsi" w:hAnsiTheme="minorHAnsi"/>
          <w:b/>
          <w:sz w:val="22"/>
          <w:szCs w:val="22"/>
          <w:rtl w:val="0"/>
          <w:lang w:val="ru"/>
        </w:rPr>
        <w:t xml:space="preserve">E8. У пациентов с рецидивирующими приступами подагры целесообразно назначать ингибитор ксантиноксидазы (в первую очередь аллопуринол). </w:t>
      </w:r>
    </w:p>
    <w:p w:rsidR="004613B7" w:rsidRPr="00D23A56" w:rsidP="004613B7" w14:paraId="5B19E1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  <w:lang w:eastAsia="en-GB"/>
        </w:rPr>
      </w:pPr>
    </w:p>
    <w:p w:rsidR="009B6E20" w:rsidRPr="00D23A56" w:rsidP="0087687F" w14:paraId="0846FE06" w14:textId="7777777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B6E20" w:rsidP="004613B7" w14:paraId="7E064A3B" w14:textId="373D36E5">
      <w:pPr>
        <w:bidi w:val="0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  <w:rtl w:val="0"/>
          <w:lang w:val="ru"/>
        </w:rPr>
        <w:t>E9. В случаях, когда других анальгетиков (парацетамол, НПВП или легкие опиоиды) недостаточно для снятия умеренной и сильной боли, целесообразно начать терапию опиоидами сильного действия.</w:t>
      </w:r>
    </w:p>
    <w:p w:rsidR="004613B7" w:rsidRPr="004613B7" w:rsidP="004613B7" w14:paraId="426FCDAD" w14:textId="77777777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9B6E20" w:rsidRPr="00D23A56" w:rsidP="009B6E20" w14:paraId="525ABC2F" w14:textId="77777777">
      <w:pPr>
        <w:jc w:val="both"/>
        <w:rPr>
          <w:rFonts w:asciiTheme="minorHAnsi" w:hAnsiTheme="minorHAnsi"/>
          <w:sz w:val="22"/>
          <w:szCs w:val="22"/>
        </w:rPr>
      </w:pPr>
    </w:p>
    <w:p w:rsidR="0087687F" w:rsidRPr="00D23A56" w:rsidP="009B6E20" w14:paraId="7DF22F90" w14:textId="77777777">
      <w:pPr>
        <w:bidi w:val="0"/>
        <w:jc w:val="both"/>
        <w:rPr>
          <w:rFonts w:asciiTheme="minorHAnsi" w:hAnsiTheme="minorHAnsi"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  <w:rtl w:val="0"/>
          <w:lang w:val="ru"/>
        </w:rPr>
        <w:t xml:space="preserve">E10. Пациентам с хроническими болями, принимающим опиоиды длительного действия, при наличии периодических сильных болей целесообразно добавить к лечению опиоиды короткого действия (риск неконтролируемой сильной боли). </w:t>
      </w:r>
    </w:p>
    <w:p w:rsidR="0087687F" w:rsidRPr="00D23A56" w:rsidP="0087687F" w14:paraId="4F179502" w14:textId="77777777">
      <w:p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9B6E20" w:rsidRPr="00D23A56" w:rsidP="0087687F" w14:paraId="7A546C50" w14:textId="77777777">
      <w:pPr>
        <w:jc w:val="both"/>
        <w:rPr>
          <w:rFonts w:asciiTheme="minorHAnsi" w:hAnsiTheme="minorHAnsi"/>
          <w:sz w:val="22"/>
          <w:szCs w:val="22"/>
        </w:rPr>
      </w:pPr>
    </w:p>
    <w:p w:rsidR="009B6E20" w:rsidRPr="00D23A56" w:rsidP="0087687F" w14:paraId="13CC3DFD" w14:textId="77777777">
      <w:pPr>
        <w:jc w:val="both"/>
        <w:rPr>
          <w:rFonts w:asciiTheme="minorHAnsi" w:hAnsiTheme="minorHAnsi"/>
          <w:sz w:val="22"/>
          <w:szCs w:val="22"/>
        </w:rPr>
      </w:pPr>
    </w:p>
    <w:p w:rsidR="009B6E20" w:rsidRPr="00D23A56" w:rsidP="0087687F" w14:paraId="1D72CF61" w14:textId="77777777">
      <w:pPr>
        <w:jc w:val="both"/>
        <w:rPr>
          <w:rFonts w:asciiTheme="minorHAnsi" w:hAnsiTheme="minorHAnsi"/>
          <w:sz w:val="22"/>
          <w:szCs w:val="22"/>
        </w:rPr>
      </w:pPr>
    </w:p>
    <w:p w:rsidR="009B6E20" w:rsidRPr="00D23A56" w:rsidP="009B6E20" w14:paraId="588A861E" w14:textId="77777777">
      <w:pPr>
        <w:bidi w:val="0"/>
        <w:jc w:val="both"/>
        <w:rPr>
          <w:rFonts w:asciiTheme="minorHAnsi" w:hAnsiTheme="minorHAnsi"/>
          <w:sz w:val="22"/>
          <w:szCs w:val="22"/>
        </w:rPr>
      </w:pPr>
      <w:r w:rsidRPr="00D23A56">
        <w:rPr>
          <w:rFonts w:asciiTheme="minorHAnsi" w:hAnsiTheme="minorHAnsi"/>
          <w:b/>
          <w:sz w:val="28"/>
          <w:szCs w:val="28"/>
          <w:rtl w:val="0"/>
          <w:lang w:val="ru"/>
        </w:rPr>
        <w:t>F: Критерии эндокринной системы.</w:t>
      </w:r>
    </w:p>
    <w:p w:rsidR="009B6E20" w:rsidRPr="00D23A56" w:rsidP="009B6E20" w14:paraId="55480A7C" w14:textId="77777777">
      <w:pPr>
        <w:jc w:val="both"/>
        <w:rPr>
          <w:rFonts w:asciiTheme="minorHAnsi" w:hAnsiTheme="minorHAnsi"/>
          <w:sz w:val="22"/>
          <w:szCs w:val="22"/>
        </w:rPr>
      </w:pPr>
    </w:p>
    <w:p w:rsidR="009B6E20" w:rsidRPr="00D23A56" w:rsidP="009B6E20" w14:paraId="47C70BDE" w14:textId="77777777">
      <w:pPr>
        <w:jc w:val="both"/>
        <w:rPr>
          <w:rFonts w:asciiTheme="minorHAnsi" w:hAnsiTheme="minorHAnsi"/>
          <w:sz w:val="22"/>
          <w:szCs w:val="22"/>
        </w:rPr>
      </w:pPr>
    </w:p>
    <w:p w:rsidR="009B6E20" w:rsidRPr="00D23A56" w:rsidP="009B6E20" w14:paraId="3A1F0ECD" w14:textId="77777777">
      <w:pPr>
        <w:jc w:val="both"/>
        <w:rPr>
          <w:rFonts w:asciiTheme="minorHAnsi" w:hAnsiTheme="minorHAnsi"/>
          <w:sz w:val="22"/>
          <w:szCs w:val="22"/>
        </w:rPr>
      </w:pPr>
    </w:p>
    <w:p w:rsidR="0087687F" w:rsidRPr="00D23A56" w:rsidP="009B6E20" w14:paraId="5487AF6E" w14:textId="77777777">
      <w:pPr>
        <w:bidi w:val="0"/>
        <w:jc w:val="both"/>
        <w:rPr>
          <w:rFonts w:asciiTheme="minorHAnsi" w:hAnsiTheme="minorHAnsi"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  <w:rtl w:val="0"/>
          <w:lang w:val="ru"/>
        </w:rPr>
        <w:t xml:space="preserve">F1. При наличии явной протеинурии (&gt;300 мг/день) или микроальбуминурии (&gt;30 мг/день) пациентам с сахарным диабетом целесообразно начать терапию ИАПФ или БРА.   </w:t>
      </w:r>
    </w:p>
    <w:p w:rsidR="0087687F" w:rsidRPr="00D23A56" w:rsidP="0087687F" w14:paraId="7461EA72" w14:textId="77777777">
      <w:pPr>
        <w:bidi w:val="0"/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D23A56">
        <w:rPr>
          <w:rFonts w:asciiTheme="minorHAnsi" w:hAnsiTheme="minorHAnsi"/>
          <w:sz w:val="22"/>
          <w:szCs w:val="22"/>
          <w:rtl w:val="0"/>
          <w:lang w:val="ru"/>
        </w:rPr>
        <w:t>*</w:t>
      </w:r>
      <w:r w:rsidRPr="00D23A56">
        <w:rPr>
          <w:rFonts w:asciiTheme="minorHAnsi" w:hAnsiTheme="minorHAnsi"/>
          <w:i/>
          <w:sz w:val="22"/>
          <w:szCs w:val="22"/>
          <w:rtl w:val="0"/>
          <w:lang w:val="ru"/>
        </w:rPr>
        <w:t xml:space="preserve"> У пациентов с почечной недостаточностью в начальный период лечения ИАПФ или БРА ожидается повышение уровня креатинина в сыворотке крови. </w:t>
      </w:r>
    </w:p>
    <w:p w:rsidR="0087687F" w:rsidRPr="00D23A56" w:rsidP="0087687F" w14:paraId="6B6C0F4C" w14:textId="77777777">
      <w:pPr>
        <w:bidi w:val="0"/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D23A56">
        <w:rPr>
          <w:rFonts w:asciiTheme="minorHAnsi" w:hAnsiTheme="minorHAnsi"/>
          <w:i/>
          <w:sz w:val="22"/>
          <w:szCs w:val="22"/>
          <w:rtl w:val="0"/>
          <w:lang w:val="ru"/>
        </w:rPr>
        <w:t>* Если это увеличение составляет менее 30%, рекомендуется продолжить лечение.</w:t>
      </w:r>
    </w:p>
    <w:p w:rsidR="0087687F" w:rsidRPr="00D23A56" w:rsidP="0087687F" w14:paraId="2B93C86D" w14:textId="77777777">
      <w:pPr>
        <w:bidi w:val="0"/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i/>
          <w:sz w:val="22"/>
          <w:szCs w:val="22"/>
          <w:rtl w:val="0"/>
          <w:lang w:val="ru"/>
        </w:rPr>
        <w:t xml:space="preserve">* Хотя абсолютных противопоказаний для начала приема ИАПФ или БРА нет, его нельзя рекомендовать пациентам с уровнем креатинина сыворотки &gt;3,0 мг/дл. </w:t>
      </w:r>
    </w:p>
    <w:p w:rsidR="0087687F" w:rsidRPr="00D23A56" w:rsidP="0087687F" w14:paraId="5F7CD423" w14:textId="77777777">
      <w:pPr>
        <w:bidi w:val="0"/>
        <w:spacing w:line="360" w:lineRule="auto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D23A56">
        <w:rPr>
          <w:rFonts w:asciiTheme="minorHAnsi" w:hAnsiTheme="minorHAnsi"/>
          <w:i/>
          <w:sz w:val="22"/>
          <w:szCs w:val="22"/>
          <w:rtl w:val="0"/>
          <w:lang w:val="ru"/>
        </w:rPr>
        <w:t xml:space="preserve">У пациентов с сахарным диабетом следует контролировать уровень креатинина и калия в сыворотке крови в течение 1-2 недель после начала терапии АПФ-БРА, с каждым увеличением дозы и не реже одного раза в год (риск гиперкалиемии и ухудшения функции почек). </w:t>
      </w:r>
    </w:p>
    <w:p w:rsidR="0087687F" w:rsidRPr="00D23A56" w:rsidP="0087687F" w14:paraId="5EB227E2" w14:textId="77777777">
      <w:p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87687F" w:rsidRPr="00D23A56" w:rsidP="0087687F" w14:paraId="73B0EB41" w14:textId="77777777">
      <w:p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87687F" w:rsidRPr="00D23A56" w:rsidP="0087687F" w14:paraId="653E1ADE" w14:textId="77777777">
      <w:p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A67324" w:rsidRPr="00D23A56" w:rsidP="00A67324" w14:paraId="1A99930A" w14:textId="77777777">
      <w:pPr>
        <w:bidi w:val="0"/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D23A56">
        <w:rPr>
          <w:rFonts w:asciiTheme="minorHAnsi" w:hAnsiTheme="minorHAnsi"/>
          <w:b/>
          <w:sz w:val="28"/>
          <w:szCs w:val="28"/>
          <w:rtl w:val="0"/>
          <w:lang w:val="ru"/>
        </w:rPr>
        <w:t>G: Критерии мочеполовой системы.</w:t>
      </w:r>
    </w:p>
    <w:p w:rsidR="00A67324" w:rsidRPr="00D23A56" w:rsidP="0087687F" w14:paraId="10AA98B0" w14:textId="77777777">
      <w:pPr>
        <w:jc w:val="both"/>
        <w:rPr>
          <w:rFonts w:asciiTheme="minorHAnsi" w:hAnsiTheme="minorHAnsi"/>
          <w:b/>
          <w:iCs/>
          <w:color w:val="000000" w:themeColor="text1"/>
          <w:sz w:val="22"/>
          <w:szCs w:val="22"/>
        </w:rPr>
      </w:pPr>
    </w:p>
    <w:p w:rsidR="0087687F" w:rsidRPr="00D23A56" w:rsidP="0087687F" w14:paraId="7BB0584C" w14:textId="77777777">
      <w:p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9B6E20" w:rsidRPr="00D23A56" w:rsidP="0087687F" w14:paraId="37385CF0" w14:textId="77777777">
      <w:pPr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87687F" w:rsidRPr="00D23A56" w:rsidP="0087687F" w14:paraId="08522A73" w14:textId="1021B622">
      <w:pPr>
        <w:bidi w:val="0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rtl w:val="0"/>
          <w:lang w:val="ru"/>
        </w:rPr>
        <w:t xml:space="preserve">#G1. Применение альфа1-адреноблокаторов целесообразно у пациентов с умеренно-тяжелыми (по шкале IPSS) симптоматическими СНМП (симптомами нижних мочевых путей), которым не показана простатэктомия.  </w:t>
      </w:r>
    </w:p>
    <w:p w:rsidR="0087687F" w:rsidRPr="00D23A56" w:rsidP="0087687F" w14:paraId="53332749" w14:textId="77777777">
      <w:pPr>
        <w:jc w:val="both"/>
        <w:rPr>
          <w:rFonts w:asciiTheme="minorHAnsi" w:hAnsiTheme="minorHAnsi"/>
          <w:b/>
          <w:sz w:val="22"/>
          <w:szCs w:val="22"/>
        </w:rPr>
      </w:pPr>
    </w:p>
    <w:p w:rsidR="0087687F" w:rsidRPr="00D23A56" w:rsidP="0087687F" w14:paraId="03B16FF8" w14:textId="77777777">
      <w:pPr>
        <w:jc w:val="both"/>
        <w:rPr>
          <w:rFonts w:asciiTheme="minorHAnsi" w:hAnsiTheme="minorHAnsi"/>
          <w:b/>
          <w:sz w:val="22"/>
          <w:szCs w:val="22"/>
        </w:rPr>
      </w:pPr>
    </w:p>
    <w:p w:rsidR="00A67324" w:rsidRPr="00D23A56" w:rsidP="0087687F" w14:paraId="49213331" w14:textId="77777777">
      <w:pPr>
        <w:jc w:val="both"/>
        <w:rPr>
          <w:rFonts w:asciiTheme="minorHAnsi" w:hAnsiTheme="minorHAnsi"/>
          <w:b/>
          <w:sz w:val="22"/>
          <w:szCs w:val="22"/>
        </w:rPr>
      </w:pPr>
    </w:p>
    <w:p w:rsidR="009B6E20" w:rsidRPr="00D23A56" w:rsidP="009B6E20" w14:paraId="19B5BE30" w14:textId="7854F6B6">
      <w:pPr>
        <w:bidi w:val="0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rtl w:val="0"/>
          <w:lang w:val="ru"/>
        </w:rPr>
        <w:t xml:space="preserve">#G2. Пациентам с умеренными и тяжелыми (по шкале IPSS) симптоматическими СНМП (симптомы нижних мочевых путей), которым не показана простатэктомия, если объем простаты &gt;30-40 мл, целесообразно начать терапию ингибитором 5-альфа-редуктазы в дополнение к альфа1-адреноблокаторам. </w:t>
      </w:r>
    </w:p>
    <w:p w:rsidR="009B6E20" w:rsidRPr="00D23A56" w:rsidP="009B6E20" w14:paraId="6C4DF3AD" w14:textId="77777777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87687F" w:rsidRPr="00D23A56" w:rsidP="0087687F" w14:paraId="1D7E15CD" w14:textId="77777777">
      <w:pPr>
        <w:jc w:val="both"/>
        <w:rPr>
          <w:rFonts w:asciiTheme="minorHAnsi" w:hAnsiTheme="minorHAnsi"/>
          <w:b/>
          <w:sz w:val="22"/>
          <w:szCs w:val="22"/>
        </w:rPr>
      </w:pPr>
    </w:p>
    <w:p w:rsidR="00A67324" w:rsidRPr="00D23A56" w:rsidP="0087687F" w14:paraId="09172BF9" w14:textId="77777777">
      <w:pPr>
        <w:jc w:val="both"/>
        <w:rPr>
          <w:rFonts w:asciiTheme="minorHAnsi" w:hAnsiTheme="minorHAnsi"/>
          <w:b/>
          <w:sz w:val="22"/>
          <w:szCs w:val="22"/>
        </w:rPr>
      </w:pPr>
    </w:p>
    <w:p w:rsidR="009B6E20" w:rsidRPr="00D23A56" w:rsidP="009B6E20" w14:paraId="58FEA268" w14:textId="77777777">
      <w:pPr>
        <w:bidi w:val="0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  <w:rtl w:val="0"/>
          <w:lang w:val="ru"/>
        </w:rPr>
        <w:t>G3. При симптоматическом атрофическом вагините после апробации негормональных препаратов уместна местная вагинальная терапия эстрогенами.</w:t>
      </w:r>
    </w:p>
    <w:p w:rsidR="009B6E20" w:rsidRPr="00D23A56" w:rsidP="009B6E20" w14:paraId="3BA95D67" w14:textId="77777777">
      <w:pPr>
        <w:jc w:val="both"/>
        <w:rPr>
          <w:rFonts w:asciiTheme="minorHAnsi" w:hAnsiTheme="minorHAnsi"/>
          <w:b/>
          <w:sz w:val="22"/>
          <w:szCs w:val="22"/>
        </w:rPr>
      </w:pPr>
    </w:p>
    <w:p w:rsidR="009B6E20" w:rsidRPr="00D23A56" w:rsidP="009B6E20" w14:paraId="12C614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user-generated"/>
          <w:rFonts w:asciiTheme="minorHAnsi" w:eastAsiaTheme="majorEastAsia" w:hAnsiTheme="minorHAnsi"/>
          <w:b/>
          <w:color w:val="000000"/>
          <w:sz w:val="22"/>
          <w:szCs w:val="22"/>
        </w:rPr>
      </w:pPr>
    </w:p>
    <w:p w:rsidR="009B6E20" w:rsidRPr="00D23A56" w:rsidP="009B6E20" w14:paraId="541CC7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user-generated"/>
          <w:rFonts w:asciiTheme="minorHAnsi" w:eastAsiaTheme="majorEastAsia" w:hAnsiTheme="minorHAnsi"/>
          <w:b/>
          <w:color w:val="000000"/>
          <w:sz w:val="22"/>
          <w:szCs w:val="22"/>
        </w:rPr>
      </w:pPr>
    </w:p>
    <w:p w:rsidR="009B6E20" w:rsidRPr="00D23A56" w:rsidP="009B6E20" w14:paraId="6F139F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user-generated"/>
          <w:rFonts w:asciiTheme="minorHAnsi" w:eastAsiaTheme="majorEastAsia" w:hAnsiTheme="minorHAnsi"/>
          <w:b/>
          <w:color w:val="000000"/>
          <w:sz w:val="22"/>
          <w:szCs w:val="22"/>
        </w:rPr>
      </w:pPr>
    </w:p>
    <w:p w:rsidR="009B6E20" w:rsidRPr="00D23A56" w:rsidP="009B6E20" w14:paraId="5ED57B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both"/>
        <w:rPr>
          <w:rFonts w:asciiTheme="minorHAnsi" w:eastAsiaTheme="majorEastAsia" w:hAnsiTheme="minorHAnsi"/>
          <w:b/>
          <w:color w:val="000000"/>
          <w:sz w:val="22"/>
          <w:szCs w:val="22"/>
        </w:rPr>
      </w:pPr>
      <w:r w:rsidRPr="00D23A56">
        <w:rPr>
          <w:rFonts w:asciiTheme="minorHAnsi" w:hAnsiTheme="minorHAnsi"/>
          <w:b/>
          <w:sz w:val="28"/>
          <w:szCs w:val="28"/>
          <w:rtl w:val="0"/>
          <w:lang w:val="ru"/>
        </w:rPr>
        <w:t>H: Вакцины.</w:t>
      </w:r>
    </w:p>
    <w:p w:rsidR="009B6E20" w:rsidRPr="00D23A56" w:rsidP="009B6E20" w14:paraId="3EEE65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Theme="majorEastAsia" w:hAnsiTheme="minorHAnsi"/>
          <w:b/>
          <w:color w:val="000000"/>
          <w:sz w:val="22"/>
          <w:szCs w:val="22"/>
        </w:rPr>
      </w:pPr>
    </w:p>
    <w:p w:rsidR="009B6E20" w:rsidRPr="00D23A56" w:rsidP="009B6E20" w14:paraId="5ABB1D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Theme="majorEastAsia" w:hAnsiTheme="minorHAnsi"/>
          <w:b/>
          <w:color w:val="000000"/>
          <w:sz w:val="22"/>
          <w:szCs w:val="22"/>
        </w:rPr>
      </w:pPr>
    </w:p>
    <w:p w:rsidR="009B6E20" w:rsidRPr="00D23A56" w:rsidP="009B6E20" w14:paraId="575F10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Theme="majorEastAsia" w:hAnsiTheme="minorHAnsi"/>
          <w:b/>
          <w:color w:val="000000"/>
          <w:sz w:val="22"/>
          <w:szCs w:val="22"/>
        </w:rPr>
      </w:pPr>
    </w:p>
    <w:p w:rsidR="0087687F" w:rsidRPr="00D23A56" w:rsidP="009B6E20" w14:paraId="74F876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360" w:lineRule="auto"/>
        <w:jc w:val="both"/>
        <w:rPr>
          <w:rFonts w:asciiTheme="minorHAnsi" w:eastAsiaTheme="majorEastAsia" w:hAnsiTheme="minorHAnsi"/>
          <w:b/>
          <w:color w:val="000000"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  <w:rtl w:val="0"/>
          <w:lang w:val="ru"/>
        </w:rPr>
        <w:t xml:space="preserve">H1. Уместна ежегодная вакцинация против гриппа. </w:t>
      </w:r>
    </w:p>
    <w:p w:rsidR="0087687F" w:rsidRPr="00D23A56" w:rsidP="009B6E20" w14:paraId="7ADC7A4A" w14:textId="77777777">
      <w:pPr>
        <w:bidi w:val="0"/>
        <w:spacing w:line="360" w:lineRule="auto"/>
        <w:jc w:val="both"/>
        <w:rPr>
          <w:rFonts w:asciiTheme="minorHAnsi" w:hAnsiTheme="minorHAnsi"/>
          <w:bCs/>
          <w:i/>
          <w:sz w:val="22"/>
          <w:szCs w:val="22"/>
        </w:rPr>
      </w:pPr>
      <w:r w:rsidRPr="00D23A56">
        <w:rPr>
          <w:rFonts w:asciiTheme="minorHAnsi" w:hAnsiTheme="minorHAnsi"/>
          <w:bCs/>
          <w:sz w:val="22"/>
          <w:szCs w:val="22"/>
          <w:rtl w:val="0"/>
          <w:lang w:val="ru"/>
        </w:rPr>
        <w:t>*</w:t>
      </w:r>
      <w:r w:rsidRPr="00D23A56">
        <w:rPr>
          <w:rFonts w:asciiTheme="minorHAnsi" w:hAnsiTheme="minorHAnsi"/>
          <w:bCs/>
          <w:i/>
          <w:sz w:val="22"/>
          <w:szCs w:val="22"/>
          <w:rtl w:val="0"/>
          <w:lang w:val="ru"/>
        </w:rPr>
        <w:t xml:space="preserve"> Трехвалентные высокодозные и четырехвалентные вакцины против гриппа более эффективны и для пожилых людей могут быть предпочтительнее, чем трехвалентные вакцины со стандартными дозами. </w:t>
      </w:r>
    </w:p>
    <w:p w:rsidR="009B6E20" w:rsidRPr="00D23A56" w:rsidP="009B6E20" w14:paraId="774C6662" w14:textId="4AA4903A">
      <w:pPr>
        <w:bidi w:val="0"/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 w:rsidRPr="00D23A56">
        <w:rPr>
          <w:rFonts w:asciiTheme="minorHAnsi" w:hAnsiTheme="minorHAnsi"/>
          <w:bCs/>
          <w:i/>
          <w:sz w:val="22"/>
          <w:szCs w:val="22"/>
          <w:rtl w:val="0"/>
          <w:lang w:val="ru"/>
        </w:rPr>
        <w:t>* Четырехвалентные, трехвалентные</w:t>
      </w:r>
      <w:r w:rsidRPr="00D23A56">
        <w:rPr>
          <w:rFonts w:asciiTheme="minorHAnsi" w:hAnsiTheme="minorHAnsi"/>
          <w:bCs/>
          <w:i/>
          <w:color w:val="000000" w:themeColor="text1"/>
          <w:sz w:val="22"/>
          <w:szCs w:val="22"/>
          <w:rtl w:val="0"/>
          <w:lang w:val="ru"/>
        </w:rPr>
        <w:t xml:space="preserve"> и высокодозные трехвалентные вакцины от гриппа одобрены FDA.</w:t>
      </w:r>
    </w:p>
    <w:p w:rsidR="009B6E20" w:rsidRPr="00D23A56" w:rsidP="009B6E20" w14:paraId="4900C765" w14:textId="77777777">
      <w:pPr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</w:p>
    <w:p w:rsidR="0087687F" w:rsidRPr="00D23A56" w:rsidP="009B6E20" w14:paraId="6C2FB1EE" w14:textId="77777777">
      <w:pPr>
        <w:jc w:val="both"/>
        <w:rPr>
          <w:rFonts w:asciiTheme="minorHAnsi" w:hAnsiTheme="minorHAnsi"/>
          <w:b/>
          <w:sz w:val="22"/>
          <w:szCs w:val="22"/>
        </w:rPr>
      </w:pPr>
    </w:p>
    <w:p w:rsidR="0087687F" w:rsidRPr="00D23A56" w:rsidP="009B6E20" w14:paraId="7CC9D7D1" w14:textId="7846021F">
      <w:pPr>
        <w:bidi w:val="0"/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  <w:rtl w:val="0"/>
          <w:lang w:val="ru"/>
        </w:rPr>
        <w:t xml:space="preserve">H2. Пневмококковая вакцина (одна доза для каждой из 13-валентной конъюгированной и 23-валентной полисахаридной вакцины) применима с 65 лет. </w:t>
      </w:r>
    </w:p>
    <w:p w:rsidR="0087687F" w:rsidRPr="00D23A56" w:rsidP="0087687F" w14:paraId="66695D8A" w14:textId="27A01635">
      <w:pPr>
        <w:bidi w:val="0"/>
        <w:spacing w:line="360" w:lineRule="auto"/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D23A56">
        <w:rPr>
          <w:rFonts w:asciiTheme="minorHAnsi" w:hAnsiTheme="minorHAnsi"/>
          <w:bCs/>
          <w:sz w:val="22"/>
          <w:szCs w:val="22"/>
          <w:rtl w:val="0"/>
          <w:lang w:val="ru"/>
        </w:rPr>
        <w:t xml:space="preserve">i) </w:t>
      </w:r>
      <w:r w:rsidRPr="00D23A56">
        <w:rPr>
          <w:rFonts w:asciiTheme="minorHAnsi" w:hAnsiTheme="minorHAnsi"/>
          <w:bCs/>
          <w:i/>
          <w:sz w:val="22"/>
          <w:szCs w:val="22"/>
          <w:rtl w:val="0"/>
          <w:lang w:val="ru"/>
        </w:rPr>
        <w:t xml:space="preserve"> Людям, которые ранее не вакцинировались против пневмококка, следует в качестве первой дозы вводить 13-валентную конъюгированную вакцину, а затем минимум через 1 год - 23-валентную полисахаридную вакцину. </w:t>
      </w:r>
    </w:p>
    <w:p w:rsidR="0087687F" w:rsidRPr="00D23A56" w:rsidP="0087687F" w14:paraId="733677A2" w14:textId="3E285578">
      <w:pPr>
        <w:bidi w:val="0"/>
        <w:spacing w:line="360" w:lineRule="auto"/>
        <w:ind w:firstLine="708"/>
        <w:jc w:val="both"/>
        <w:rPr>
          <w:rFonts w:asciiTheme="minorHAnsi" w:hAnsiTheme="minorHAnsi"/>
          <w:bCs/>
          <w:i/>
          <w:color w:val="000000"/>
          <w:sz w:val="22"/>
          <w:szCs w:val="22"/>
        </w:rPr>
      </w:pPr>
      <w:r w:rsidRPr="00D23A56">
        <w:rPr>
          <w:rFonts w:asciiTheme="minorHAnsi" w:hAnsiTheme="minorHAnsi"/>
          <w:bCs/>
          <w:sz w:val="22"/>
          <w:szCs w:val="22"/>
          <w:rtl w:val="0"/>
          <w:lang w:val="ru"/>
        </w:rPr>
        <w:t xml:space="preserve">ii) </w:t>
      </w:r>
      <w:r w:rsidRPr="00D23A56">
        <w:rPr>
          <w:rFonts w:asciiTheme="minorHAnsi" w:hAnsiTheme="minorHAnsi"/>
          <w:bCs/>
          <w:i/>
          <w:sz w:val="22"/>
          <w:szCs w:val="22"/>
          <w:rtl w:val="0"/>
          <w:lang w:val="ru"/>
        </w:rPr>
        <w:t>Лица, ранее получившие 23-валентную</w:t>
      </w:r>
      <w:r w:rsidRPr="00D23A56">
        <w:rPr>
          <w:rFonts w:asciiTheme="minorHAnsi" w:hAnsiTheme="minorHAnsi"/>
          <w:bCs/>
          <w:i/>
          <w:color w:val="000000"/>
          <w:sz w:val="22"/>
          <w:szCs w:val="22"/>
          <w:rtl w:val="0"/>
          <w:lang w:val="ru"/>
        </w:rPr>
        <w:t xml:space="preserve"> полисахаридную вакцину, должны через 1 год получить 13-валентную конъюгированную вакцину</w:t>
      </w:r>
      <w:r w:rsidRPr="00D23A56">
        <w:rPr>
          <w:rFonts w:asciiTheme="minorHAnsi" w:hAnsiTheme="minorHAnsi"/>
          <w:bCs/>
          <w:i/>
          <w:sz w:val="22"/>
          <w:szCs w:val="22"/>
          <w:rtl w:val="0"/>
          <w:lang w:val="ru"/>
        </w:rPr>
        <w:t>.</w:t>
      </w:r>
    </w:p>
    <w:p w:rsidR="0087687F" w:rsidRPr="00D23A56" w:rsidP="0087687F" w14:paraId="0B986F66" w14:textId="08912F8B">
      <w:pPr>
        <w:bidi w:val="0"/>
        <w:spacing w:line="360" w:lineRule="auto"/>
        <w:jc w:val="both"/>
        <w:rPr>
          <w:rFonts w:asciiTheme="minorHAnsi" w:hAnsiTheme="minorHAnsi"/>
          <w:bCs/>
          <w:i/>
          <w:sz w:val="22"/>
          <w:szCs w:val="22"/>
        </w:rPr>
      </w:pPr>
      <w:r w:rsidRPr="00D23A56">
        <w:rPr>
          <w:rFonts w:asciiTheme="minorHAnsi" w:hAnsiTheme="minorHAnsi"/>
          <w:bCs/>
          <w:i/>
          <w:sz w:val="22"/>
          <w:szCs w:val="22"/>
          <w:rtl w:val="0"/>
          <w:lang w:val="ru"/>
        </w:rPr>
        <w:t>* Если 23-валентная полисахаридная вакцина была введена в возрасте до 65 лет, то людям старше 65 лет ее следует повторить не менее чем через 5 лет после первой вакцинации.</w:t>
      </w:r>
    </w:p>
    <w:p w:rsidR="0087687F" w:rsidRPr="00D23A56" w:rsidP="0087687F" w14:paraId="71F6651B" w14:textId="6ACD779E">
      <w:pPr>
        <w:bidi w:val="0"/>
        <w:spacing w:line="360" w:lineRule="auto"/>
        <w:jc w:val="both"/>
        <w:rPr>
          <w:rFonts w:asciiTheme="minorHAnsi" w:hAnsiTheme="minorHAnsi"/>
          <w:bCs/>
          <w:i/>
          <w:sz w:val="22"/>
          <w:szCs w:val="22"/>
        </w:rPr>
      </w:pPr>
      <w:r w:rsidRPr="00D23A56">
        <w:rPr>
          <w:rFonts w:asciiTheme="minorHAnsi" w:hAnsiTheme="minorHAnsi"/>
          <w:bCs/>
          <w:i/>
          <w:sz w:val="22"/>
          <w:szCs w:val="22"/>
          <w:rtl w:val="0"/>
          <w:lang w:val="ru"/>
        </w:rPr>
        <w:t xml:space="preserve">* В возрасте старше 65 лет рекомендуется повторять введение 23-валентной полисахаридной вакцины каждые 10 лет. </w:t>
      </w:r>
    </w:p>
    <w:p w:rsidR="0087687F" w:rsidRPr="00D23A56" w:rsidP="0087687F" w14:paraId="1491C0D6" w14:textId="77777777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87687F" w:rsidRPr="00D23A56" w:rsidP="0087687F" w14:paraId="6A018F09" w14:textId="77777777">
      <w:pPr>
        <w:jc w:val="both"/>
        <w:rPr>
          <w:rFonts w:asciiTheme="minorHAnsi" w:hAnsiTheme="minorHAnsi"/>
          <w:i/>
          <w:sz w:val="22"/>
          <w:szCs w:val="22"/>
        </w:rPr>
      </w:pPr>
    </w:p>
    <w:p w:rsidR="0087687F" w:rsidRPr="00D23A56" w:rsidP="0087687F" w14:paraId="58D94CD8" w14:textId="77777777">
      <w:pPr>
        <w:shd w:val="clear" w:color="auto" w:fill="FFFFFF"/>
        <w:bidi w:val="0"/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  <w:rtl w:val="0"/>
          <w:lang w:val="ru"/>
        </w:rPr>
        <w:t xml:space="preserve">H3. Уместна вакцинация против опоясывающего лишая (снижает риск заражения опоясывающим лишаем и возникновения постгерпетической невралгии).  </w:t>
      </w:r>
    </w:p>
    <w:p w:rsidR="00AE7765" w:rsidP="0087687F" w14:paraId="2365EEFC" w14:textId="77777777">
      <w:pPr>
        <w:bidi w:val="0"/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Cs/>
          <w:i/>
          <w:sz w:val="22"/>
          <w:szCs w:val="22"/>
        </w:rPr>
      </w:pPr>
      <w:r w:rsidRPr="00D23A56">
        <w:rPr>
          <w:rFonts w:asciiTheme="minorHAnsi" w:hAnsiTheme="minorHAnsi"/>
          <w:bCs/>
          <w:i/>
          <w:sz w:val="22"/>
          <w:szCs w:val="22"/>
          <w:rtl w:val="0"/>
          <w:lang w:val="ru"/>
        </w:rPr>
        <w:t xml:space="preserve">* Вакцинация также рекомендуется людям, ранее перенесшим опоясывающий лишай или ветряную оспу. </w:t>
      </w:r>
    </w:p>
    <w:p w:rsidR="00AE7765" w:rsidP="00AE7765" w14:paraId="188DFE55" w14:textId="77777777">
      <w:pPr>
        <w:bidi w:val="0"/>
        <w:spacing w:before="100" w:beforeAutospacing="1" w:after="100" w:afterAutospacing="1" w:line="360" w:lineRule="auto"/>
        <w:contextualSpacing/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  <w:rtl w:val="0"/>
          <w:lang w:val="ru"/>
        </w:rPr>
        <w:t>* RZV обеспечивает большую защиту, нежели ZVL.</w:t>
      </w:r>
    </w:p>
    <w:p w:rsidR="00AE7765" w:rsidRPr="00AE7765" w:rsidP="00AE7765" w14:paraId="1A62D2FB" w14:textId="77777777">
      <w:pPr>
        <w:bidi w:val="0"/>
        <w:spacing w:before="100" w:beforeAutospacing="1" w:after="100" w:afterAutospacing="1" w:line="360" w:lineRule="auto"/>
        <w:contextualSpacing/>
        <w:rPr>
          <w:rFonts w:asciiTheme="minorHAnsi" w:hAnsiTheme="minorHAnsi"/>
          <w:bCs/>
          <w:i/>
          <w:color w:val="222222"/>
          <w:sz w:val="22"/>
          <w:szCs w:val="22"/>
          <w:shd w:val="clear" w:color="auto" w:fill="F8F9FA"/>
        </w:rPr>
      </w:pPr>
      <w:r>
        <w:rPr>
          <w:rFonts w:asciiTheme="minorHAnsi" w:hAnsiTheme="minorHAnsi"/>
          <w:bCs/>
          <w:i/>
          <w:sz w:val="22"/>
          <w:szCs w:val="22"/>
          <w:rtl w:val="0"/>
          <w:lang w:val="ru"/>
        </w:rPr>
        <w:t xml:space="preserve">* RZV предпочтительнее ZVL. </w:t>
      </w:r>
    </w:p>
    <w:p w:rsidR="0087687F" w:rsidRPr="00D23A56" w:rsidP="0087687F" w14:paraId="5C44A154" w14:textId="77777777">
      <w:pPr>
        <w:bidi w:val="0"/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Cs/>
          <w:i/>
          <w:color w:val="222222"/>
          <w:sz w:val="22"/>
          <w:szCs w:val="22"/>
          <w:shd w:val="clear" w:color="auto" w:fill="F8F9FA"/>
        </w:rPr>
      </w:pPr>
      <w:r w:rsidRPr="00D23A56">
        <w:rPr>
          <w:rFonts w:asciiTheme="minorHAnsi" w:hAnsiTheme="minorHAnsi"/>
          <w:i/>
          <w:color w:val="222222"/>
          <w:sz w:val="22"/>
          <w:szCs w:val="22"/>
          <w:rtl w:val="0"/>
          <w:lang w:val="ru"/>
        </w:rPr>
        <w:t>* RZV вводят внутримышечно двумя дозами. Вторую дозу следует ввести через 2-6 месяцев после первой. Эту программу следует использовать для всех пациентов, включая ранее перенесших опоясывающий герпес и вакцинированных ZVL.</w:t>
      </w:r>
    </w:p>
    <w:p w:rsidR="0087687F" w:rsidRPr="00D23A56" w:rsidP="0087687F" w14:paraId="4FEDEB8E" w14:textId="77777777">
      <w:pPr>
        <w:shd w:val="clear" w:color="auto" w:fill="FFFFFF"/>
        <w:bidi w:val="0"/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Cs/>
          <w:i/>
          <w:sz w:val="22"/>
          <w:szCs w:val="22"/>
        </w:rPr>
      </w:pPr>
      <w:r w:rsidRPr="00D23A56">
        <w:rPr>
          <w:rFonts w:asciiTheme="minorHAnsi" w:hAnsiTheme="minorHAnsi"/>
          <w:bCs/>
          <w:i/>
          <w:sz w:val="22"/>
          <w:szCs w:val="22"/>
          <w:rtl w:val="0"/>
          <w:lang w:val="ru"/>
        </w:rPr>
        <w:t xml:space="preserve">* В случае инфицирования опоясывающим лишаем вакцинация рекомендуется не ранее чем через 6–12 месяцев. </w:t>
      </w:r>
    </w:p>
    <w:p w:rsidR="0087687F" w:rsidRPr="00D23A56" w:rsidP="0087687F" w14:paraId="757290D5" w14:textId="77777777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inorHAnsi" w:hAnsiTheme="minorHAnsi"/>
          <w:bCs/>
          <w:i/>
          <w:sz w:val="22"/>
          <w:szCs w:val="22"/>
        </w:rPr>
      </w:pPr>
    </w:p>
    <w:p w:rsidR="0087687F" w:rsidRPr="00D23A56" w:rsidP="0087687F" w14:paraId="05865890" w14:textId="7777777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87687F" w:rsidRPr="00D23A56" w:rsidP="0087687F" w14:paraId="0E0030F5" w14:textId="77777777">
      <w:pPr>
        <w:shd w:val="clear" w:color="auto" w:fill="FFFFFF"/>
        <w:bidi w:val="0"/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  <w:rtl w:val="0"/>
          <w:lang w:val="ru"/>
        </w:rPr>
        <w:t>H4. Целесообразно вводить Td (дифтерийно-столбнячный анатоксин) каждые 10 лет.</w:t>
      </w:r>
    </w:p>
    <w:p w:rsidR="0087687F" w:rsidRPr="00D23A56" w:rsidP="009B6E20" w14:paraId="3862D3A9" w14:textId="77777777">
      <w:pPr>
        <w:shd w:val="clear" w:color="auto" w:fill="FFFFFF"/>
        <w:bidi w:val="0"/>
        <w:spacing w:before="100" w:beforeAutospacing="1" w:after="100" w:afterAutospacing="1" w:line="360" w:lineRule="auto"/>
        <w:contextualSpacing/>
        <w:jc w:val="both"/>
        <w:rPr>
          <w:rFonts w:asciiTheme="minorHAnsi" w:hAnsiTheme="minorHAnsi"/>
          <w:bCs/>
          <w:i/>
          <w:sz w:val="22"/>
          <w:szCs w:val="22"/>
        </w:rPr>
      </w:pPr>
      <w:r w:rsidRPr="00D23A56">
        <w:rPr>
          <w:rFonts w:asciiTheme="minorHAnsi" w:hAnsiTheme="minorHAnsi"/>
          <w:bCs/>
          <w:i/>
          <w:sz w:val="22"/>
          <w:szCs w:val="22"/>
          <w:rtl w:val="0"/>
          <w:lang w:val="ru"/>
        </w:rPr>
        <w:t>* Вакцина от коклюша может быть рекомендована пожилым людям (например, бабушкам и дедушкам), которые находятся в тесном контакте с малышами старше 1 года. В этом случае ее можно вводить в виде разовой дозы TdaP.</w:t>
      </w:r>
    </w:p>
    <w:p w:rsidR="0087687F" w:rsidRPr="00D23A56" w:rsidP="009B6E20" w14:paraId="425EDE20" w14:textId="77777777">
      <w:pPr>
        <w:shd w:val="clear" w:color="auto" w:fill="FFFFFF"/>
        <w:spacing w:before="100" w:beforeAutospacing="1" w:after="100" w:afterAutospacing="1"/>
        <w:contextualSpacing/>
        <w:jc w:val="both"/>
        <w:rPr>
          <w:rFonts w:asciiTheme="minorHAnsi" w:hAnsiTheme="minorHAnsi"/>
          <w:bCs/>
          <w:i/>
          <w:sz w:val="22"/>
          <w:szCs w:val="22"/>
        </w:rPr>
      </w:pPr>
    </w:p>
    <w:p w:rsidR="0087687F" w:rsidRPr="00D23A56" w:rsidP="0087687F" w14:paraId="7D4B44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</w:p>
    <w:p w:rsidR="0087687F" w:rsidRPr="00D23A56" w:rsidP="009B6E20" w14:paraId="4B835B79" w14:textId="77777777">
      <w:pPr>
        <w:jc w:val="both"/>
        <w:rPr>
          <w:rFonts w:asciiTheme="minorHAnsi" w:hAnsiTheme="minorHAnsi"/>
          <w:b/>
          <w:sz w:val="22"/>
          <w:szCs w:val="22"/>
        </w:rPr>
      </w:pPr>
    </w:p>
    <w:p w:rsidR="0087687F" w:rsidRPr="00D23A56" w:rsidP="008874FC" w14:paraId="095904CE" w14:textId="6E89A571">
      <w:pPr>
        <w:bidi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rtl w:val="0"/>
          <w:lang w:val="ru"/>
        </w:rPr>
        <w:t xml:space="preserve">#H5. Отправляющимся в хадж (паломничество) целесообразно ввести менингококковую вакцину. </w:t>
      </w:r>
    </w:p>
    <w:p w:rsidR="0087687F" w:rsidRPr="00D23A56" w:rsidP="008874FC" w14:paraId="371A1021" w14:textId="77777777">
      <w:pPr>
        <w:bidi w:val="0"/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D23A56">
        <w:rPr>
          <w:rFonts w:asciiTheme="minorHAnsi" w:hAnsiTheme="minorHAnsi"/>
          <w:i/>
          <w:sz w:val="22"/>
          <w:szCs w:val="22"/>
          <w:rtl w:val="0"/>
          <w:lang w:val="ru"/>
        </w:rPr>
        <w:t xml:space="preserve">* Рекомендуется сделать это минимум за 10 дней до хаджа. </w:t>
      </w:r>
    </w:p>
    <w:p w:rsidR="0087687F" w:rsidRPr="00D23A56" w:rsidP="0087687F" w14:paraId="7DE98BCA" w14:textId="77777777">
      <w:pPr>
        <w:bidi w:val="0"/>
        <w:spacing w:line="360" w:lineRule="auto"/>
        <w:jc w:val="both"/>
        <w:rPr>
          <w:rFonts w:asciiTheme="minorHAnsi" w:hAnsiTheme="minorHAnsi"/>
          <w:i/>
          <w:sz w:val="22"/>
          <w:szCs w:val="22"/>
          <w:vertAlign w:val="superscript"/>
        </w:rPr>
      </w:pPr>
      <w:r w:rsidRPr="00D23A56">
        <w:rPr>
          <w:rFonts w:asciiTheme="minorHAnsi" w:hAnsiTheme="minorHAnsi"/>
          <w:i/>
          <w:sz w:val="22"/>
          <w:szCs w:val="22"/>
          <w:rtl w:val="0"/>
          <w:lang w:val="ru"/>
        </w:rPr>
        <w:t xml:space="preserve">* Если путешествие будет совершаться повторно через 5 лет, дозу следует повторить. </w:t>
      </w:r>
    </w:p>
    <w:p w:rsidR="0087687F" w:rsidRPr="00D23A56" w:rsidP="0087687F" w14:paraId="03A4C15E" w14:textId="77777777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87687F" w:rsidRPr="00D23A56" w:rsidP="0087687F" w14:paraId="35ACFA5E" w14:textId="77777777">
      <w:pPr>
        <w:jc w:val="both"/>
        <w:rPr>
          <w:rFonts w:asciiTheme="minorHAnsi" w:hAnsiTheme="minorHAnsi"/>
          <w:b/>
          <w:i/>
          <w:color w:val="5B9BD5" w:themeColor="accent5"/>
          <w:sz w:val="22"/>
          <w:szCs w:val="22"/>
          <w:u w:val="single"/>
        </w:rPr>
      </w:pPr>
    </w:p>
    <w:p w:rsidR="0087687F" w:rsidRPr="00D23A56" w:rsidP="0087687F" w14:paraId="480DBEC4" w14:textId="77777777">
      <w:pPr>
        <w:jc w:val="both"/>
        <w:rPr>
          <w:rFonts w:asciiTheme="minorHAnsi" w:hAnsiTheme="minorHAnsi"/>
          <w:b/>
          <w:iCs/>
          <w:color w:val="000000" w:themeColor="text1"/>
          <w:sz w:val="22"/>
          <w:szCs w:val="22"/>
        </w:rPr>
      </w:pPr>
    </w:p>
    <w:p w:rsidR="000A315F" w:rsidRPr="00D23A56" w:rsidP="0087687F" w14:paraId="525C3E24" w14:textId="77777777">
      <w:pPr>
        <w:jc w:val="both"/>
        <w:rPr>
          <w:rFonts w:asciiTheme="minorHAnsi" w:hAnsiTheme="minorHAnsi"/>
          <w:b/>
          <w:iCs/>
          <w:color w:val="000000" w:themeColor="text1"/>
          <w:sz w:val="22"/>
          <w:szCs w:val="22"/>
        </w:rPr>
      </w:pPr>
    </w:p>
    <w:p w:rsidR="000A315F" w:rsidRPr="00D23A56" w:rsidP="000A315F" w14:paraId="37C8DC38" w14:textId="77777777">
      <w:pPr>
        <w:bidi w:val="0"/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D23A56">
        <w:rPr>
          <w:rFonts w:asciiTheme="minorHAnsi" w:hAnsiTheme="minorHAnsi"/>
          <w:b/>
          <w:sz w:val="28"/>
          <w:szCs w:val="28"/>
          <w:rtl w:val="0"/>
          <w:lang w:val="ru"/>
        </w:rPr>
        <w:t>I: Дополнения.</w:t>
      </w:r>
    </w:p>
    <w:p w:rsidR="0087687F" w:rsidRPr="00D23A56" w:rsidP="0087687F" w14:paraId="2FB534D3" w14:textId="77777777">
      <w:pPr>
        <w:jc w:val="both"/>
        <w:rPr>
          <w:rFonts w:asciiTheme="minorHAnsi" w:hAnsiTheme="minorHAnsi"/>
          <w:b/>
          <w:i/>
          <w:color w:val="5B9BD5" w:themeColor="accent5"/>
          <w:sz w:val="22"/>
          <w:szCs w:val="22"/>
          <w:u w:val="single"/>
        </w:rPr>
      </w:pPr>
    </w:p>
    <w:p w:rsidR="000A315F" w:rsidRPr="00D23A56" w:rsidP="0087687F" w14:paraId="55B84C61" w14:textId="77777777">
      <w:pPr>
        <w:jc w:val="both"/>
        <w:rPr>
          <w:rFonts w:asciiTheme="minorHAnsi" w:hAnsiTheme="minorHAnsi"/>
          <w:b/>
          <w:i/>
          <w:color w:val="5B9BD5" w:themeColor="accent5"/>
          <w:sz w:val="22"/>
          <w:szCs w:val="22"/>
          <w:u w:val="single"/>
        </w:rPr>
      </w:pPr>
    </w:p>
    <w:p w:rsidR="008874FC" w:rsidRPr="00D23A56" w:rsidP="0087687F" w14:paraId="1A571B41" w14:textId="77777777">
      <w:pPr>
        <w:jc w:val="both"/>
        <w:rPr>
          <w:rFonts w:asciiTheme="minorHAnsi" w:hAnsiTheme="minorHAnsi"/>
          <w:b/>
          <w:i/>
          <w:color w:val="5B9BD5" w:themeColor="accent5"/>
          <w:sz w:val="22"/>
          <w:szCs w:val="22"/>
          <w:u w:val="single"/>
        </w:rPr>
      </w:pPr>
    </w:p>
    <w:p w:rsidR="0087687F" w:rsidRPr="00D23A56" w:rsidP="0087687F" w14:paraId="1ABD4350" w14:textId="77777777">
      <w:pPr>
        <w:autoSpaceDE w:val="0"/>
        <w:autoSpaceDN w:val="0"/>
        <w:bidi w:val="0"/>
        <w:adjustRightInd w:val="0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D23A56">
        <w:rPr>
          <w:rFonts w:asciiTheme="minorHAnsi" w:hAnsiTheme="minorHAnsi"/>
          <w:b/>
          <w:sz w:val="22"/>
          <w:szCs w:val="22"/>
          <w:rtl w:val="0"/>
          <w:lang w:val="ru"/>
        </w:rPr>
        <w:t xml:space="preserve">I1. Пожилым людям с недоеданием (MN) или риском недоедания (MNR) целесообразно назначение пероральных пищевых добавок (ONS), если для достижения целей в области питания недостаточно консультаций и увеличения рациона. </w:t>
      </w:r>
    </w:p>
    <w:p w:rsidR="0087687F" w:rsidRPr="00D23A56" w:rsidP="0087687F" w14:paraId="69CC1E77" w14:textId="77777777">
      <w:pPr>
        <w:autoSpaceDE w:val="0"/>
        <w:autoSpaceDN w:val="0"/>
        <w:bidi w:val="0"/>
        <w:adjustRightInd w:val="0"/>
        <w:spacing w:line="360" w:lineRule="auto"/>
        <w:jc w:val="both"/>
        <w:rPr>
          <w:rFonts w:asciiTheme="minorHAnsi" w:hAnsiTheme="minorHAnsi"/>
          <w:bCs/>
          <w:i/>
          <w:sz w:val="22"/>
          <w:szCs w:val="22"/>
          <w:vertAlign w:val="superscript"/>
        </w:rPr>
      </w:pPr>
      <w:r w:rsidRPr="00D23A56">
        <w:rPr>
          <w:rFonts w:asciiTheme="minorHAnsi" w:hAnsiTheme="minorHAnsi"/>
          <w:bCs/>
          <w:i/>
          <w:sz w:val="22"/>
          <w:szCs w:val="22"/>
          <w:rtl w:val="0"/>
          <w:lang w:val="ru"/>
        </w:rPr>
        <w:t xml:space="preserve">* Есть еще больше показаний к началу приема ONS пожилыми людьми с хроническими заболеваниями. </w:t>
      </w:r>
    </w:p>
    <w:p w:rsidR="0087687F" w:rsidRPr="00D23A56" w:rsidP="0087687F" w14:paraId="56B9A33B" w14:textId="77777777">
      <w:pPr>
        <w:autoSpaceDE w:val="0"/>
        <w:autoSpaceDN w:val="0"/>
        <w:bidi w:val="0"/>
        <w:adjustRightInd w:val="0"/>
        <w:spacing w:line="360" w:lineRule="auto"/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 w:rsidRPr="00D23A56">
        <w:rPr>
          <w:rFonts w:asciiTheme="minorHAnsi" w:hAnsiTheme="minorHAnsi"/>
          <w:bCs/>
          <w:i/>
          <w:color w:val="000000" w:themeColor="text1"/>
          <w:sz w:val="22"/>
          <w:szCs w:val="22"/>
          <w:rtl w:val="0"/>
          <w:lang w:val="ru"/>
        </w:rPr>
        <w:t xml:space="preserve">* Рекомендуется, чтобы ONS содержали не менее 400 ккал энергии и 30 г белка в день, и их прием продолжался не менее 1 месяца. </w:t>
      </w:r>
    </w:p>
    <w:p w:rsidR="0087687F" w:rsidRPr="00D23A56" w:rsidP="0087687F" w14:paraId="2AB7ECC5" w14:textId="77777777">
      <w:pPr>
        <w:autoSpaceDE w:val="0"/>
        <w:autoSpaceDN w:val="0"/>
        <w:bidi w:val="0"/>
        <w:adjustRightInd w:val="0"/>
        <w:spacing w:line="360" w:lineRule="auto"/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</w:pPr>
      <w:r w:rsidRPr="00D23A56">
        <w:rPr>
          <w:rFonts w:asciiTheme="minorHAnsi" w:hAnsiTheme="minorHAnsi"/>
          <w:bCs/>
          <w:i/>
          <w:color w:val="000000" w:themeColor="text1"/>
          <w:sz w:val="22"/>
          <w:szCs w:val="22"/>
          <w:rtl w:val="0"/>
          <w:lang w:val="ru"/>
        </w:rPr>
        <w:t>* Уместно оценивать случаи, предоставляемые ONS, один раз в месяц.</w:t>
      </w:r>
    </w:p>
    <w:p w:rsidR="0087687F" w:rsidRPr="00D23A56" w:rsidP="0087687F" w14:paraId="6D030F57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line="360" w:lineRule="auto"/>
        <w:jc w:val="both"/>
        <w:rPr>
          <w:rFonts w:asciiTheme="minorHAnsi" w:hAnsiTheme="minorHAnsi"/>
          <w:bCs/>
          <w:i/>
          <w:color w:val="000000"/>
          <w:sz w:val="22"/>
          <w:szCs w:val="22"/>
        </w:rPr>
      </w:pPr>
      <w:r w:rsidRPr="00D23A56">
        <w:rPr>
          <w:rFonts w:asciiTheme="minorHAnsi" w:hAnsiTheme="minorHAnsi"/>
          <w:bCs/>
          <w:i/>
          <w:color w:val="000000"/>
          <w:sz w:val="22"/>
          <w:szCs w:val="22"/>
          <w:rtl w:val="0"/>
          <w:lang w:val="ru"/>
        </w:rPr>
        <w:t>* С точки зрения лечения рекомендуемое количество потребляемой энергии для пожилых людей составляет 30 ккал/кг/день.</w:t>
      </w:r>
    </w:p>
    <w:p w:rsidR="0087687F" w:rsidRPr="00D23A56" w:rsidP="0087687F" w14:paraId="29706B47" w14:textId="77777777">
      <w:pPr>
        <w:pStyle w:val="HTMLPreformatted"/>
        <w:shd w:val="clear" w:color="auto" w:fill="FFFFFF"/>
        <w:bidi w:val="0"/>
        <w:spacing w:line="360" w:lineRule="auto"/>
        <w:jc w:val="both"/>
        <w:rPr>
          <w:rFonts w:asciiTheme="minorHAnsi" w:hAnsiTheme="minorHAnsi" w:cs="Times New Roman"/>
          <w:bCs/>
          <w:i/>
          <w:color w:val="000000"/>
          <w:sz w:val="22"/>
          <w:szCs w:val="22"/>
        </w:rPr>
      </w:pPr>
      <w:r w:rsidRPr="00D23A56">
        <w:rPr>
          <w:rFonts w:asciiTheme="minorHAnsi" w:hAnsiTheme="minorHAnsi" w:cs="Times New Roman"/>
          <w:bCs/>
          <w:i/>
          <w:color w:val="000000"/>
          <w:sz w:val="22"/>
          <w:szCs w:val="22"/>
          <w:rtl w:val="0"/>
          <w:lang w:val="ru"/>
        </w:rPr>
        <w:t>* Здоровым пожилым людям рекомендуется потребление белка в количестве 1,0-1,2 г/кг/ день.</w:t>
      </w:r>
    </w:p>
    <w:p w:rsidR="0087687F" w:rsidRPr="00D23A56" w:rsidP="0087687F" w14:paraId="58D04135" w14:textId="77777777">
      <w:pPr>
        <w:pStyle w:val="HTMLPreformatted"/>
        <w:shd w:val="clear" w:color="auto" w:fill="FFFFFF"/>
        <w:bidi w:val="0"/>
        <w:spacing w:line="360" w:lineRule="auto"/>
        <w:jc w:val="both"/>
        <w:rPr>
          <w:rFonts w:asciiTheme="minorHAnsi" w:hAnsiTheme="minorHAnsi" w:cs="Times New Roman"/>
          <w:bCs/>
          <w:i/>
          <w:color w:val="000000"/>
          <w:sz w:val="22"/>
          <w:szCs w:val="22"/>
        </w:rPr>
      </w:pPr>
      <w:r w:rsidRPr="00D23A56">
        <w:rPr>
          <w:rFonts w:asciiTheme="minorHAnsi" w:hAnsiTheme="minorHAnsi" w:cs="Times New Roman"/>
          <w:bCs/>
          <w:i/>
          <w:color w:val="000000"/>
          <w:sz w:val="22"/>
          <w:szCs w:val="22"/>
          <w:rtl w:val="0"/>
          <w:lang w:val="ru"/>
        </w:rPr>
        <w:t>* Пожилым людям с острыми или хроническими заболеваниями рекомендуется потребление белка в количестве 1,2-1,5 г/кг/день.</w:t>
      </w:r>
    </w:p>
    <w:p w:rsidR="0087687F" w:rsidRPr="00D23A56" w:rsidP="0087687F" w14:paraId="486273DB" w14:textId="77777777">
      <w:pPr>
        <w:pStyle w:val="HTMLPreformatted"/>
        <w:shd w:val="clear" w:color="auto" w:fill="FFFFFF"/>
        <w:bidi w:val="0"/>
        <w:spacing w:line="360" w:lineRule="auto"/>
        <w:jc w:val="both"/>
        <w:rPr>
          <w:rFonts w:asciiTheme="minorHAnsi" w:hAnsiTheme="minorHAnsi" w:cs="Times New Roman"/>
          <w:bCs/>
          <w:i/>
          <w:color w:val="000000"/>
          <w:sz w:val="22"/>
          <w:szCs w:val="22"/>
        </w:rPr>
      </w:pPr>
      <w:r w:rsidRPr="00D23A56">
        <w:rPr>
          <w:rFonts w:asciiTheme="minorHAnsi" w:hAnsiTheme="minorHAnsi" w:cs="Times New Roman"/>
          <w:bCs/>
          <w:i/>
          <w:color w:val="000000"/>
          <w:sz w:val="22"/>
          <w:szCs w:val="22"/>
          <w:rtl w:val="0"/>
          <w:lang w:val="ru"/>
        </w:rPr>
        <w:t xml:space="preserve">* Пожилым людям с серьезными заболеваниями, травмами или недоеданием может потребоваться увеличение потребления белка с 1,5 г/кг/день до 2,0 г/кг/день. </w:t>
      </w:r>
    </w:p>
    <w:p w:rsidR="0087687F" w:rsidRPr="00D23A56" w:rsidP="0087687F" w14:paraId="04037E17" w14:textId="77777777">
      <w:pPr>
        <w:pStyle w:val="HTMLPreformatted"/>
        <w:shd w:val="clear" w:color="auto" w:fill="FFFFFF"/>
        <w:jc w:val="both"/>
        <w:rPr>
          <w:rFonts w:asciiTheme="minorHAnsi" w:hAnsiTheme="minorHAnsi" w:cs="Times New Roman"/>
          <w:b/>
          <w:i/>
          <w:color w:val="000000"/>
          <w:sz w:val="22"/>
          <w:szCs w:val="22"/>
        </w:rPr>
      </w:pPr>
    </w:p>
    <w:p w:rsidR="0087687F" w:rsidRPr="00D23A56" w:rsidP="0087687F" w14:paraId="54CDCF08" w14:textId="77777777">
      <w:pPr>
        <w:pStyle w:val="HTMLPreformatted"/>
        <w:shd w:val="clear" w:color="auto" w:fill="FFFFFF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87687F" w:rsidRPr="00D23A56" w:rsidP="0087687F" w14:paraId="768C5AA4" w14:textId="77777777">
      <w:pPr>
        <w:pStyle w:val="HTMLPreformatted"/>
        <w:shd w:val="clear" w:color="auto" w:fill="FFFFFF"/>
        <w:bidi w:val="0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 w:rsidRPr="00D23A56">
        <w:rPr>
          <w:rFonts w:asciiTheme="minorHAnsi" w:hAnsiTheme="minorHAnsi" w:cs="Times New Roman"/>
          <w:b/>
          <w:sz w:val="22"/>
          <w:szCs w:val="22"/>
          <w:rtl w:val="0"/>
          <w:lang w:val="ru"/>
        </w:rPr>
        <w:t>I2. Назначение пероральных пищевых добавок (ONS) целесообразно госпитализированным пожилым пациентам с MN или MNR (увеличивает потребление пищи и массу тела, снижает риск осложнений и повторных госпитализаций)</w:t>
      </w:r>
    </w:p>
    <w:p w:rsidR="0087687F" w:rsidRPr="00D23A56" w:rsidP="0087687F" w14:paraId="017E45A2" w14:textId="77777777">
      <w:pPr>
        <w:pStyle w:val="HTMLPreformatted"/>
        <w:shd w:val="clear" w:color="auto" w:fill="FFFFFF"/>
        <w:bidi w:val="0"/>
        <w:spacing w:line="360" w:lineRule="auto"/>
        <w:jc w:val="both"/>
        <w:rPr>
          <w:rFonts w:asciiTheme="minorHAnsi" w:hAnsiTheme="minorHAnsi" w:cs="Times New Roman"/>
          <w:b/>
          <w:i/>
          <w:sz w:val="22"/>
          <w:szCs w:val="22"/>
        </w:rPr>
      </w:pPr>
      <w:r w:rsidRPr="00D23A56">
        <w:rPr>
          <w:rFonts w:asciiTheme="minorHAnsi" w:hAnsiTheme="minorHAnsi" w:cs="Times New Roman"/>
          <w:bCs/>
          <w:i/>
          <w:iCs/>
          <w:sz w:val="22"/>
          <w:szCs w:val="22"/>
          <w:rtl w:val="0"/>
          <w:lang w:val="ru"/>
        </w:rPr>
        <w:t xml:space="preserve">* У пожилых людей с экстренной госпитализацией спонтанное пероральное потребление энергии обычно низкое и не удовлетворяет необходимые потребности. </w:t>
        <w:br/>
        <w:t>* После выписки из больницы в большинстве случаев целесообразно продолжить использование ONS.</w:t>
      </w:r>
    </w:p>
    <w:p w:rsidR="0087687F" w:rsidRPr="00D23A56" w:rsidP="0087687F" w14:paraId="64421BA9" w14:textId="77777777">
      <w:pPr>
        <w:pStyle w:val="HTMLPreformatted"/>
        <w:shd w:val="clear" w:color="auto" w:fill="FFFFFF"/>
        <w:jc w:val="both"/>
        <w:rPr>
          <w:rFonts w:asciiTheme="minorHAnsi" w:hAnsiTheme="minorHAnsi" w:cs="Times New Roman"/>
          <w:b/>
          <w:i/>
          <w:sz w:val="22"/>
          <w:szCs w:val="22"/>
        </w:rPr>
      </w:pPr>
    </w:p>
    <w:p w:rsidR="004613B7" w:rsidP="0087687F" w14:paraId="6109F160" w14:textId="77777777">
      <w:pPr>
        <w:spacing w:line="360" w:lineRule="auto"/>
        <w:contextualSpacing/>
        <w:jc w:val="both"/>
        <w:rPr>
          <w:rFonts w:asciiTheme="minorHAnsi" w:hAnsiTheme="minorHAnsi"/>
          <w:b/>
          <w:color w:val="212121"/>
          <w:sz w:val="22"/>
          <w:szCs w:val="22"/>
          <w:shd w:val="clear" w:color="auto" w:fill="FFFFFF"/>
        </w:rPr>
      </w:pPr>
    </w:p>
    <w:p w:rsidR="0087687F" w:rsidRPr="00D23A56" w:rsidP="0087687F" w14:paraId="7B412CA7" w14:textId="5632418F">
      <w:pPr>
        <w:bidi w:val="0"/>
        <w:spacing w:line="360" w:lineRule="auto"/>
        <w:contextualSpacing/>
        <w:jc w:val="both"/>
        <w:rPr>
          <w:rFonts w:asciiTheme="minorHAnsi" w:hAnsiTheme="minorHAnsi"/>
          <w:b/>
          <w:i/>
          <w:color w:val="000000" w:themeColor="text1"/>
          <w:sz w:val="22"/>
          <w:szCs w:val="22"/>
          <w:vertAlign w:val="superscript"/>
        </w:rPr>
      </w:pPr>
      <w:r w:rsidRPr="00D23A56">
        <w:rPr>
          <w:rFonts w:asciiTheme="minorHAnsi" w:hAnsiTheme="minorHAnsi"/>
          <w:b/>
          <w:color w:val="212121"/>
          <w:sz w:val="22"/>
          <w:szCs w:val="22"/>
          <w:shd w:val="clear" w:color="auto" w:fill="FFFFFF"/>
          <w:rtl w:val="0"/>
          <w:lang w:val="ru"/>
        </w:rPr>
        <w:t xml:space="preserve">I3. Пожилым пациентам с переломом шейки бедра (независимо от нутритивного статуса) целесообразно начинать прием ONS в послеоперационном периоде </w:t>
      </w:r>
      <w:r w:rsidRPr="00D23A56">
        <w:rPr>
          <w:rFonts w:asciiTheme="minorHAnsi" w:hAnsiTheme="minorHAnsi"/>
          <w:b/>
          <w:sz w:val="22"/>
          <w:szCs w:val="22"/>
          <w:rtl w:val="0"/>
          <w:lang w:val="ru"/>
        </w:rPr>
        <w:t>(</w:t>
      </w:r>
      <w:r w:rsidRPr="00D23A56">
        <w:rPr>
          <w:rFonts w:asciiTheme="minorHAnsi" w:hAnsiTheme="minorHAnsi"/>
          <w:b/>
          <w:color w:val="212121"/>
          <w:sz w:val="22"/>
          <w:szCs w:val="22"/>
          <w:shd w:val="clear" w:color="auto" w:fill="FFFFFF"/>
          <w:rtl w:val="0"/>
          <w:lang w:val="ru"/>
        </w:rPr>
        <w:t xml:space="preserve">улучшает потребление пищи и снижает риск осложнений). </w:t>
      </w:r>
    </w:p>
    <w:p w:rsidR="0087687F" w:rsidRPr="00D23A56" w:rsidP="0087687F" w14:paraId="0E5B09FE" w14:textId="77777777">
      <w:pPr>
        <w:bidi w:val="0"/>
        <w:spacing w:line="360" w:lineRule="auto"/>
        <w:contextualSpacing/>
        <w:jc w:val="both"/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</w:rPr>
      </w:pPr>
      <w:r w:rsidRPr="00D23A56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  <w:rtl w:val="0"/>
          <w:lang w:val="ru"/>
        </w:rPr>
        <w:t xml:space="preserve">* Нет никаких конкретных рекомендаций по ONS (стандартным или с высоким содержанием белка). </w:t>
      </w:r>
    </w:p>
    <w:p w:rsidR="0087687F" w:rsidRPr="00D23A56" w:rsidP="0087687F" w14:paraId="559B0A8C" w14:textId="77777777">
      <w:pPr>
        <w:bidi w:val="0"/>
        <w:spacing w:line="360" w:lineRule="auto"/>
        <w:contextualSpacing/>
        <w:jc w:val="both"/>
        <w:rPr>
          <w:rFonts w:asciiTheme="minorHAnsi" w:hAnsiTheme="minorHAnsi"/>
          <w:bCs/>
          <w:i/>
          <w:color w:val="4472C4" w:themeColor="accent1"/>
          <w:sz w:val="22"/>
          <w:szCs w:val="22"/>
          <w:shd w:val="clear" w:color="auto" w:fill="FFFFFF"/>
        </w:rPr>
      </w:pPr>
      <w:r w:rsidRPr="00D23A56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  <w:rtl w:val="0"/>
          <w:lang w:val="ru"/>
        </w:rPr>
        <w:t xml:space="preserve">* Может быть целесообразным назначение ONS минимум на 1 месяц. В исследованиях ONS применяли через 1-6 месяцев </w:t>
      </w:r>
      <w:r w:rsidRPr="00D23A56">
        <w:rPr>
          <w:rFonts w:asciiTheme="minorHAnsi" w:hAnsiTheme="minorHAnsi"/>
          <w:bCs/>
          <w:i/>
          <w:color w:val="000000" w:themeColor="text1"/>
          <w:sz w:val="22"/>
          <w:szCs w:val="22"/>
          <w:rtl w:val="0"/>
          <w:lang w:val="ru"/>
        </w:rPr>
        <w:t>после перелома шейки бедра</w:t>
      </w:r>
      <w:r w:rsidRPr="00D23A56">
        <w:rPr>
          <w:rFonts w:asciiTheme="minorHAnsi" w:hAnsiTheme="minorHAnsi"/>
          <w:bCs/>
          <w:i/>
          <w:color w:val="212121"/>
          <w:sz w:val="22"/>
          <w:szCs w:val="22"/>
          <w:shd w:val="clear" w:color="auto" w:fill="FFFFFF"/>
          <w:rtl w:val="0"/>
          <w:lang w:val="ru"/>
        </w:rPr>
        <w:t xml:space="preserve">. </w:t>
      </w:r>
    </w:p>
    <w:p w:rsidR="000A315F" w:rsidRPr="004613B7" w:rsidP="004613B7" w14:paraId="7B7FE44D" w14:textId="557DD554">
      <w:pPr>
        <w:bidi w:val="0"/>
        <w:spacing w:line="360" w:lineRule="auto"/>
        <w:contextualSpacing/>
        <w:jc w:val="both"/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</w:rPr>
      </w:pPr>
      <w:r w:rsidRPr="00D23A56">
        <w:rPr>
          <w:rFonts w:asciiTheme="minorHAnsi" w:hAnsiTheme="minorHAnsi"/>
          <w:bCs/>
          <w:i/>
          <w:color w:val="000000" w:themeColor="text1"/>
          <w:sz w:val="22"/>
          <w:szCs w:val="22"/>
          <w:shd w:val="clear" w:color="auto" w:fill="FFFFFF"/>
          <w:rtl w:val="0"/>
          <w:lang w:val="ru"/>
        </w:rPr>
        <w:t xml:space="preserve">* Также можно рассмотреть начало применения в предоперационный период. </w:t>
      </w:r>
    </w:p>
    <w:p w:rsidR="000A315F" w:rsidRPr="00D23A56" w:rsidP="0087687F" w14:paraId="74665482" w14:textId="77777777">
      <w:pPr>
        <w:pStyle w:val="HTMLPreformatted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87687F" w:rsidRPr="00D23A56" w:rsidP="000A315F" w14:paraId="14C4E6DB" w14:textId="77777777">
      <w:pPr>
        <w:pStyle w:val="HTMLPreformatted"/>
        <w:bidi w:val="0"/>
        <w:spacing w:line="360" w:lineRule="auto"/>
        <w:rPr>
          <w:rFonts w:asciiTheme="minorHAnsi" w:hAnsiTheme="minorHAnsi" w:cs="Times New Roman"/>
          <w:b/>
          <w:sz w:val="22"/>
          <w:szCs w:val="22"/>
        </w:rPr>
      </w:pPr>
      <w:r w:rsidRPr="00D23A56">
        <w:rPr>
          <w:rFonts w:asciiTheme="minorHAnsi" w:hAnsiTheme="minorHAnsi" w:cs="Times New Roman"/>
          <w:b/>
          <w:sz w:val="22"/>
          <w:szCs w:val="22"/>
          <w:rtl w:val="0"/>
          <w:lang w:val="ru"/>
        </w:rPr>
        <w:t xml:space="preserve">I4. Чтобы обеспечить адекватное потребление белка и энергии пациентами с пролежнями, целесообразно начинать ONS с целевой дозы белка 1,2-2 г/кг/день и энергии 30-35 ккал/кг/день. </w:t>
      </w:r>
    </w:p>
    <w:p w:rsidR="0087687F" w:rsidRPr="00D23A56" w:rsidP="00C414DB" w14:paraId="60D91B20" w14:textId="77777777">
      <w:pPr>
        <w:bidi w:val="0"/>
        <w:spacing w:line="360" w:lineRule="auto"/>
        <w:contextualSpacing/>
        <w:jc w:val="both"/>
        <w:mirrorIndents/>
        <w:rPr>
          <w:rFonts w:asciiTheme="minorHAnsi" w:hAnsiTheme="minorHAnsi"/>
          <w:bCs/>
          <w:i/>
          <w:sz w:val="22"/>
          <w:szCs w:val="22"/>
        </w:rPr>
      </w:pPr>
      <w:r w:rsidRPr="00D23A56">
        <w:rPr>
          <w:rFonts w:asciiTheme="minorHAnsi" w:hAnsiTheme="minorHAnsi"/>
          <w:bCs/>
          <w:sz w:val="22"/>
          <w:szCs w:val="22"/>
          <w:rtl w:val="0"/>
          <w:lang w:val="ru"/>
        </w:rPr>
        <w:t>*</w:t>
      </w:r>
      <w:r w:rsidRPr="00D23A56">
        <w:rPr>
          <w:rFonts w:asciiTheme="minorHAnsi" w:hAnsiTheme="minorHAnsi"/>
          <w:bCs/>
          <w:i/>
          <w:sz w:val="22"/>
          <w:szCs w:val="22"/>
          <w:rtl w:val="0"/>
          <w:lang w:val="ru"/>
        </w:rPr>
        <w:t xml:space="preserve"> Истощенным пациентам с пролежнями может быть более полезным прием ONS с высоким содержанием белка и энергии, обогащенных аргинином, цинком и антиоксидантами.</w:t>
      </w:r>
    </w:p>
    <w:p w:rsidR="0087687F" w:rsidRPr="00D23A56" w:rsidP="00C414DB" w14:paraId="03F283FA" w14:textId="77777777">
      <w:pPr>
        <w:pStyle w:val="HTMLPreformatted"/>
        <w:bidi w:val="0"/>
        <w:spacing w:line="360" w:lineRule="auto"/>
        <w:contextualSpacing/>
        <w:jc w:val="both"/>
        <w:mirrorIndents/>
        <w:rPr>
          <w:rFonts w:asciiTheme="minorHAnsi" w:hAnsiTheme="minorHAnsi" w:cs="Times New Roman"/>
          <w:bCs/>
          <w:i/>
          <w:color w:val="000000"/>
          <w:sz w:val="22"/>
          <w:szCs w:val="22"/>
        </w:rPr>
      </w:pPr>
      <w:r w:rsidRPr="00D23A56">
        <w:rPr>
          <w:rFonts w:asciiTheme="minorHAnsi" w:hAnsiTheme="minorHAnsi" w:cs="Times New Roman"/>
          <w:bCs/>
          <w:i/>
          <w:color w:val="000000"/>
          <w:sz w:val="22"/>
          <w:szCs w:val="22"/>
          <w:rtl w:val="0"/>
          <w:lang w:val="ru"/>
        </w:rPr>
        <w:t>* Добавление аргинина, глутамина и HMB в продукты питания может иметь положительные результаты у пациентов с пролежнями.</w:t>
      </w:r>
    </w:p>
    <w:p w:rsidR="0087687F" w:rsidRPr="00D23A56" w:rsidP="0087687F" w14:paraId="09BDD023" w14:textId="77777777">
      <w:pPr>
        <w:pStyle w:val="HTMLPreformatted"/>
        <w:jc w:val="both"/>
        <w:rPr>
          <w:rFonts w:asciiTheme="minorHAnsi" w:hAnsiTheme="minorHAnsi" w:cs="Times New Roman"/>
          <w:b/>
          <w:i/>
          <w:color w:val="000000"/>
          <w:sz w:val="22"/>
          <w:szCs w:val="22"/>
        </w:rPr>
      </w:pPr>
    </w:p>
    <w:p w:rsidR="00E62E1F" w14:paraId="68BF3157" w14:textId="77777777"/>
    <w:tbl>
      <w:tblPr>
        <w:tblpPr w:leftFromText="141" w:rightFromText="141" w:vertAnchor="text" w:horzAnchor="margin" w:tblpY="790"/>
        <w:tblW w:w="6267" w:type="dxa"/>
        <w:tblCellMar>
          <w:left w:w="70" w:type="dxa"/>
          <w:right w:w="70" w:type="dxa"/>
        </w:tblCellMar>
        <w:tblLook w:val="04A0"/>
      </w:tblPr>
      <w:tblGrid>
        <w:gridCol w:w="6267"/>
      </w:tblGrid>
      <w:tr w14:paraId="245F0ADC" w14:textId="77777777" w:rsidTr="00504EA8">
        <w:tblPrEx>
          <w:tblW w:w="6267" w:type="dxa"/>
          <w:tblCellMar>
            <w:left w:w="70" w:type="dxa"/>
            <w:right w:w="70" w:type="dxa"/>
          </w:tblCellMar>
          <w:tblLook w:val="04A0"/>
        </w:tblPrEx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A8" w:rsidRPr="003212D6" w:rsidP="00504EA8" w14:paraId="0E3197AE" w14:textId="77777777">
            <w:pPr>
              <w:bidi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rtl w:val="0"/>
                <w:lang w:val="ru"/>
              </w:rPr>
              <w:t>Сокращения:</w:t>
            </w:r>
          </w:p>
          <w:p w:rsidR="00504EA8" w:rsidRPr="0063161F" w:rsidP="00504EA8" w14:paraId="1F94A3DD" w14:textId="77777777">
            <w:pPr>
              <w:bidi w:val="0"/>
              <w:rPr>
                <w:rFonts w:ascii="Calibri" w:hAnsi="Calibri"/>
              </w:rPr>
            </w:pPr>
            <w:r w:rsidRPr="0063161F">
              <w:rPr>
                <w:rFonts w:ascii="Calibri" w:hAnsi="Calibri"/>
                <w:rtl w:val="0"/>
                <w:lang w:val="ru"/>
              </w:rPr>
              <w:t>ИАПФ: ингибиторы ангиотензинпревращающего фермента</w:t>
            </w:r>
          </w:p>
        </w:tc>
      </w:tr>
      <w:tr w14:paraId="03F2852A" w14:textId="77777777" w:rsidTr="00504EA8">
        <w:tblPrEx>
          <w:tblW w:w="6267" w:type="dxa"/>
          <w:tblCellMar>
            <w:left w:w="70" w:type="dxa"/>
            <w:right w:w="70" w:type="dxa"/>
          </w:tblCellMar>
          <w:tblLook w:val="04A0"/>
        </w:tblPrEx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A8" w:rsidP="00504EA8" w14:paraId="6D306EE3" w14:textId="77777777">
            <w:pPr>
              <w:bidi w:val="0"/>
              <w:rPr>
                <w:rFonts w:ascii="Calibri" w:hAnsi="Calibri"/>
              </w:rPr>
            </w:pPr>
            <w:r w:rsidRPr="0063161F">
              <w:rPr>
                <w:rFonts w:ascii="Calibri" w:hAnsi="Calibri"/>
                <w:rtl w:val="0"/>
                <w:lang w:val="ru"/>
              </w:rPr>
              <w:t>БРА: блокаторы рецепторов ангиотензина</w:t>
            </w:r>
          </w:p>
          <w:p w:rsidR="00504EA8" w:rsidRPr="0063161F" w:rsidP="00504EA8" w14:paraId="761AF9EA" w14:textId="77777777">
            <w:pPr>
              <w:bidi w:val="0"/>
              <w:rPr>
                <w:rFonts w:ascii="Calibri" w:hAnsi="Calibri"/>
              </w:rPr>
            </w:pPr>
            <w:r>
              <w:rPr>
                <w:rFonts w:ascii="Calibri" w:hAnsi="Calibri"/>
                <w:rtl w:val="0"/>
                <w:lang w:val="ru"/>
              </w:rPr>
              <w:t>BTM: маркеры обновления костной ткани</w:t>
            </w:r>
          </w:p>
        </w:tc>
      </w:tr>
      <w:tr w14:paraId="496011B5" w14:textId="77777777" w:rsidTr="00504EA8">
        <w:tblPrEx>
          <w:tblW w:w="6267" w:type="dxa"/>
          <w:tblCellMar>
            <w:left w:w="70" w:type="dxa"/>
            <w:right w:w="70" w:type="dxa"/>
          </w:tblCellMar>
          <w:tblLook w:val="04A0"/>
        </w:tblPrEx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A8" w:rsidP="00504EA8" w14:paraId="09EB592E" w14:textId="77777777">
            <w:pPr>
              <w:bidi w:val="0"/>
              <w:rPr>
                <w:rFonts w:ascii="Calibri" w:hAnsi="Calibri"/>
              </w:rPr>
            </w:pPr>
            <w:r w:rsidRPr="0063161F">
              <w:rPr>
                <w:rFonts w:ascii="Calibri" w:hAnsi="Calibri"/>
                <w:rtl w:val="0"/>
                <w:lang w:val="ru"/>
              </w:rPr>
              <w:t>ИХЭ: ингибиторы ацетилхолинэстеразы</w:t>
            </w:r>
          </w:p>
          <w:p w:rsidR="00504EA8" w:rsidRPr="0063161F" w:rsidP="00504EA8" w14:paraId="24C8E0AD" w14:textId="77777777">
            <w:pPr>
              <w:bidi w:val="0"/>
              <w:rPr>
                <w:rFonts w:ascii="Calibri" w:hAnsi="Calibri"/>
              </w:rPr>
            </w:pPr>
            <w:r>
              <w:rPr>
                <w:rFonts w:ascii="Calibri" w:hAnsi="Calibri"/>
                <w:rtl w:val="0"/>
                <w:lang w:val="ru"/>
              </w:rPr>
              <w:t>COMT: катехол-O-метилтрансфераза</w:t>
            </w:r>
          </w:p>
        </w:tc>
      </w:tr>
      <w:tr w14:paraId="1F2F0BAE" w14:textId="77777777" w:rsidTr="00504EA8">
        <w:tblPrEx>
          <w:tblW w:w="6267" w:type="dxa"/>
          <w:tblCellMar>
            <w:left w:w="70" w:type="dxa"/>
            <w:right w:w="70" w:type="dxa"/>
          </w:tblCellMar>
          <w:tblLook w:val="04A0"/>
        </w:tblPrEx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A8" w:rsidRPr="0063161F" w:rsidP="00504EA8" w14:paraId="059423D3" w14:textId="77777777">
            <w:pPr>
              <w:bidi w:val="0"/>
              <w:rPr>
                <w:rFonts w:ascii="Calibri" w:hAnsi="Calibri"/>
              </w:rPr>
            </w:pPr>
            <w:r w:rsidRPr="0063161F">
              <w:rPr>
                <w:rFonts w:ascii="Calibri" w:hAnsi="Calibri"/>
                <w:rtl w:val="0"/>
                <w:lang w:val="ru"/>
              </w:rPr>
              <w:t>ФВ: Фракция выброса</w:t>
            </w:r>
          </w:p>
        </w:tc>
      </w:tr>
      <w:tr w14:paraId="25792512" w14:textId="77777777" w:rsidTr="00504EA8">
        <w:tblPrEx>
          <w:tblW w:w="6267" w:type="dxa"/>
          <w:tblCellMar>
            <w:left w:w="70" w:type="dxa"/>
            <w:right w:w="70" w:type="dxa"/>
          </w:tblCellMar>
          <w:tblLook w:val="04A0"/>
        </w:tblPrEx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A8" w:rsidRPr="0063161F" w:rsidP="00504EA8" w14:paraId="6ADFC443" w14:textId="77777777">
            <w:pPr>
              <w:bidi w:val="0"/>
              <w:rPr>
                <w:rFonts w:ascii="Calibri" w:hAnsi="Calibri"/>
              </w:rPr>
            </w:pPr>
            <w:r w:rsidRPr="0063161F">
              <w:rPr>
                <w:rFonts w:ascii="Calibri" w:hAnsi="Calibri"/>
                <w:rtl w:val="0"/>
                <w:lang w:val="ru"/>
              </w:rPr>
              <w:t>рСКФ: расчетная Скорость клубочковой фильтрации</w:t>
            </w:r>
          </w:p>
        </w:tc>
      </w:tr>
      <w:tr w14:paraId="67E4F143" w14:textId="77777777" w:rsidTr="00504EA8">
        <w:tblPrEx>
          <w:tblW w:w="6267" w:type="dxa"/>
          <w:tblCellMar>
            <w:left w:w="70" w:type="dxa"/>
            <w:right w:w="70" w:type="dxa"/>
          </w:tblCellMar>
          <w:tblLook w:val="04A0"/>
        </w:tblPrEx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A8" w:rsidP="00504EA8" w14:paraId="338FD837" w14:textId="77777777">
            <w:pPr>
              <w:bidi w:val="0"/>
              <w:rPr>
                <w:rFonts w:ascii="Calibri" w:hAnsi="Calibri"/>
              </w:rPr>
            </w:pPr>
            <w:r w:rsidRPr="0063161F">
              <w:rPr>
                <w:rFonts w:ascii="Calibri" w:hAnsi="Calibri"/>
                <w:rtl w:val="0"/>
                <w:lang w:val="ru"/>
              </w:rPr>
              <w:t>FDA: Управление по санитарному надзору за качеством пищевых продуктов и медикаментов США</w:t>
            </w:r>
          </w:p>
          <w:p w:rsidR="00504EA8" w:rsidRPr="0063161F" w:rsidP="00504EA8" w14:paraId="3066840F" w14:textId="77777777">
            <w:pPr>
              <w:bidi w:val="0"/>
              <w:rPr>
                <w:rFonts w:ascii="Calibri" w:hAnsi="Calibri"/>
              </w:rPr>
            </w:pPr>
            <w:r>
              <w:rPr>
                <w:rFonts w:ascii="Calibri" w:hAnsi="Calibri"/>
                <w:rtl w:val="0"/>
                <w:lang w:val="ru"/>
              </w:rPr>
              <w:t>ОФВ1: объем форсированного выдоха</w:t>
            </w:r>
          </w:p>
        </w:tc>
      </w:tr>
      <w:tr w14:paraId="44D2EADE" w14:textId="77777777" w:rsidTr="00504EA8">
        <w:tblPrEx>
          <w:tblW w:w="6267" w:type="dxa"/>
          <w:tblCellMar>
            <w:left w:w="70" w:type="dxa"/>
            <w:right w:w="70" w:type="dxa"/>
          </w:tblCellMar>
          <w:tblLook w:val="04A0"/>
        </w:tblPrEx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A8" w:rsidRPr="0063161F" w:rsidP="00504EA8" w14:paraId="550891EC" w14:textId="77777777">
            <w:pPr>
              <w:bidi w:val="0"/>
              <w:rPr>
                <w:rFonts w:ascii="Calibri" w:hAnsi="Calibri"/>
              </w:rPr>
            </w:pPr>
            <w:r w:rsidRPr="0063161F">
              <w:rPr>
                <w:rFonts w:ascii="Calibri" w:hAnsi="Calibri"/>
                <w:rtl w:val="0"/>
                <w:lang w:val="ru"/>
              </w:rPr>
              <w:t>GİS: желудочно-кишечный тракт</w:t>
            </w:r>
          </w:p>
        </w:tc>
      </w:tr>
      <w:tr w14:paraId="29F24A1C" w14:textId="77777777" w:rsidTr="00504EA8">
        <w:tblPrEx>
          <w:tblW w:w="6267" w:type="dxa"/>
          <w:tblCellMar>
            <w:left w:w="70" w:type="dxa"/>
            <w:right w:w="70" w:type="dxa"/>
          </w:tblCellMar>
          <w:tblLook w:val="04A0"/>
        </w:tblPrEx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A8" w:rsidRPr="00055E8C" w:rsidP="00504EA8" w14:paraId="6A892235" w14:textId="77777777">
            <w:pPr>
              <w:bidi w:val="0"/>
              <w:rPr>
                <w:rFonts w:ascii="Calibri" w:hAnsi="Calibri"/>
              </w:rPr>
            </w:pPr>
            <w:r w:rsidRPr="00055E8C">
              <w:rPr>
                <w:rFonts w:ascii="Calibri" w:hAnsi="Calibri"/>
                <w:rtl w:val="0"/>
                <w:lang w:val="ru"/>
              </w:rPr>
              <w:t>IPSS: Международная система суммарной оценки заболеваний предстательной железы</w:t>
            </w:r>
          </w:p>
        </w:tc>
      </w:tr>
      <w:tr w14:paraId="64ED793C" w14:textId="77777777" w:rsidTr="00504EA8">
        <w:tblPrEx>
          <w:tblW w:w="6267" w:type="dxa"/>
          <w:tblCellMar>
            <w:left w:w="70" w:type="dxa"/>
            <w:right w:w="70" w:type="dxa"/>
          </w:tblCellMar>
          <w:tblLook w:val="04A0"/>
        </w:tblPrEx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A8" w:rsidP="00504EA8" w14:paraId="4F11DB81" w14:textId="77777777">
            <w:pPr>
              <w:bidi w:val="0"/>
              <w:rPr>
                <w:rFonts w:ascii="Calibri" w:hAnsi="Calibri"/>
              </w:rPr>
            </w:pPr>
            <w:r>
              <w:rPr>
                <w:rFonts w:ascii="Calibri" w:hAnsi="Calibri"/>
                <w:rtl w:val="0"/>
                <w:lang w:val="ru"/>
              </w:rPr>
              <w:t>ХОБЛ: хроническая обструктивная болезнь легких</w:t>
            </w:r>
          </w:p>
          <w:p w:rsidR="00504EA8" w:rsidRPr="0063161F" w:rsidP="00504EA8" w14:paraId="7B1EBAB4" w14:textId="77777777">
            <w:pPr>
              <w:bidi w:val="0"/>
              <w:rPr>
                <w:rFonts w:ascii="Calibri" w:hAnsi="Calibri"/>
              </w:rPr>
            </w:pPr>
            <w:r>
              <w:rPr>
                <w:rFonts w:ascii="Calibri" w:hAnsi="Calibri"/>
                <w:rtl w:val="0"/>
                <w:lang w:val="ru"/>
              </w:rPr>
              <w:t>BMD: минеральная плотность кости</w:t>
            </w:r>
          </w:p>
        </w:tc>
      </w:tr>
      <w:tr w14:paraId="4717F0CB" w14:textId="77777777" w:rsidTr="00504EA8">
        <w:tblPrEx>
          <w:tblW w:w="6267" w:type="dxa"/>
          <w:tblCellMar>
            <w:left w:w="70" w:type="dxa"/>
            <w:right w:w="70" w:type="dxa"/>
          </w:tblCellMar>
          <w:tblLook w:val="04A0"/>
        </w:tblPrEx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A8" w:rsidP="00504EA8" w14:paraId="0550D7BB" w14:textId="77777777">
            <w:pPr>
              <w:bidi w:val="0"/>
              <w:rPr>
                <w:rFonts w:ascii="Calibri" w:hAnsi="Calibri"/>
              </w:rPr>
            </w:pPr>
            <w:r w:rsidRPr="0063161F">
              <w:rPr>
                <w:rFonts w:ascii="Calibri" w:hAnsi="Calibri"/>
                <w:rtl w:val="0"/>
                <w:lang w:val="ru"/>
              </w:rPr>
              <w:t>СНМП: Симптомы нижних мочевых путей</w:t>
            </w:r>
          </w:p>
          <w:p w:rsidR="00504EA8" w:rsidP="00504EA8" w14:paraId="0970C7C0" w14:textId="77777777">
            <w:pPr>
              <w:bidi w:val="0"/>
              <w:rPr>
                <w:rFonts w:ascii="Calibri" w:hAnsi="Calibri"/>
              </w:rPr>
            </w:pPr>
            <w:r w:rsidRPr="00055E8C">
              <w:rPr>
                <w:rFonts w:ascii="Calibri" w:hAnsi="Calibri"/>
                <w:rtl w:val="0"/>
                <w:lang w:val="ru"/>
              </w:rPr>
              <w:t>MAOB: Моноаминоксидаза B</w:t>
            </w:r>
          </w:p>
          <w:p w:rsidR="00504EA8" w:rsidRPr="0063161F" w:rsidP="00504EA8" w14:paraId="46ABC7AC" w14:textId="77777777">
            <w:pPr>
              <w:bidi w:val="0"/>
              <w:rPr>
                <w:rFonts w:ascii="Calibri" w:hAnsi="Calibri"/>
              </w:rPr>
            </w:pPr>
            <w:r>
              <w:rPr>
                <w:rFonts w:ascii="Calibri" w:hAnsi="Calibri"/>
                <w:rtl w:val="0"/>
                <w:lang w:val="ru"/>
              </w:rPr>
              <w:t>ИМ: инфаркт миокарда.</w:t>
            </w:r>
          </w:p>
        </w:tc>
      </w:tr>
      <w:tr w14:paraId="33A98B2D" w14:textId="77777777" w:rsidTr="00504EA8">
        <w:tblPrEx>
          <w:tblW w:w="6267" w:type="dxa"/>
          <w:tblCellMar>
            <w:left w:w="70" w:type="dxa"/>
            <w:right w:w="70" w:type="dxa"/>
          </w:tblCellMar>
          <w:tblLook w:val="04A0"/>
        </w:tblPrEx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A8" w:rsidP="00504EA8" w14:paraId="7C7D7761" w14:textId="77777777">
            <w:pPr>
              <w:bidi w:val="0"/>
              <w:rPr>
                <w:rFonts w:ascii="Calibri" w:hAnsi="Calibri"/>
              </w:rPr>
            </w:pPr>
            <w:r>
              <w:rPr>
                <w:rFonts w:ascii="Calibri" w:hAnsi="Calibri"/>
                <w:rtl w:val="0"/>
                <w:lang w:val="ru"/>
              </w:rPr>
              <w:t>MN: Недоедание</w:t>
            </w:r>
          </w:p>
          <w:p w:rsidR="00504EA8" w:rsidRPr="0063161F" w:rsidP="00504EA8" w14:paraId="7459CA0F" w14:textId="77777777">
            <w:pPr>
              <w:bidi w:val="0"/>
              <w:rPr>
                <w:rFonts w:ascii="Calibri" w:hAnsi="Calibri"/>
              </w:rPr>
            </w:pPr>
            <w:r>
              <w:rPr>
                <w:rFonts w:ascii="Calibri" w:hAnsi="Calibri"/>
                <w:rtl w:val="0"/>
                <w:lang w:val="ru"/>
              </w:rPr>
              <w:t>MNR: риск недоедания</w:t>
            </w:r>
          </w:p>
        </w:tc>
      </w:tr>
      <w:tr w14:paraId="2693A496" w14:textId="77777777" w:rsidTr="00504EA8">
        <w:tblPrEx>
          <w:tblW w:w="6267" w:type="dxa"/>
          <w:tblCellMar>
            <w:left w:w="70" w:type="dxa"/>
            <w:right w:w="70" w:type="dxa"/>
          </w:tblCellMar>
          <w:tblLook w:val="04A0"/>
        </w:tblPrEx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A8" w:rsidP="00504EA8" w14:paraId="0A4CFC37" w14:textId="77777777">
            <w:pPr>
              <w:bidi w:val="0"/>
              <w:rPr>
                <w:rFonts w:ascii="Calibri" w:hAnsi="Calibri"/>
              </w:rPr>
            </w:pPr>
            <w:r w:rsidRPr="0063161F">
              <w:rPr>
                <w:rFonts w:ascii="Calibri" w:hAnsi="Calibri"/>
                <w:rtl w:val="0"/>
                <w:lang w:val="ru"/>
              </w:rPr>
              <w:t>НПВП: нестероидные противовоспалительные препараты</w:t>
            </w:r>
          </w:p>
          <w:p w:rsidR="00504EA8" w:rsidP="00504EA8" w14:paraId="46748CAB" w14:textId="77777777">
            <w:pPr>
              <w:bidi w:val="0"/>
              <w:rPr>
                <w:rFonts w:ascii="Calibri" w:hAnsi="Calibri"/>
              </w:rPr>
            </w:pPr>
            <w:r w:rsidRPr="0063161F">
              <w:rPr>
                <w:rFonts w:ascii="Calibri" w:hAnsi="Calibri"/>
                <w:rtl w:val="0"/>
                <w:lang w:val="ru"/>
              </w:rPr>
              <w:t>OAC: Пероральный антикоагулянт</w:t>
            </w:r>
          </w:p>
          <w:p w:rsidR="00504EA8" w:rsidP="00504EA8" w14:paraId="004548ED" w14:textId="77777777">
            <w:pPr>
              <w:bidi w:val="0"/>
              <w:rPr>
                <w:rFonts w:ascii="Calibri" w:hAnsi="Calibri"/>
              </w:rPr>
            </w:pPr>
            <w:r>
              <w:rPr>
                <w:rFonts w:ascii="Calibri" w:hAnsi="Calibri"/>
                <w:rtl w:val="0"/>
                <w:lang w:val="ru"/>
              </w:rPr>
              <w:t>ONS: пероральная пищевая добавка</w:t>
            </w:r>
          </w:p>
          <w:p w:rsidR="00504EA8" w:rsidP="00504EA8" w14:paraId="7D0B668A" w14:textId="77777777">
            <w:pPr>
              <w:bidi w:val="0"/>
              <w:rPr>
                <w:rFonts w:ascii="Calibri" w:hAnsi="Calibri"/>
              </w:rPr>
            </w:pPr>
            <w:r w:rsidRPr="00055E8C">
              <w:rPr>
                <w:rFonts w:ascii="Calibri" w:hAnsi="Calibri"/>
                <w:rtl w:val="0"/>
                <w:lang w:val="ru"/>
              </w:rPr>
              <w:t>RZV: Рекомбинантная вакцина против опоясывающего лишая.</w:t>
            </w:r>
          </w:p>
          <w:p w:rsidR="00504EA8" w:rsidRPr="0063161F" w:rsidP="00504EA8" w14:paraId="3969B00D" w14:textId="77777777">
            <w:pPr>
              <w:bidi w:val="0"/>
              <w:rPr>
                <w:rFonts w:ascii="Calibri" w:hAnsi="Calibri"/>
              </w:rPr>
            </w:pPr>
            <w:r w:rsidRPr="00055E8C">
              <w:rPr>
                <w:rFonts w:ascii="Calibri" w:hAnsi="Calibri"/>
                <w:rtl w:val="0"/>
                <w:lang w:val="ru"/>
              </w:rPr>
              <w:t>SaO2: насыщение кислородом</w:t>
            </w:r>
          </w:p>
        </w:tc>
      </w:tr>
      <w:tr w14:paraId="59758CEC" w14:textId="77777777" w:rsidTr="00504EA8">
        <w:tblPrEx>
          <w:tblW w:w="6267" w:type="dxa"/>
          <w:tblCellMar>
            <w:left w:w="70" w:type="dxa"/>
            <w:right w:w="70" w:type="dxa"/>
          </w:tblCellMar>
          <w:tblLook w:val="04A0"/>
        </w:tblPrEx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A8" w:rsidRPr="0063161F" w:rsidP="00504EA8" w14:paraId="091DDB5F" w14:textId="77777777">
            <w:pPr>
              <w:bidi w:val="0"/>
              <w:rPr>
                <w:rFonts w:ascii="Calibri" w:hAnsi="Calibri"/>
              </w:rPr>
            </w:pPr>
            <w:r w:rsidRPr="0063161F">
              <w:rPr>
                <w:rFonts w:ascii="Calibri" w:hAnsi="Calibri"/>
                <w:rtl w:val="0"/>
                <w:lang w:val="ru"/>
              </w:rPr>
              <w:t>СИОЗСиН: Ингибиторы обратного захвата серотонина-норадреналина</w:t>
            </w:r>
          </w:p>
        </w:tc>
      </w:tr>
      <w:tr w14:paraId="20C1FA2F" w14:textId="77777777" w:rsidTr="00504EA8">
        <w:tblPrEx>
          <w:tblW w:w="6267" w:type="dxa"/>
          <w:tblCellMar>
            <w:left w:w="70" w:type="dxa"/>
            <w:right w:w="70" w:type="dxa"/>
          </w:tblCellMar>
          <w:tblLook w:val="04A0"/>
        </w:tblPrEx>
        <w:trPr>
          <w:trHeight w:val="138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A8" w:rsidRPr="0063161F" w:rsidP="00504EA8" w14:paraId="0DAC2988" w14:textId="77777777">
            <w:pPr>
              <w:bidi w:val="0"/>
              <w:rPr>
                <w:rFonts w:ascii="Calibri" w:hAnsi="Calibri"/>
              </w:rPr>
            </w:pPr>
            <w:r w:rsidRPr="0063161F">
              <w:rPr>
                <w:rFonts w:ascii="Calibri" w:hAnsi="Calibri"/>
                <w:rtl w:val="0"/>
                <w:lang w:val="ru"/>
              </w:rPr>
              <w:t>СИОЗС: Селективные ингибиторы обратного захвата серотонина</w:t>
            </w:r>
          </w:p>
        </w:tc>
      </w:tr>
      <w:tr w14:paraId="1FA6EDD4" w14:textId="77777777" w:rsidTr="00504EA8">
        <w:tblPrEx>
          <w:tblW w:w="6267" w:type="dxa"/>
          <w:tblCellMar>
            <w:left w:w="70" w:type="dxa"/>
            <w:right w:w="70" w:type="dxa"/>
          </w:tblCellMar>
          <w:tblLook w:val="04A0"/>
        </w:tblPrEx>
        <w:trPr>
          <w:trHeight w:val="37"/>
        </w:trPr>
        <w:tc>
          <w:tcPr>
            <w:tcW w:w="6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A8" w:rsidP="00504EA8" w14:paraId="4CA7A441" w14:textId="77777777">
            <w:pPr>
              <w:bidi w:val="0"/>
              <w:rPr>
                <w:rFonts w:ascii="Calibri" w:hAnsi="Calibri"/>
              </w:rPr>
            </w:pPr>
            <w:r w:rsidRPr="00055E8C">
              <w:rPr>
                <w:rFonts w:ascii="Calibri" w:hAnsi="Calibri"/>
                <w:rtl w:val="0"/>
                <w:lang w:val="ru"/>
              </w:rPr>
              <w:t>TdaP: столбняк, дифтерия и бесклеточный коклюш</w:t>
            </w:r>
          </w:p>
          <w:p w:rsidR="00504EA8" w:rsidRPr="0063161F" w:rsidP="00504EA8" w14:paraId="565540E1" w14:textId="77777777">
            <w:pPr>
              <w:bidi w:val="0"/>
              <w:rPr>
                <w:rFonts w:ascii="Calibri" w:hAnsi="Calibri"/>
              </w:rPr>
            </w:pPr>
            <w:r w:rsidRPr="00055E8C">
              <w:rPr>
                <w:rFonts w:ascii="Calibri" w:hAnsi="Calibri"/>
                <w:rtl w:val="0"/>
                <w:lang w:val="ru"/>
              </w:rPr>
              <w:t>ZVL: живая вакцина против опоясывающего лишая</w:t>
            </w:r>
          </w:p>
        </w:tc>
      </w:tr>
    </w:tbl>
    <w:p w:rsidR="003212D6" w:rsidRPr="000C6676" w:rsidP="003212D6" w14:paraId="0908A9C1" w14:textId="3AEB84F7">
      <w:pPr>
        <w:bidi w:val="0"/>
        <w:contextualSpacing/>
        <w:jc w:val="both"/>
        <w:rPr>
          <w:rFonts w:asciiTheme="minorHAnsi" w:hAnsiTheme="minorHAnsi" w:cstheme="minorHAnsi"/>
          <w:bCs/>
          <w:i/>
        </w:rPr>
        <w:sectPr w:rsidSect="003E168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C6676">
        <w:rPr>
          <w:rFonts w:asciiTheme="minorHAnsi" w:hAnsiTheme="minorHAnsi" w:cstheme="minorHAnsi"/>
          <w:bCs/>
          <w:color w:val="000000"/>
          <w:shd w:val="clear" w:color="auto" w:fill="FFFFFF"/>
          <w:rtl w:val="0"/>
          <w:lang w:val="ru"/>
        </w:rPr>
        <w:t xml:space="preserve"># Критерии по которым в панельном исследовании </w:t>
      </w:r>
      <w:r w:rsidRPr="000C6676">
        <w:rPr>
          <w:rFonts w:asciiTheme="minorHAnsi" w:hAnsiTheme="minorHAnsi" w:cstheme="minorHAnsi"/>
          <w:bCs/>
          <w:rtl w:val="0"/>
          <w:lang w:val="ru"/>
        </w:rPr>
        <w:t>#</w:t>
      </w:r>
      <w:r w:rsidRPr="000C6676">
        <w:rPr>
          <w:rFonts w:asciiTheme="minorHAnsi" w:hAnsiTheme="minorHAnsi" w:cstheme="minorHAnsi"/>
          <w:bCs/>
          <w:color w:val="000000"/>
          <w:shd w:val="clear" w:color="auto" w:fill="FFFFFF"/>
          <w:rtl w:val="0"/>
          <w:lang w:val="ru"/>
        </w:rPr>
        <w:t>International Delphi отсутствует консенсус.</w:t>
      </w:r>
    </w:p>
    <w:p w:rsidR="00580A4F" w14:paraId="77D8E750" w14:textId="77777777"/>
    <w:sectPr w:rsidSect="00686D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iberationSerif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711976"/>
    <w:multiLevelType w:val="multilevel"/>
    <w:tmpl w:val="0022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B64D1"/>
    <w:multiLevelType w:val="hybridMultilevel"/>
    <w:tmpl w:val="CD9A310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7070F"/>
    <w:multiLevelType w:val="hybridMultilevel"/>
    <w:tmpl w:val="EC44731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956F4"/>
    <w:multiLevelType w:val="hybridMultilevel"/>
    <w:tmpl w:val="E4D8DB2A"/>
    <w:lvl w:ilvl="0">
      <w:start w:val="8"/>
      <w:numFmt w:val="bullet"/>
      <w:lvlText w:val=""/>
      <w:lvlJc w:val="left"/>
      <w:pPr>
        <w:ind w:left="720" w:hanging="360"/>
      </w:pPr>
      <w:rPr>
        <w:rFonts w:ascii="Symbol" w:hAnsi="Symbol" w:eastAsiaTheme="minorEastAsia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006E8"/>
    <w:multiLevelType w:val="multilevel"/>
    <w:tmpl w:val="332A1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24521"/>
    <w:multiLevelType w:val="multilevel"/>
    <w:tmpl w:val="67E09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A1603"/>
    <w:multiLevelType w:val="multilevel"/>
    <w:tmpl w:val="2F2E4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741A2D"/>
    <w:multiLevelType w:val="hybridMultilevel"/>
    <w:tmpl w:val="ED102B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B33A2"/>
    <w:multiLevelType w:val="multilevel"/>
    <w:tmpl w:val="20E0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AF30FB"/>
    <w:multiLevelType w:val="hybridMultilevel"/>
    <w:tmpl w:val="733068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10C3D"/>
    <w:multiLevelType w:val="multilevel"/>
    <w:tmpl w:val="6C32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985B02"/>
    <w:multiLevelType w:val="multilevel"/>
    <w:tmpl w:val="4354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6C1E43"/>
    <w:multiLevelType w:val="multilevel"/>
    <w:tmpl w:val="4E68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900095"/>
    <w:multiLevelType w:val="multilevel"/>
    <w:tmpl w:val="E7928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EE6178"/>
    <w:multiLevelType w:val="multilevel"/>
    <w:tmpl w:val="E7F66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E734F2"/>
    <w:multiLevelType w:val="hybridMultilevel"/>
    <w:tmpl w:val="7D6882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6123C"/>
    <w:multiLevelType w:val="multilevel"/>
    <w:tmpl w:val="83467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491A2A"/>
    <w:multiLevelType w:val="multilevel"/>
    <w:tmpl w:val="F24E5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041E0B"/>
    <w:multiLevelType w:val="multilevel"/>
    <w:tmpl w:val="9914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2E40DB"/>
    <w:multiLevelType w:val="multilevel"/>
    <w:tmpl w:val="99CCD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28752C"/>
    <w:multiLevelType w:val="multilevel"/>
    <w:tmpl w:val="D310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872E55"/>
    <w:multiLevelType w:val="multilevel"/>
    <w:tmpl w:val="6B761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D30F27"/>
    <w:multiLevelType w:val="hybridMultilevel"/>
    <w:tmpl w:val="F7E6D4B6"/>
    <w:lvl w:ilvl="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6E54DA"/>
    <w:multiLevelType w:val="multilevel"/>
    <w:tmpl w:val="EB7A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131156"/>
    <w:multiLevelType w:val="multilevel"/>
    <w:tmpl w:val="A1A2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AE1825"/>
    <w:multiLevelType w:val="multilevel"/>
    <w:tmpl w:val="0432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C465DE"/>
    <w:multiLevelType w:val="hybridMultilevel"/>
    <w:tmpl w:val="382413DE"/>
    <w:lvl w:ilvl="0">
      <w:start w:val="2011"/>
      <w:numFmt w:val="bullet"/>
      <w:lvlText w:val=""/>
      <w:lvlJc w:val="left"/>
      <w:pPr>
        <w:ind w:left="720" w:hanging="360"/>
      </w:pPr>
      <w:rPr>
        <w:rFonts w:ascii="Symbol" w:hAnsi="Symbol" w:eastAsiaTheme="minorEastAsia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173396"/>
    <w:multiLevelType w:val="hybridMultilevel"/>
    <w:tmpl w:val="A2F6568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FFE0002"/>
    <w:multiLevelType w:val="hybridMultilevel"/>
    <w:tmpl w:val="2A2E86BE"/>
    <w:lvl w:ilvl="0">
      <w:start w:val="8"/>
      <w:numFmt w:val="bullet"/>
      <w:lvlText w:val=""/>
      <w:lvlJc w:val="left"/>
      <w:pPr>
        <w:ind w:left="720" w:hanging="360"/>
      </w:pPr>
      <w:rPr>
        <w:rFonts w:ascii="Symbol" w:hAnsi="Symbol" w:eastAsiaTheme="minorEastAsia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2F1B2C"/>
    <w:multiLevelType w:val="multilevel"/>
    <w:tmpl w:val="5DF4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384945"/>
    <w:multiLevelType w:val="hybridMultilevel"/>
    <w:tmpl w:val="E5AC8848"/>
    <w:lvl w:ilvl="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5049EF"/>
    <w:multiLevelType w:val="multilevel"/>
    <w:tmpl w:val="16CE2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D37E79"/>
    <w:multiLevelType w:val="hybridMultilevel"/>
    <w:tmpl w:val="C714D806"/>
    <w:lvl w:ilvl="0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5622A8"/>
    <w:multiLevelType w:val="hybridMultilevel"/>
    <w:tmpl w:val="BFDE5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CC20DA"/>
    <w:multiLevelType w:val="hybridMultilevel"/>
    <w:tmpl w:val="12EC57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43D0B"/>
    <w:multiLevelType w:val="hybridMultilevel"/>
    <w:tmpl w:val="936AF22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F2E18"/>
    <w:multiLevelType w:val="multilevel"/>
    <w:tmpl w:val="1EBEC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A22571"/>
    <w:multiLevelType w:val="multilevel"/>
    <w:tmpl w:val="54BC0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0870A7"/>
    <w:multiLevelType w:val="hybridMultilevel"/>
    <w:tmpl w:val="2A7E90C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68B32D6"/>
    <w:multiLevelType w:val="multilevel"/>
    <w:tmpl w:val="D8886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183197"/>
    <w:multiLevelType w:val="hybridMultilevel"/>
    <w:tmpl w:val="7B26086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D327197"/>
    <w:multiLevelType w:val="hybridMultilevel"/>
    <w:tmpl w:val="6DCA464A"/>
    <w:lvl w:ilvl="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5C0981"/>
    <w:multiLevelType w:val="multilevel"/>
    <w:tmpl w:val="9DD2F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505D43"/>
    <w:multiLevelType w:val="hybridMultilevel"/>
    <w:tmpl w:val="319A50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196686"/>
    <w:multiLevelType w:val="multilevel"/>
    <w:tmpl w:val="DFC4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CB0A6A"/>
    <w:multiLevelType w:val="hybridMultilevel"/>
    <w:tmpl w:val="55089F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AE49F0"/>
    <w:multiLevelType w:val="multilevel"/>
    <w:tmpl w:val="68F60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1B52C4"/>
    <w:multiLevelType w:val="multilevel"/>
    <w:tmpl w:val="F9B4F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536184"/>
    <w:multiLevelType w:val="multilevel"/>
    <w:tmpl w:val="A7EC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703D7A"/>
    <w:multiLevelType w:val="multilevel"/>
    <w:tmpl w:val="6C3A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8"/>
  </w:num>
  <w:num w:numId="3">
    <w:abstractNumId w:val="33"/>
  </w:num>
  <w:num w:numId="4">
    <w:abstractNumId w:val="1"/>
  </w:num>
  <w:num w:numId="5">
    <w:abstractNumId w:val="2"/>
  </w:num>
  <w:num w:numId="6">
    <w:abstractNumId w:val="22"/>
  </w:num>
  <w:num w:numId="7">
    <w:abstractNumId w:val="30"/>
  </w:num>
  <w:num w:numId="8">
    <w:abstractNumId w:val="11"/>
  </w:num>
  <w:num w:numId="9">
    <w:abstractNumId w:val="12"/>
  </w:num>
  <w:num w:numId="10">
    <w:abstractNumId w:val="26"/>
  </w:num>
  <w:num w:numId="11">
    <w:abstractNumId w:val="13"/>
  </w:num>
  <w:num w:numId="12">
    <w:abstractNumId w:val="28"/>
  </w:num>
  <w:num w:numId="13">
    <w:abstractNumId w:val="46"/>
  </w:num>
  <w:num w:numId="14">
    <w:abstractNumId w:val="31"/>
  </w:num>
  <w:num w:numId="15">
    <w:abstractNumId w:val="36"/>
  </w:num>
  <w:num w:numId="16">
    <w:abstractNumId w:val="37"/>
  </w:num>
  <w:num w:numId="17">
    <w:abstractNumId w:val="19"/>
  </w:num>
  <w:num w:numId="18">
    <w:abstractNumId w:val="21"/>
  </w:num>
  <w:num w:numId="19">
    <w:abstractNumId w:val="17"/>
  </w:num>
  <w:num w:numId="20">
    <w:abstractNumId w:val="29"/>
  </w:num>
  <w:num w:numId="21">
    <w:abstractNumId w:val="10"/>
  </w:num>
  <w:num w:numId="22">
    <w:abstractNumId w:val="5"/>
  </w:num>
  <w:num w:numId="23">
    <w:abstractNumId w:val="49"/>
  </w:num>
  <w:num w:numId="24">
    <w:abstractNumId w:val="14"/>
  </w:num>
  <w:num w:numId="25">
    <w:abstractNumId w:val="47"/>
  </w:num>
  <w:num w:numId="26">
    <w:abstractNumId w:val="23"/>
  </w:num>
  <w:num w:numId="27">
    <w:abstractNumId w:val="42"/>
  </w:num>
  <w:num w:numId="28">
    <w:abstractNumId w:val="8"/>
  </w:num>
  <w:num w:numId="29">
    <w:abstractNumId w:val="39"/>
  </w:num>
  <w:num w:numId="30">
    <w:abstractNumId w:val="24"/>
  </w:num>
  <w:num w:numId="31">
    <w:abstractNumId w:val="0"/>
  </w:num>
  <w:num w:numId="32">
    <w:abstractNumId w:val="3"/>
  </w:num>
  <w:num w:numId="33">
    <w:abstractNumId w:val="18"/>
  </w:num>
  <w:num w:numId="34">
    <w:abstractNumId w:val="4"/>
  </w:num>
  <w:num w:numId="35">
    <w:abstractNumId w:val="25"/>
  </w:num>
  <w:num w:numId="36">
    <w:abstractNumId w:val="44"/>
  </w:num>
  <w:num w:numId="37">
    <w:abstractNumId w:val="16"/>
  </w:num>
  <w:num w:numId="38">
    <w:abstractNumId w:val="20"/>
  </w:num>
  <w:num w:numId="39">
    <w:abstractNumId w:val="15"/>
  </w:num>
  <w:num w:numId="40">
    <w:abstractNumId w:val="45"/>
  </w:num>
  <w:num w:numId="41">
    <w:abstractNumId w:val="34"/>
  </w:num>
  <w:num w:numId="42">
    <w:abstractNumId w:val="43"/>
  </w:num>
  <w:num w:numId="43">
    <w:abstractNumId w:val="7"/>
  </w:num>
  <w:num w:numId="44">
    <w:abstractNumId w:val="41"/>
  </w:num>
  <w:num w:numId="45">
    <w:abstractNumId w:val="32"/>
  </w:num>
  <w:num w:numId="46">
    <w:abstractNumId w:val="35"/>
  </w:num>
  <w:num w:numId="47">
    <w:abstractNumId w:val="40"/>
  </w:num>
  <w:num w:numId="48">
    <w:abstractNumId w:val="27"/>
  </w:num>
  <w:num w:numId="49">
    <w:abstractNumId w:val="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7F"/>
    <w:rsid w:val="00055E8C"/>
    <w:rsid w:val="00083447"/>
    <w:rsid w:val="000A315F"/>
    <w:rsid w:val="000C6676"/>
    <w:rsid w:val="001A5946"/>
    <w:rsid w:val="0021098E"/>
    <w:rsid w:val="00220470"/>
    <w:rsid w:val="00271D01"/>
    <w:rsid w:val="002D1D53"/>
    <w:rsid w:val="003212D6"/>
    <w:rsid w:val="00381C12"/>
    <w:rsid w:val="003C46C7"/>
    <w:rsid w:val="003E5EA3"/>
    <w:rsid w:val="004613B7"/>
    <w:rsid w:val="00504EA8"/>
    <w:rsid w:val="005130B0"/>
    <w:rsid w:val="00580A4F"/>
    <w:rsid w:val="0063161F"/>
    <w:rsid w:val="006318EC"/>
    <w:rsid w:val="0063366A"/>
    <w:rsid w:val="00686DAC"/>
    <w:rsid w:val="006946BB"/>
    <w:rsid w:val="006A4946"/>
    <w:rsid w:val="007109B3"/>
    <w:rsid w:val="00787C15"/>
    <w:rsid w:val="00851AFB"/>
    <w:rsid w:val="008765EF"/>
    <w:rsid w:val="0087687F"/>
    <w:rsid w:val="008874FC"/>
    <w:rsid w:val="008A4F48"/>
    <w:rsid w:val="0096528C"/>
    <w:rsid w:val="00967E82"/>
    <w:rsid w:val="009B6E20"/>
    <w:rsid w:val="009D3E08"/>
    <w:rsid w:val="009E5E56"/>
    <w:rsid w:val="00A64DD3"/>
    <w:rsid w:val="00A67324"/>
    <w:rsid w:val="00AE7765"/>
    <w:rsid w:val="00AF4C98"/>
    <w:rsid w:val="00AF66B5"/>
    <w:rsid w:val="00B35A74"/>
    <w:rsid w:val="00B4173A"/>
    <w:rsid w:val="00C414DB"/>
    <w:rsid w:val="00CB650A"/>
    <w:rsid w:val="00CF34E0"/>
    <w:rsid w:val="00D175F8"/>
    <w:rsid w:val="00D23A56"/>
    <w:rsid w:val="00D43402"/>
    <w:rsid w:val="00D75F55"/>
    <w:rsid w:val="00DC669A"/>
    <w:rsid w:val="00DF6CCD"/>
    <w:rsid w:val="00E62E1F"/>
    <w:rsid w:val="00E6620A"/>
    <w:rsid w:val="00E72F78"/>
    <w:rsid w:val="00E85B98"/>
    <w:rsid w:val="00E9431A"/>
    <w:rsid w:val="00F33FC1"/>
    <w:rsid w:val="00FB6D1C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F8D6EC-50C9-4F4C-B13F-73118770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87F"/>
    <w:rPr>
      <w:rFonts w:ascii="Times New Roman" w:eastAsia="Times New Roman" w:hAnsi="Times New Roman" w:cs="Times New Roman"/>
      <w:lang w:eastAsia="tr-TR"/>
    </w:rPr>
  </w:style>
  <w:style w:type="paragraph" w:styleId="Heading1">
    <w:name w:val="heading 1"/>
    <w:basedOn w:val="Normal"/>
    <w:next w:val="Normal"/>
    <w:link w:val="Balk1Char"/>
    <w:uiPriority w:val="9"/>
    <w:qFormat/>
    <w:rsid w:val="008768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Balk2Char"/>
    <w:uiPriority w:val="9"/>
    <w:unhideWhenUsed/>
    <w:qFormat/>
    <w:rsid w:val="008768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Balk3Char"/>
    <w:uiPriority w:val="9"/>
    <w:unhideWhenUsed/>
    <w:qFormat/>
    <w:rsid w:val="0087687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Heading4">
    <w:name w:val="heading 4"/>
    <w:basedOn w:val="Normal"/>
    <w:next w:val="Normal"/>
    <w:link w:val="Balk4Char"/>
    <w:uiPriority w:val="9"/>
    <w:unhideWhenUsed/>
    <w:qFormat/>
    <w:rsid w:val="0087687F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k1Char">
    <w:name w:val="Başlık 1 Char"/>
    <w:basedOn w:val="DefaultParagraphFont"/>
    <w:link w:val="Heading1"/>
    <w:uiPriority w:val="9"/>
    <w:rsid w:val="0087687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DefaultParagraphFont"/>
    <w:link w:val="Heading2"/>
    <w:uiPriority w:val="9"/>
    <w:rsid w:val="008768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tr-TR"/>
    </w:rPr>
  </w:style>
  <w:style w:type="character" w:customStyle="1" w:styleId="Balk3Char">
    <w:name w:val="Başlık 3 Char"/>
    <w:basedOn w:val="DefaultParagraphFont"/>
    <w:link w:val="Heading3"/>
    <w:uiPriority w:val="9"/>
    <w:rsid w:val="0087687F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tr-TR"/>
    </w:rPr>
  </w:style>
  <w:style w:type="character" w:customStyle="1" w:styleId="Balk4Char">
    <w:name w:val="Başlık 4 Char"/>
    <w:basedOn w:val="DefaultParagraphFont"/>
    <w:link w:val="Heading4"/>
    <w:uiPriority w:val="9"/>
    <w:rsid w:val="0087687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tr-TR"/>
    </w:rPr>
  </w:style>
  <w:style w:type="paragraph" w:styleId="ListParagraph">
    <w:name w:val="List Paragraph"/>
    <w:basedOn w:val="Normal"/>
    <w:uiPriority w:val="34"/>
    <w:qFormat/>
    <w:rsid w:val="008768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ncedenBiimlendirilmiChar"/>
    <w:uiPriority w:val="99"/>
    <w:unhideWhenUsed/>
    <w:rsid w:val="008768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DefaultParagraphFont"/>
    <w:link w:val="HTMLPreformatted"/>
    <w:uiPriority w:val="99"/>
    <w:rsid w:val="0087687F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Title">
    <w:name w:val="Title"/>
    <w:basedOn w:val="Normal"/>
    <w:next w:val="Normal"/>
    <w:link w:val="KonuBalChar"/>
    <w:uiPriority w:val="10"/>
    <w:qFormat/>
    <w:rsid w:val="0087687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DefaultParagraphFont"/>
    <w:link w:val="Title"/>
    <w:uiPriority w:val="10"/>
    <w:rsid w:val="0087687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tr-TR"/>
    </w:rPr>
  </w:style>
  <w:style w:type="paragraph" w:styleId="NormalWeb">
    <w:name w:val="Normal (Web)"/>
    <w:basedOn w:val="Normal"/>
    <w:uiPriority w:val="99"/>
    <w:unhideWhenUsed/>
    <w:rsid w:val="0087687F"/>
    <w:pPr>
      <w:spacing w:before="100" w:beforeAutospacing="1" w:after="100" w:afterAutospacing="1"/>
    </w:pPr>
  </w:style>
  <w:style w:type="character" w:customStyle="1" w:styleId="h1">
    <w:name w:val="h1"/>
    <w:basedOn w:val="DefaultParagraphFont"/>
    <w:rsid w:val="0087687F"/>
  </w:style>
  <w:style w:type="character" w:customStyle="1" w:styleId="headingendmark">
    <w:name w:val="headingendmark"/>
    <w:basedOn w:val="DefaultParagraphFont"/>
    <w:rsid w:val="0087687F"/>
  </w:style>
  <w:style w:type="character" w:styleId="Hyperlink">
    <w:name w:val="Hyperlink"/>
    <w:basedOn w:val="DefaultParagraphFont"/>
    <w:uiPriority w:val="99"/>
    <w:unhideWhenUsed/>
    <w:rsid w:val="0087687F"/>
    <w:rPr>
      <w:color w:val="0000FF"/>
      <w:u w:val="single"/>
    </w:rPr>
  </w:style>
  <w:style w:type="paragraph" w:customStyle="1" w:styleId="bulletndent1">
    <w:name w:val="bulletındent1"/>
    <w:basedOn w:val="Normal"/>
    <w:rsid w:val="0087687F"/>
    <w:pPr>
      <w:spacing w:before="100" w:beforeAutospacing="1" w:after="100" w:afterAutospacing="1"/>
    </w:pPr>
  </w:style>
  <w:style w:type="character" w:customStyle="1" w:styleId="glyph">
    <w:name w:val="glyph"/>
    <w:basedOn w:val="DefaultParagraphFont"/>
    <w:rsid w:val="0087687F"/>
  </w:style>
  <w:style w:type="character" w:styleId="Emphasis">
    <w:name w:val="Emphasis"/>
    <w:basedOn w:val="DefaultParagraphFont"/>
    <w:uiPriority w:val="20"/>
    <w:qFormat/>
    <w:rsid w:val="0087687F"/>
    <w:rPr>
      <w:i/>
      <w:iCs/>
    </w:rPr>
  </w:style>
  <w:style w:type="character" w:customStyle="1" w:styleId="apple-converted-space">
    <w:name w:val="apple-converted-space"/>
    <w:basedOn w:val="DefaultParagraphFont"/>
    <w:rsid w:val="0087687F"/>
  </w:style>
  <w:style w:type="character" w:styleId="FollowedHyperlink">
    <w:name w:val="FollowedHyperlink"/>
    <w:basedOn w:val="DefaultParagraphFont"/>
    <w:uiPriority w:val="99"/>
    <w:semiHidden/>
    <w:unhideWhenUsed/>
    <w:rsid w:val="0087687F"/>
    <w:rPr>
      <w:color w:val="954F72" w:themeColor="followedHyperlink"/>
      <w:u w:val="single"/>
    </w:rPr>
  </w:style>
  <w:style w:type="character" w:customStyle="1" w:styleId="nowrap">
    <w:name w:val="nowrap"/>
    <w:basedOn w:val="DefaultParagraphFont"/>
    <w:rsid w:val="0087687F"/>
  </w:style>
  <w:style w:type="paragraph" w:customStyle="1" w:styleId="headinganchor">
    <w:name w:val="headinganchor"/>
    <w:basedOn w:val="Normal"/>
    <w:rsid w:val="0087687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7687F"/>
    <w:rPr>
      <w:b/>
      <w:bCs/>
    </w:rPr>
  </w:style>
  <w:style w:type="character" w:customStyle="1" w:styleId="highlighted">
    <w:name w:val="highlighted"/>
    <w:basedOn w:val="DefaultParagraphFont"/>
    <w:rsid w:val="0087687F"/>
  </w:style>
  <w:style w:type="character" w:customStyle="1" w:styleId="h2">
    <w:name w:val="h2"/>
    <w:basedOn w:val="DefaultParagraphFont"/>
    <w:rsid w:val="0087687F"/>
  </w:style>
  <w:style w:type="paragraph" w:customStyle="1" w:styleId="svarticle">
    <w:name w:val="svarticle"/>
    <w:basedOn w:val="Normal"/>
    <w:rsid w:val="0087687F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87687F"/>
  </w:style>
  <w:style w:type="paragraph" w:customStyle="1" w:styleId="paragraph">
    <w:name w:val="paragraph"/>
    <w:basedOn w:val="Normal"/>
    <w:rsid w:val="0087687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7687F"/>
  </w:style>
  <w:style w:type="character" w:customStyle="1" w:styleId="spellingerror">
    <w:name w:val="spellingerror"/>
    <w:basedOn w:val="DefaultParagraphFont"/>
    <w:rsid w:val="0087687F"/>
  </w:style>
  <w:style w:type="character" w:customStyle="1" w:styleId="eop">
    <w:name w:val="eop"/>
    <w:basedOn w:val="DefaultParagraphFont"/>
    <w:rsid w:val="0087687F"/>
  </w:style>
  <w:style w:type="character" w:styleId="CommentReference">
    <w:name w:val="annotation reference"/>
    <w:basedOn w:val="DefaultParagraphFont"/>
    <w:uiPriority w:val="99"/>
    <w:semiHidden/>
    <w:unhideWhenUsed/>
    <w:rsid w:val="0087687F"/>
    <w:rPr>
      <w:sz w:val="16"/>
      <w:szCs w:val="16"/>
    </w:rPr>
  </w:style>
  <w:style w:type="paragraph" w:styleId="CommentText">
    <w:name w:val="annotation text"/>
    <w:basedOn w:val="Normal"/>
    <w:link w:val="AklamaMetniChar"/>
    <w:uiPriority w:val="99"/>
    <w:unhideWhenUsed/>
    <w:rsid w:val="0087687F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klamaMetniChar">
    <w:name w:val="Açıklama Metni Char"/>
    <w:basedOn w:val="DefaultParagraphFont"/>
    <w:link w:val="CommentText"/>
    <w:uiPriority w:val="99"/>
    <w:rsid w:val="0087687F"/>
    <w:rPr>
      <w:rFonts w:eastAsiaTheme="minorEastAsia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AklamaKonusuChar"/>
    <w:uiPriority w:val="99"/>
    <w:semiHidden/>
    <w:unhideWhenUsed/>
    <w:rsid w:val="0087687F"/>
    <w:rPr>
      <w:b/>
      <w:bCs/>
    </w:rPr>
  </w:style>
  <w:style w:type="character" w:customStyle="1" w:styleId="AklamaKonusuChar">
    <w:name w:val="Açıklama Konusu Char"/>
    <w:basedOn w:val="AklamaMetniChar"/>
    <w:link w:val="CommentSubject"/>
    <w:uiPriority w:val="99"/>
    <w:semiHidden/>
    <w:rsid w:val="0087687F"/>
    <w:rPr>
      <w:rFonts w:eastAsiaTheme="minorEastAsia"/>
      <w:b/>
      <w:bCs/>
      <w:sz w:val="20"/>
      <w:szCs w:val="20"/>
      <w:lang w:eastAsia="tr-TR"/>
    </w:rPr>
  </w:style>
  <w:style w:type="paragraph" w:styleId="BalloonText">
    <w:name w:val="Balloon Text"/>
    <w:basedOn w:val="Normal"/>
    <w:link w:val="BalonMetniChar"/>
    <w:uiPriority w:val="99"/>
    <w:semiHidden/>
    <w:unhideWhenUsed/>
    <w:rsid w:val="0087687F"/>
    <w:rPr>
      <w:rFonts w:ascii="Tahoma" w:hAnsi="Tahoma" w:eastAsiaTheme="minorEastAsi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87687F"/>
    <w:rPr>
      <w:rFonts w:ascii="Tahoma" w:hAnsi="Tahoma" w:eastAsiaTheme="minorEastAsia" w:cs="Tahoma"/>
      <w:sz w:val="16"/>
      <w:szCs w:val="16"/>
      <w:lang w:eastAsia="tr-TR"/>
    </w:rPr>
  </w:style>
  <w:style w:type="character" w:customStyle="1" w:styleId="medcalcfontcctab">
    <w:name w:val="medcalcfontcctab"/>
    <w:basedOn w:val="DefaultParagraphFont"/>
    <w:rsid w:val="0087687F"/>
  </w:style>
  <w:style w:type="paragraph" w:customStyle="1" w:styleId="bulletindent1">
    <w:name w:val="bulletindent1"/>
    <w:basedOn w:val="Normal"/>
    <w:rsid w:val="0087687F"/>
    <w:pPr>
      <w:spacing w:before="100" w:beforeAutospacing="1" w:after="100" w:afterAutospacing="1"/>
    </w:pPr>
  </w:style>
  <w:style w:type="character" w:customStyle="1" w:styleId="cit">
    <w:name w:val="cit"/>
    <w:basedOn w:val="DefaultParagraphFont"/>
    <w:rsid w:val="0087687F"/>
  </w:style>
  <w:style w:type="character" w:customStyle="1" w:styleId="fm-vol-iss-date">
    <w:name w:val="fm-vol-iss-date"/>
    <w:basedOn w:val="DefaultParagraphFont"/>
    <w:rsid w:val="0087687F"/>
  </w:style>
  <w:style w:type="character" w:customStyle="1" w:styleId="doi">
    <w:name w:val="doi"/>
    <w:basedOn w:val="DefaultParagraphFont"/>
    <w:rsid w:val="0087687F"/>
  </w:style>
  <w:style w:type="character" w:customStyle="1" w:styleId="fm-citation-ids-label">
    <w:name w:val="fm-citation-ids-label"/>
    <w:basedOn w:val="DefaultParagraphFont"/>
    <w:rsid w:val="0087687F"/>
  </w:style>
  <w:style w:type="character" w:customStyle="1" w:styleId="title-text">
    <w:name w:val="title-text"/>
    <w:basedOn w:val="DefaultParagraphFont"/>
    <w:rsid w:val="0087687F"/>
  </w:style>
  <w:style w:type="character" w:customStyle="1" w:styleId="published-date">
    <w:name w:val="published-date"/>
    <w:basedOn w:val="DefaultParagraphFont"/>
    <w:rsid w:val="0087687F"/>
  </w:style>
  <w:style w:type="character" w:customStyle="1" w:styleId="subhead-sans">
    <w:name w:val="subhead-sans"/>
    <w:basedOn w:val="DefaultParagraphFont"/>
    <w:rsid w:val="0087687F"/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87687F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DefaultParagraphFont"/>
    <w:uiPriority w:val="99"/>
    <w:semiHidden/>
    <w:unhideWhenUsed/>
    <w:rsid w:val="0087687F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87687F"/>
    <w:rPr>
      <w:rFonts w:eastAsiaTheme="minorEastAsia"/>
      <w:sz w:val="22"/>
      <w:szCs w:val="22"/>
      <w:lang w:eastAsia="tr-TR"/>
    </w:rPr>
  </w:style>
  <w:style w:type="paragraph" w:customStyle="1" w:styleId="title1">
    <w:name w:val="title1"/>
    <w:basedOn w:val="Normal"/>
    <w:rsid w:val="0087687F"/>
    <w:rPr>
      <w:sz w:val="27"/>
      <w:szCs w:val="27"/>
    </w:rPr>
  </w:style>
  <w:style w:type="paragraph" w:customStyle="1" w:styleId="desc2">
    <w:name w:val="desc2"/>
    <w:basedOn w:val="Normal"/>
    <w:rsid w:val="0087687F"/>
    <w:rPr>
      <w:sz w:val="26"/>
      <w:szCs w:val="26"/>
    </w:rPr>
  </w:style>
  <w:style w:type="paragraph" w:customStyle="1" w:styleId="details1">
    <w:name w:val="details1"/>
    <w:basedOn w:val="Normal"/>
    <w:rsid w:val="0087687F"/>
    <w:rPr>
      <w:sz w:val="22"/>
      <w:szCs w:val="22"/>
    </w:rPr>
  </w:style>
  <w:style w:type="character" w:customStyle="1" w:styleId="jrnl">
    <w:name w:val="jrnl"/>
    <w:basedOn w:val="DefaultParagraphFont"/>
    <w:rsid w:val="0087687F"/>
  </w:style>
  <w:style w:type="character" w:customStyle="1" w:styleId="reference2">
    <w:name w:val="reference2"/>
    <w:basedOn w:val="DefaultParagraphFont"/>
    <w:rsid w:val="0087687F"/>
  </w:style>
  <w:style w:type="paragraph" w:customStyle="1" w:styleId="p">
    <w:name w:val="p"/>
    <w:basedOn w:val="Normal"/>
    <w:rsid w:val="0087687F"/>
    <w:pPr>
      <w:spacing w:before="100" w:beforeAutospacing="1" w:after="100" w:afterAutospacing="1"/>
    </w:pPr>
  </w:style>
  <w:style w:type="character" w:customStyle="1" w:styleId="element-citation">
    <w:name w:val="element-citation"/>
    <w:basedOn w:val="DefaultParagraphFont"/>
    <w:rsid w:val="0087687F"/>
  </w:style>
  <w:style w:type="character" w:customStyle="1" w:styleId="ref-journal">
    <w:name w:val="ref-journal"/>
    <w:basedOn w:val="DefaultParagraphFont"/>
    <w:rsid w:val="0087687F"/>
  </w:style>
  <w:style w:type="character" w:customStyle="1" w:styleId="ref-vol">
    <w:name w:val="ref-vol"/>
    <w:basedOn w:val="DefaultParagraphFont"/>
    <w:rsid w:val="0087687F"/>
  </w:style>
  <w:style w:type="character" w:customStyle="1" w:styleId="A0">
    <w:name w:val="A0"/>
    <w:uiPriority w:val="99"/>
    <w:rsid w:val="0087687F"/>
    <w:rPr>
      <w:rFonts w:cs="Times"/>
      <w:color w:val="000000"/>
      <w:sz w:val="18"/>
      <w:szCs w:val="18"/>
    </w:rPr>
  </w:style>
  <w:style w:type="paragraph" w:customStyle="1" w:styleId="xydpa63fa9c4yiv7303835055ydpbaf6fb72yiv8453841409ydp3fb8dab1msonormal">
    <w:name w:val="x_ydpa63fa9c4yiv7303835055ydpbaf6fb72yiv8453841409ydp3fb8dab1msonormal"/>
    <w:basedOn w:val="Normal"/>
    <w:rsid w:val="0087687F"/>
    <w:pPr>
      <w:spacing w:before="100" w:beforeAutospacing="1" w:after="100" w:afterAutospacing="1"/>
    </w:pPr>
  </w:style>
  <w:style w:type="paragraph" w:customStyle="1" w:styleId="Saptanm">
    <w:name w:val="Saptanmış"/>
    <w:rsid w:val="008768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tr-TR"/>
    </w:rPr>
  </w:style>
  <w:style w:type="paragraph" w:customStyle="1" w:styleId="xydp98b0ef9amsonormal">
    <w:name w:val="x_ydp98b0ef9amsonormal"/>
    <w:basedOn w:val="Normal"/>
    <w:rsid w:val="0087687F"/>
    <w:pPr>
      <w:spacing w:before="100" w:beforeAutospacing="1" w:after="100" w:afterAutospacing="1"/>
    </w:pPr>
  </w:style>
  <w:style w:type="character" w:customStyle="1" w:styleId="xydp98b0ef9amsohyperlink">
    <w:name w:val="x_ydp98b0ef9amsohyperlink"/>
    <w:basedOn w:val="DefaultParagraphFont"/>
    <w:rsid w:val="0087687F"/>
  </w:style>
  <w:style w:type="character" w:customStyle="1" w:styleId="user-generated">
    <w:name w:val="user-generated"/>
    <w:basedOn w:val="DefaultParagraphFont"/>
    <w:rsid w:val="0087687F"/>
  </w:style>
  <w:style w:type="character" w:customStyle="1" w:styleId="zmlenmeyenBahsetme3">
    <w:name w:val="Çözümlenmeyen Bahsetme3"/>
    <w:basedOn w:val="DefaultParagraphFont"/>
    <w:uiPriority w:val="99"/>
    <w:semiHidden/>
    <w:unhideWhenUsed/>
    <w:rsid w:val="0087687F"/>
    <w:rPr>
      <w:color w:val="808080"/>
      <w:shd w:val="clear" w:color="auto" w:fill="E6E6E6"/>
    </w:rPr>
  </w:style>
  <w:style w:type="paragraph" w:customStyle="1" w:styleId="xydpfcd73491msonormal">
    <w:name w:val="x_ydpfcd73491msonormal"/>
    <w:basedOn w:val="Normal"/>
    <w:rsid w:val="0087687F"/>
    <w:pPr>
      <w:spacing w:before="100" w:beforeAutospacing="1" w:after="100" w:afterAutospacing="1"/>
    </w:pPr>
  </w:style>
  <w:style w:type="character" w:customStyle="1" w:styleId="HTMLPreformattedChar">
    <w:name w:val="HTML Preformatted Char"/>
    <w:basedOn w:val="DefaultParagraphFont"/>
    <w:uiPriority w:val="99"/>
    <w:rsid w:val="0087687F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E20"/>
    <w:rPr>
      <w:color w:val="605E5C"/>
      <w:shd w:val="clear" w:color="auto" w:fill="E1DFDD"/>
    </w:rPr>
  </w:style>
  <w:style w:type="paragraph" w:customStyle="1" w:styleId="Normal1">
    <w:name w:val="Normal1"/>
    <w:rsid w:val="00E6620A"/>
    <w:rPr>
      <w:rFonts w:ascii="Times New Roman" w:eastAsia="Times New Roman" w:hAnsi="Times New Roman" w:cs="Times New Roman"/>
      <w:lang w:eastAsia="tr-TR"/>
    </w:rPr>
  </w:style>
  <w:style w:type="paragraph" w:styleId="Header">
    <w:name w:val="header"/>
    <w:basedOn w:val="Normal"/>
    <w:link w:val="stBilgiChar"/>
    <w:uiPriority w:val="99"/>
    <w:unhideWhenUsed/>
    <w:rsid w:val="00504EA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uiPriority w:val="99"/>
    <w:rsid w:val="00504EA8"/>
    <w:rPr>
      <w:rFonts w:ascii="Times New Roman" w:eastAsia="Times New Roman" w:hAnsi="Times New Roman" w:cs="Times New Roman"/>
      <w:lang w:eastAsia="tr-TR"/>
    </w:rPr>
  </w:style>
  <w:style w:type="paragraph" w:styleId="Footer">
    <w:name w:val="footer"/>
    <w:basedOn w:val="Normal"/>
    <w:link w:val="AltBilgiChar"/>
    <w:uiPriority w:val="99"/>
    <w:unhideWhenUsed/>
    <w:rsid w:val="00504EA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uiPriority w:val="99"/>
    <w:rsid w:val="00504EA8"/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Tugba Obekli</dc:creator>
  <cp:lastModifiedBy>Tugba Obekli</cp:lastModifiedBy>
  <cp:revision>3</cp:revision>
  <dcterms:created xsi:type="dcterms:W3CDTF">2021-10-25T06:25:00Z</dcterms:created>
  <dcterms:modified xsi:type="dcterms:W3CDTF">2021-10-25T06:30:00Z</dcterms:modified>
</cp:coreProperties>
</file>