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0876" w14:textId="77777777" w:rsidR="00E9431A" w:rsidRPr="00D23A56" w:rsidRDefault="00E9431A" w:rsidP="00E9431A">
      <w:pPr>
        <w:jc w:val="both"/>
        <w:rPr>
          <w:rFonts w:asciiTheme="minorHAnsi" w:hAnsiTheme="minorHAnsi"/>
          <w:b/>
          <w:color w:val="FF0000"/>
          <w:u w:val="single"/>
        </w:rPr>
      </w:pPr>
      <w:r w:rsidRPr="00D23A56">
        <w:rPr>
          <w:rFonts w:asciiTheme="minorHAnsi" w:hAnsiTheme="minorHAnsi"/>
          <w:b/>
          <w:color w:val="FF0000"/>
          <w:u w:val="single"/>
        </w:rPr>
        <w:t xml:space="preserve">TIME </w:t>
      </w:r>
      <w:proofErr w:type="spellStart"/>
      <w:r w:rsidRPr="00D23A56">
        <w:rPr>
          <w:rFonts w:asciiTheme="minorHAnsi" w:hAnsiTheme="minorHAnsi"/>
          <w:b/>
          <w:color w:val="FF0000"/>
          <w:u w:val="single"/>
        </w:rPr>
        <w:t>to</w:t>
      </w:r>
      <w:proofErr w:type="spellEnd"/>
      <w:r w:rsidRPr="00D23A56">
        <w:rPr>
          <w:rFonts w:asciiTheme="minorHAnsi" w:hAnsiTheme="minorHAnsi"/>
          <w:b/>
          <w:color w:val="FF0000"/>
          <w:u w:val="single"/>
        </w:rPr>
        <w:t xml:space="preserve"> START- YAŞLIDA BAŞLANMASI UYGUN OLAN İLAÇLAR</w:t>
      </w:r>
    </w:p>
    <w:p w14:paraId="501877C0" w14:textId="77777777" w:rsidR="00E9431A" w:rsidRPr="00D23A56" w:rsidRDefault="00E9431A" w:rsidP="00E9431A">
      <w:pPr>
        <w:jc w:val="both"/>
        <w:rPr>
          <w:rFonts w:asciiTheme="minorHAnsi" w:hAnsiTheme="minorHAnsi"/>
          <w:b/>
          <w:color w:val="FF0000"/>
        </w:rPr>
      </w:pPr>
    </w:p>
    <w:p w14:paraId="55B6D545" w14:textId="2BC44ABD" w:rsidR="00E9431A" w:rsidRPr="00D23A56" w:rsidRDefault="00A76680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proofErr w:type="spellStart"/>
      <w:r w:rsidRPr="00A76680">
        <w:rPr>
          <w:rFonts w:asciiTheme="minorHAnsi" w:hAnsiTheme="minorHAnsi"/>
          <w:b/>
          <w:color w:val="FF0000"/>
        </w:rPr>
        <w:t>Die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Anwendung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dieser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Arzneimittelgruppe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bei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Zuständen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innerhalb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der </w:t>
      </w:r>
      <w:proofErr w:type="spellStart"/>
      <w:r w:rsidRPr="00A76680">
        <w:rPr>
          <w:rFonts w:asciiTheme="minorHAnsi" w:hAnsiTheme="minorHAnsi"/>
          <w:b/>
          <w:color w:val="FF0000"/>
        </w:rPr>
        <w:t>Kriterien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hat </w:t>
      </w:r>
      <w:proofErr w:type="spellStart"/>
      <w:r w:rsidRPr="00A76680">
        <w:rPr>
          <w:rFonts w:asciiTheme="minorHAnsi" w:hAnsiTheme="minorHAnsi"/>
          <w:b/>
          <w:color w:val="FF0000"/>
        </w:rPr>
        <w:t>eine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Indikation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und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einen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potentiellen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Nutzen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bei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älteren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Menschen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, </w:t>
      </w:r>
      <w:proofErr w:type="spellStart"/>
      <w:r w:rsidRPr="00A76680">
        <w:rPr>
          <w:rFonts w:asciiTheme="minorHAnsi" w:hAnsiTheme="minorHAnsi"/>
          <w:b/>
          <w:color w:val="FF0000"/>
        </w:rPr>
        <w:t>kann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jedoch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in der </w:t>
      </w:r>
      <w:proofErr w:type="spellStart"/>
      <w:r w:rsidRPr="00A76680">
        <w:rPr>
          <w:rFonts w:asciiTheme="minorHAnsi" w:hAnsiTheme="minorHAnsi"/>
          <w:b/>
          <w:color w:val="FF0000"/>
        </w:rPr>
        <w:t>klinischen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Praxis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oft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übersehen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werden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oder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wird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ohne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triftigen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zusätzlichen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Grund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aufgrund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des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fortgeschrittenen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Alters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nicht</w:t>
      </w:r>
      <w:proofErr w:type="spellEnd"/>
      <w:r w:rsidRPr="00A76680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76680">
        <w:rPr>
          <w:rFonts w:asciiTheme="minorHAnsi" w:hAnsiTheme="minorHAnsi"/>
          <w:b/>
          <w:color w:val="FF0000"/>
        </w:rPr>
        <w:t>verabreicht</w:t>
      </w:r>
      <w:proofErr w:type="spellEnd"/>
      <w:r w:rsidRPr="00A76680">
        <w:rPr>
          <w:rFonts w:asciiTheme="minorHAnsi" w:hAnsiTheme="minorHAnsi"/>
          <w:b/>
          <w:color w:val="FF0000"/>
        </w:rPr>
        <w:t>.</w:t>
      </w:r>
      <w:r w:rsidR="00E9431A" w:rsidRPr="00D23A56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Nichteinnahme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dieser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Medikamente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bei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einem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Zustand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innerhalb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der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Kriterien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wird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als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„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potenziell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unangemessener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>
        <w:rPr>
          <w:rFonts w:asciiTheme="minorHAnsi" w:hAnsiTheme="minorHAnsi"/>
          <w:b/>
          <w:color w:val="FF0000"/>
        </w:rPr>
        <w:t>Medikamenten</w:t>
      </w:r>
      <w:r w:rsidR="002B2322" w:rsidRPr="002B2322">
        <w:rPr>
          <w:rFonts w:asciiTheme="minorHAnsi" w:hAnsiTheme="minorHAnsi"/>
          <w:b/>
          <w:color w:val="FF0000"/>
        </w:rPr>
        <w:t>konsum</w:t>
      </w:r>
      <w:proofErr w:type="spellEnd"/>
      <w:r w:rsidR="002B2322">
        <w:rPr>
          <w:rFonts w:asciiTheme="minorHAnsi" w:hAnsiTheme="minorHAnsi"/>
          <w:b/>
          <w:color w:val="FF0000"/>
        </w:rPr>
        <w:t xml:space="preserve"> </w:t>
      </w:r>
      <w:r w:rsidR="002B2322" w:rsidRPr="002B2322">
        <w:rPr>
          <w:rFonts w:asciiTheme="minorHAnsi" w:hAnsiTheme="minorHAnsi"/>
          <w:b/>
          <w:color w:val="FF0000"/>
        </w:rPr>
        <w:t>“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angesehen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.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Ärzte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sollten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Entscheidungen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treffen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,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indem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sie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den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potenziellen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Nutzen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und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Schaden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des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Arzneimittels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für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den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Patienten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(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Nutzen-Schaden-Verhältnis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),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erwartete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Lebenserwartung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und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Behandlungsziele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,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gemäß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den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Präferenzen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des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Patienten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/der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Pflegekraft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festgelegt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werden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, mit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allen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Merkmalen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des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Patienten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berücksichtigen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>.</w:t>
      </w:r>
      <w:r w:rsidR="00E9431A" w:rsidRPr="00D23A56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Ärzte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können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es in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einigen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Fällen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für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angebracht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halten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,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diese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Gruppe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von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Medikamenten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nicht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zu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2B2322" w:rsidRPr="002B2322">
        <w:rPr>
          <w:rFonts w:asciiTheme="minorHAnsi" w:hAnsiTheme="minorHAnsi"/>
          <w:b/>
          <w:color w:val="FF0000"/>
        </w:rPr>
        <w:t>verwenden</w:t>
      </w:r>
      <w:proofErr w:type="spellEnd"/>
      <w:r w:rsidR="002B2322" w:rsidRPr="002B2322">
        <w:rPr>
          <w:rFonts w:asciiTheme="minorHAnsi" w:hAnsiTheme="minorHAnsi"/>
          <w:b/>
          <w:color w:val="FF0000"/>
        </w:rPr>
        <w:t>.</w:t>
      </w:r>
    </w:p>
    <w:p w14:paraId="62208DB5" w14:textId="48A587AC" w:rsidR="00E9431A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296F98C0" w14:textId="384EF516" w:rsidR="00E6620A" w:rsidRPr="00E6620A" w:rsidRDefault="002B2322" w:rsidP="00E6620A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Um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die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klinische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Anwendung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zu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erleichtern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,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sind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Erläuterungen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zu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einigen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Kriterien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kursiv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und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mit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Präfix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* direkt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nach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den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Kriterien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angegeben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>.</w:t>
      </w:r>
    </w:p>
    <w:p w14:paraId="3943D245" w14:textId="77777777" w:rsidR="00E6620A" w:rsidRPr="00E6620A" w:rsidRDefault="00E6620A" w:rsidP="00E6620A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</w:rPr>
      </w:pPr>
    </w:p>
    <w:p w14:paraId="79E676B5" w14:textId="5D8E6ECE" w:rsidR="00E6620A" w:rsidRPr="00E6620A" w:rsidRDefault="002B2322" w:rsidP="00E6620A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  <w:u w:val="single"/>
        </w:rPr>
      </w:pP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Referenzen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beinhalten</w:t>
      </w:r>
      <w:proofErr w:type="spellEnd"/>
      <w:r w:rsidR="004D5423">
        <w:rPr>
          <w:rFonts w:ascii="Calibri" w:eastAsia="Calibri" w:hAnsi="Calibri" w:cs="Calibri"/>
          <w:bCs/>
          <w:i/>
          <w:sz w:val="22"/>
          <w:szCs w:val="22"/>
        </w:rPr>
        <w:t>;</w:t>
      </w:r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Referenzen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zu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den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Kriterien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und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Erläuterungen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,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falls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 w:rsidRPr="002B2322">
        <w:rPr>
          <w:rFonts w:ascii="Calibri" w:eastAsia="Calibri" w:hAnsi="Calibri" w:cs="Calibri"/>
          <w:bCs/>
          <w:i/>
          <w:sz w:val="22"/>
          <w:szCs w:val="22"/>
        </w:rPr>
        <w:t>verfügbar</w:t>
      </w:r>
      <w:proofErr w:type="spellEnd"/>
      <w:r w:rsidRPr="002B2322">
        <w:rPr>
          <w:rFonts w:ascii="Calibri" w:eastAsia="Calibri" w:hAnsi="Calibri" w:cs="Calibri"/>
          <w:bCs/>
          <w:i/>
          <w:sz w:val="22"/>
          <w:szCs w:val="22"/>
        </w:rPr>
        <w:t>.</w:t>
      </w:r>
    </w:p>
    <w:p w14:paraId="11529D77" w14:textId="77777777" w:rsidR="00E6620A" w:rsidRPr="00D23A56" w:rsidRDefault="00E6620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15E94A33" w14:textId="77777777" w:rsidR="00E9431A" w:rsidRPr="00D23A56" w:rsidRDefault="00E9431A" w:rsidP="0087687F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14:paraId="31D03A27" w14:textId="77777777"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14:paraId="5570A870" w14:textId="6BC9B95D" w:rsidR="00E9431A" w:rsidRPr="00D23A56" w:rsidRDefault="002B2322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TIME-</w:t>
      </w:r>
      <w:proofErr w:type="spellStart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to</w:t>
      </w:r>
      <w:proofErr w:type="spellEnd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-START-</w:t>
      </w:r>
      <w:proofErr w:type="spellStart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Kriterien</w:t>
      </w:r>
      <w:proofErr w:type="spellEnd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(mit </w:t>
      </w:r>
      <w:proofErr w:type="spellStart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Referenz</w:t>
      </w:r>
      <w:proofErr w:type="spellEnd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und</w:t>
      </w:r>
      <w:proofErr w:type="spellEnd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Erläuterung</w:t>
      </w:r>
      <w:proofErr w:type="spellEnd"/>
      <w:r w:rsidRPr="002B232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)</w:t>
      </w:r>
    </w:p>
    <w:p w14:paraId="5DFAC606" w14:textId="77777777" w:rsidR="00E9431A" w:rsidRPr="00D23A56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788BBF40" w14:textId="0B500FD8" w:rsidR="00E9431A" w:rsidRPr="00D23A56" w:rsidRDefault="00E9431A" w:rsidP="00E9431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</w:pPr>
      <w:r w:rsidRPr="00D23A56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A: </w:t>
      </w:r>
      <w:proofErr w:type="spellStart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Kriterien</w:t>
      </w:r>
      <w:proofErr w:type="spellEnd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für</w:t>
      </w:r>
      <w:proofErr w:type="spellEnd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das</w:t>
      </w:r>
      <w:proofErr w:type="spellEnd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2B2322" w:rsidRPr="002B232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Herz-Kreislauf-System</w:t>
      </w:r>
      <w:proofErr w:type="spellEnd"/>
      <w:r w:rsidRPr="00D23A56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.</w:t>
      </w:r>
    </w:p>
    <w:p w14:paraId="2434E9BF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1CF802A8" w14:textId="77777777" w:rsidR="00E9431A" w:rsidRPr="00D23A56" w:rsidRDefault="00E9431A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718A9855" w14:textId="77777777" w:rsidR="00E9431A" w:rsidRPr="00D23A56" w:rsidRDefault="00E9431A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6D02E2A5" w14:textId="0C3D9953" w:rsidR="0087687F" w:rsidRPr="00D23A56" w:rsidRDefault="0087687F" w:rsidP="004D5423">
      <w:pPr>
        <w:spacing w:before="100" w:beforeAutospacing="1" w:after="100" w:afterAutospacing="1"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A1.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Dokumentierte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atherosklerotische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Herzkrankheit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Anamnese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akutes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Koronarsyndrom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Koronar-Angioplastie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Stent/Koronararterien-Bypass-Transplantation/Abdominalaortenaneurysma),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dokumentierte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atherosklerotische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zerebrovaskuläre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Anamnese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ischämischen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Schlaganfalls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/TIA/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vorherige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Carotis-Endarteriektomie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symptomatische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unteren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Extremität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vorangegangener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Karotis-Krankheit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Endarteriektomie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Stenting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Sekundärprävention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sollte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Thrombozytenaggregationshemmer-Therapie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(Aspirin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Clopidogrel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eingeleitet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werden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.</w:t>
      </w:r>
    </w:p>
    <w:p w14:paraId="22BDD831" w14:textId="3ECB88E2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4D5423" w:rsidRPr="004D5423"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Einleitung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Aspirin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zur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primären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kardiovaskulären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Prävention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ist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in den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meisten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Fällen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nicht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angemessen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(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aufgrund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des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erhöhten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Risikos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für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intrakranielle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gastrointestinale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Blutungen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des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begrenzten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Cs/>
          <w:i/>
          <w:sz w:val="22"/>
          <w:szCs w:val="22"/>
        </w:rPr>
        <w:t>Nutzens</w:t>
      </w:r>
      <w:proofErr w:type="spellEnd"/>
      <w:r w:rsidR="004D5423" w:rsidRPr="004D5423">
        <w:rPr>
          <w:rFonts w:asciiTheme="minorHAnsi" w:hAnsiTheme="minorHAnsi"/>
          <w:bCs/>
          <w:i/>
          <w:sz w:val="22"/>
          <w:szCs w:val="22"/>
        </w:rPr>
        <w:t>).</w:t>
      </w:r>
    </w:p>
    <w:p w14:paraId="703454B2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2A21658" w14:textId="54CB269A" w:rsidR="0087687F" w:rsidRPr="00D23A56" w:rsidRDefault="0087687F" w:rsidP="004D5423">
      <w:pPr>
        <w:spacing w:after="100" w:afterAutospacing="1"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lastRenderedPageBreak/>
        <w:t xml:space="preserve">A2.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dokumentierter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atherosklerotischer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Herzkrankheit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akutes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Koronarsyndrom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koronarangioplastik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Stent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koronararterienbypass-Transplantation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abdominales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Aortenaneurysma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dokumentierter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zerebrovaskulärer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ischämischer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Schlaganfall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/GIA/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karotisendarterektomie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stentektomie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peripherer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arterieller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statin-Therapie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sekundären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Prävention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423" w:rsidRPr="004D5423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4D5423" w:rsidRPr="004D5423">
        <w:rPr>
          <w:rFonts w:asciiTheme="minorHAnsi" w:hAnsiTheme="minorHAnsi"/>
          <w:b/>
          <w:sz w:val="22"/>
          <w:szCs w:val="22"/>
        </w:rPr>
        <w:t>.</w:t>
      </w:r>
      <w:r w:rsidR="004D5423">
        <w:rPr>
          <w:rFonts w:asciiTheme="minorHAnsi" w:hAnsiTheme="minorHAnsi"/>
          <w:b/>
          <w:sz w:val="22"/>
          <w:szCs w:val="22"/>
        </w:rPr>
        <w:t xml:space="preserve"> </w:t>
      </w:r>
    </w:p>
    <w:p w14:paraId="243CBF49" w14:textId="77777777" w:rsidR="006C6C51" w:rsidRDefault="0087687F" w:rsidP="0087687F">
      <w:pPr>
        <w:spacing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>*</w:t>
      </w:r>
      <w:r w:rsidR="006C6C51" w:rsidRPr="006C6C51"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mit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einer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Lebenserwartung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&lt;2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Jahren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mit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terminaler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Demenz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im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Alter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&gt;85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Jahren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ist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der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erwartete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Nutzen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Statin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gering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;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statin-Nebenwirkungen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(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Myopathie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Lebertoxizität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...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etc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.)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sind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größer</w:t>
      </w:r>
      <w:proofErr w:type="spellEnd"/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14:paraId="3F3FF42D" w14:textId="48A82241" w:rsidR="0087687F" w:rsidRPr="00D23A56" w:rsidRDefault="0087687F" w:rsidP="0087687F">
      <w:pPr>
        <w:spacing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6C6C51" w:rsidRPr="006C6C51"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In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diesen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Fällen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sollte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Entscheidung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über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statin-Behandlung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durch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das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Prinzip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der Information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des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/der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Angehörigen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der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gemeinsamen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Entscheidungsfindung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bestimmt</w:t>
      </w:r>
      <w:proofErr w:type="spellEnd"/>
      <w:r w:rsidR="006C6C51" w:rsidRPr="006C6C51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C6C51" w:rsidRPr="006C6C51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14:paraId="40FEA825" w14:textId="7536F7AB" w:rsidR="003C46C7" w:rsidRPr="00D23A56" w:rsidRDefault="0087687F" w:rsidP="006C6C51">
      <w:pPr>
        <w:spacing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 </w:t>
      </w:r>
    </w:p>
    <w:p w14:paraId="04856B56" w14:textId="4BB5C5A5" w:rsidR="0087687F" w:rsidRPr="00D23A56" w:rsidRDefault="0087687F" w:rsidP="005130B0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A3.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systolischen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Blutdruck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dauerhaft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&gt;160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diastolischen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Blutdruck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dauerhaft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&gt;90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antihypertensive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.</w:t>
      </w:r>
      <w:r w:rsidR="006C6C51">
        <w:rPr>
          <w:rFonts w:asciiTheme="minorHAnsi" w:hAnsiTheme="minorHAnsi"/>
          <w:b/>
          <w:sz w:val="22"/>
          <w:szCs w:val="22"/>
        </w:rPr>
        <w:t xml:space="preserve"> </w:t>
      </w:r>
    </w:p>
    <w:p w14:paraId="3DA44B14" w14:textId="77777777" w:rsidR="00D43402" w:rsidRPr="00D23A56" w:rsidRDefault="00D43402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62E11E66" w14:textId="45AF2F00" w:rsidR="0087687F" w:rsidRPr="00D23A56" w:rsidRDefault="0087687F" w:rsidP="00D43402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A4.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chronischem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nicht-valvulärem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Vorhofflimmern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Einleitung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OAK (Vitamin-K-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Antagonisten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direkte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Thrombinhemmer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Faktor-Xa-Hemmer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unter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Berücksichtigung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CHA2DS2-VASc-Scores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.</w:t>
      </w:r>
      <w:r w:rsidR="00751A5B">
        <w:rPr>
          <w:rFonts w:asciiTheme="minorHAnsi" w:hAnsiTheme="minorHAnsi"/>
          <w:b/>
          <w:sz w:val="22"/>
          <w:szCs w:val="22"/>
        </w:rPr>
        <w:t xml:space="preserve"> </w:t>
      </w:r>
      <w:r w:rsidRPr="00D23A56">
        <w:rPr>
          <w:rFonts w:asciiTheme="minorHAnsi" w:hAnsiTheme="minorHAnsi"/>
          <w:b/>
          <w:sz w:val="22"/>
          <w:szCs w:val="22"/>
        </w:rPr>
        <w:t xml:space="preserve">  </w:t>
      </w:r>
    </w:p>
    <w:p w14:paraId="71580A9D" w14:textId="6D71ADFC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sz w:val="22"/>
          <w:szCs w:val="22"/>
        </w:rPr>
        <w:t>*</w:t>
      </w:r>
      <w:r w:rsidR="00751A5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Es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wird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empfohlen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Nicht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-Vitamin-K-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Antagonisten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(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NOAKs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)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anstelle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von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Vitamin-K-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Antagonisten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zu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bevorzugen</w:t>
      </w:r>
      <w:proofErr w:type="spellEnd"/>
      <w:r w:rsidR="00751A5B" w:rsidRPr="00751A5B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59C8B06C" w14:textId="77777777" w:rsidR="00D43402" w:rsidRPr="00D23A56" w:rsidRDefault="00D43402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32514A7" w14:textId="3803B554" w:rsidR="0087687F" w:rsidRPr="00D23A56" w:rsidRDefault="0087687F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A5.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systolischen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(EF &lt;= 40 %)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ST-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Hebungs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-MI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ACE-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Hemmer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751A5B">
        <w:rPr>
          <w:rFonts w:asciiTheme="minorHAnsi" w:hAnsiTheme="minorHAnsi"/>
          <w:b/>
          <w:sz w:val="22"/>
          <w:szCs w:val="22"/>
        </w:rPr>
        <w:t>.</w:t>
      </w:r>
    </w:p>
    <w:p w14:paraId="0368180C" w14:textId="77777777" w:rsidR="00D43402" w:rsidRPr="00D23A56" w:rsidRDefault="00D43402" w:rsidP="00D4340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B6F3EE1" w14:textId="77777777" w:rsidR="00D43402" w:rsidRPr="00D23A56" w:rsidRDefault="00D43402" w:rsidP="00D4340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5CC1243" w14:textId="3FA591CC"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A6.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systolischen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(EF &lt;= 40%)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ischämischen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Herzkrankheit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aufgrund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antianginöser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chronischer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ischämischer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Herzkrankheit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sterblichkeitsmindernde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in der Post-MI-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Periode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Betablocker-Therapie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Bisoprolol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verzögerte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Freisetzung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Metoprololsuccinat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Carvedilol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Nebivolol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systolischer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HF)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ischämischer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Herzkrankheit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r w:rsidR="00751A5B">
        <w:rPr>
          <w:rFonts w:asciiTheme="minorHAnsi" w:hAnsiTheme="minorHAnsi"/>
          <w:b/>
          <w:sz w:val="22"/>
          <w:szCs w:val="22"/>
        </w:rPr>
        <w:t xml:space="preserve">mit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jede</w:t>
      </w:r>
      <w:r w:rsidR="00751A5B">
        <w:rPr>
          <w:rFonts w:asciiTheme="minorHAnsi" w:hAnsiTheme="minorHAnsi"/>
          <w:b/>
          <w:sz w:val="22"/>
          <w:szCs w:val="22"/>
        </w:rPr>
        <w:t>m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Betablocker</w:t>
      </w:r>
      <w:proofErr w:type="spellEnd"/>
      <w:r w:rsidR="00751A5B">
        <w:rPr>
          <w:rFonts w:asciiTheme="minorHAnsi" w:hAnsiTheme="minorHAnsi"/>
          <w:b/>
          <w:sz w:val="22"/>
          <w:szCs w:val="22"/>
        </w:rPr>
        <w:t>)</w:t>
      </w:r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.</w:t>
      </w:r>
    </w:p>
    <w:p w14:paraId="78DB50A7" w14:textId="2B38C0F9" w:rsidR="0087687F" w:rsidRPr="00D23A56" w:rsidRDefault="0087687F" w:rsidP="00751A5B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751A5B" w:rsidRPr="00751A5B"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Die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Betablocker-Therapie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kann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unter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Abwägung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des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potenziellen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Nutzen-Risiko-Verhältnisses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3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Jahre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nach</w:t>
      </w:r>
      <w:proofErr w:type="spellEnd"/>
      <w:proofErr w:type="gram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einem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Myokardinfarkt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abgesetzt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werden</w:t>
      </w:r>
      <w:proofErr w:type="spellEnd"/>
      <w:r w:rsidR="00751A5B" w:rsidRPr="00751A5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.</w:t>
      </w:r>
    </w:p>
    <w:p w14:paraId="10B21D2B" w14:textId="77777777" w:rsidR="003C46C7" w:rsidRPr="00D23A56" w:rsidRDefault="003C46C7" w:rsidP="0087687F">
      <w:pPr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C15AFE6" w14:textId="78689AB2" w:rsidR="00D43402" w:rsidRPr="00D23A56" w:rsidRDefault="003C46C7" w:rsidP="00D43402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B </w:t>
      </w:r>
      <w:proofErr w:type="spellStart"/>
      <w:r w:rsidR="00751A5B" w:rsidRPr="00751A5B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751A5B" w:rsidRPr="00751A5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751A5B" w:rsidRPr="00751A5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8"/>
          <w:szCs w:val="28"/>
        </w:rPr>
        <w:t>zentralen</w:t>
      </w:r>
      <w:proofErr w:type="spellEnd"/>
      <w:r w:rsidR="00751A5B" w:rsidRPr="00751A5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8"/>
          <w:szCs w:val="28"/>
        </w:rPr>
        <w:t>Nervensystems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4C5FAEF4" w14:textId="77777777" w:rsidR="00D43402" w:rsidRPr="00D23A56" w:rsidRDefault="003C46C7" w:rsidP="00D43402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 </w:t>
      </w:r>
    </w:p>
    <w:p w14:paraId="40DCC3E7" w14:textId="571642EC" w:rsidR="003C46C7" w:rsidRPr="00D23A56" w:rsidRDefault="0087687F" w:rsidP="00751A5B">
      <w:pPr>
        <w:contextualSpacing/>
        <w:jc w:val="both"/>
        <w:rPr>
          <w:rFonts w:asciiTheme="minorHAnsi" w:hAnsiTheme="minorHAnsi"/>
          <w:sz w:val="22"/>
          <w:szCs w:val="22"/>
          <w:lang w:eastAsia="en-GB"/>
        </w:rPr>
      </w:pPr>
      <w:r w:rsidRPr="00D23A56">
        <w:rPr>
          <w:rFonts w:asciiTheme="minorHAnsi" w:hAnsiTheme="minorHAnsi"/>
          <w:b/>
          <w:sz w:val="22"/>
          <w:szCs w:val="22"/>
        </w:rPr>
        <w:lastRenderedPageBreak/>
        <w:t xml:space="preserve">B1. </w:t>
      </w:r>
      <w:r w:rsidR="00751A5B" w:rsidRPr="00751A5B">
        <w:rPr>
          <w:rFonts w:asciiTheme="minorHAnsi" w:hAnsiTheme="minorHAnsi"/>
          <w:b/>
          <w:sz w:val="22"/>
          <w:szCs w:val="22"/>
        </w:rPr>
        <w:t xml:space="preserve">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antidepressive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Major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Depression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.</w:t>
      </w:r>
    </w:p>
    <w:p w14:paraId="76155177" w14:textId="77777777" w:rsidR="00D43402" w:rsidRPr="00D23A56" w:rsidRDefault="00D43402" w:rsidP="00D43402">
      <w:pPr>
        <w:jc w:val="both"/>
        <w:rPr>
          <w:rFonts w:asciiTheme="minorHAnsi" w:eastAsia="LiberationSerif" w:hAnsiTheme="minorHAnsi"/>
          <w:sz w:val="22"/>
          <w:szCs w:val="22"/>
        </w:rPr>
      </w:pPr>
    </w:p>
    <w:p w14:paraId="2AE34582" w14:textId="74B60770" w:rsidR="0087687F" w:rsidRPr="00D23A56" w:rsidRDefault="0087687F" w:rsidP="00D43402">
      <w:pPr>
        <w:spacing w:line="360" w:lineRule="auto"/>
        <w:jc w:val="both"/>
        <w:rPr>
          <w:rFonts w:asciiTheme="minorHAnsi" w:eastAsia="LiberationSerif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>B2</w:t>
      </w:r>
      <w:r w:rsidR="00751A5B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anhaltender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schwerer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Funktionsfähigkeit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beeinträchtigt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mit SSRI (SNRI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Pregabalin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wenn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SSRI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kontraindiziert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751A5B" w:rsidRPr="00751A5B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751A5B" w:rsidRPr="00751A5B">
        <w:rPr>
          <w:rFonts w:asciiTheme="minorHAnsi" w:hAnsiTheme="minorHAnsi"/>
          <w:b/>
          <w:sz w:val="22"/>
          <w:szCs w:val="22"/>
        </w:rPr>
        <w:t>.</w:t>
      </w:r>
    </w:p>
    <w:p w14:paraId="41B5723A" w14:textId="65602933" w:rsidR="004613B7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Buspiron-Monotherapie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kann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zur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Behandlung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Angstzuständen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Patienten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eingesetzt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werden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SSRIs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nicht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profitieren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oder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diese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nicht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vertragen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wenn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keine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begleitende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Depression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vorliegt</w:t>
      </w:r>
      <w:proofErr w:type="spellEnd"/>
      <w:r w:rsidR="00E347AC" w:rsidRPr="00E347AC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.</w:t>
      </w:r>
    </w:p>
    <w:p w14:paraId="2E8512F8" w14:textId="4A330B70" w:rsidR="0087687F" w:rsidRPr="00D23A56" w:rsidRDefault="008A4F48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B3. </w:t>
      </w:r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angemessen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eine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ChEi-Therapie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im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frühen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bis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mittleren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Stadium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der Alzheimer-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Krankheit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beginnen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2358A69" w14:textId="32F123F3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Hinweise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auf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den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Beginn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einer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ChEi-Therapie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Alzheimer-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Krankheit</w:t>
      </w:r>
      <w:proofErr w:type="spellEnd"/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1B0BC194" w14:textId="7991D902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Beweise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FDA-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Zulassung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alle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3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Cholinesterase-Hemmer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(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Donepezil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Galantamin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Rivastigmin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)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frühen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bis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mittelschweren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Alzheimer-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Krankheit</w:t>
      </w:r>
      <w:proofErr w:type="spellEnd"/>
      <w:r w:rsid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. </w:t>
      </w:r>
    </w:p>
    <w:p w14:paraId="2D0DFFAB" w14:textId="40A9A73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Beweise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FDA-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Zulassung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Donepezil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fortgeschrittener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Alzheimer-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Krankheit</w:t>
      </w:r>
      <w:proofErr w:type="spellEnd"/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0D15FFBE" w14:textId="1F962E5D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Beweise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eine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FDA-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Zulassung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Einleitung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Rivastigmin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Parkinson-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Krankheit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. 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Studien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zeigen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dass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Donepezil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Parkinson-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Vorteil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sein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kann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2000CD7A" w14:textId="28A6F311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den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Einsatz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mit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Lewy-Körperchen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vaskulärer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keine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definitiven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Belege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aber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seine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Anwendung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kann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empfohlen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werden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59D796AA" w14:textId="077A9C94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Studien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zeigen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dass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Donepezil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Rivastigmin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mit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Lewy-Körpern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Vorteil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sein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können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.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FDA-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Zulassung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liegt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keines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mit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Lewy-Körpern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vor</w:t>
      </w:r>
      <w:proofErr w:type="spellEnd"/>
      <w:r w:rsid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. </w:t>
      </w:r>
    </w:p>
    <w:p w14:paraId="3EBBCD54" w14:textId="23640A16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gibt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Studien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zeigen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dass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Cholinesterasehemmer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vaskulärer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Vorteil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sein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können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.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keines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ChEi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vaskulärer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liegt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eine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FDA-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Zulassung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vor</w:t>
      </w:r>
      <w:proofErr w:type="spellEnd"/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06BC92B3" w14:textId="77777777"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548E8F" w14:textId="7D5FBC26" w:rsidR="0087687F" w:rsidRPr="00D23A56" w:rsidRDefault="008A4F48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color w:val="000000"/>
          <w:sz w:val="22"/>
          <w:szCs w:val="22"/>
        </w:rPr>
        <w:t xml:space="preserve">B4. </w:t>
      </w:r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Es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angemessen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mittelschwerer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bis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fortgeschrittener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Alzheimer-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Krankheit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Memantin-Therapie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beginnen</w:t>
      </w:r>
      <w:proofErr w:type="spellEnd"/>
      <w:r w:rsidR="00E347AC" w:rsidRPr="00E347AC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5EDB9E6" w14:textId="53079EC5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Memantin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kann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auch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vaskulärer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wirksam</w:t>
      </w:r>
      <w:proofErr w:type="spellEnd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color w:val="000000"/>
          <w:sz w:val="22"/>
          <w:szCs w:val="22"/>
        </w:rPr>
        <w:t>sein</w:t>
      </w:r>
      <w:proofErr w:type="spellEnd"/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4C017E00" w14:textId="6BA7FAB8" w:rsidR="0087687F" w:rsidRPr="00D23A56" w:rsidRDefault="0087687F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Memantin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kann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Verhaltens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-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psychiatrischen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Symptomen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Demenz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(BPSD)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Vorteil</w:t>
      </w:r>
      <w:proofErr w:type="spellEnd"/>
      <w:r w:rsidR="00E347AC" w:rsidRPr="00E347A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Cs/>
          <w:i/>
          <w:sz w:val="22"/>
          <w:szCs w:val="22"/>
        </w:rPr>
        <w:t>sein</w:t>
      </w:r>
      <w:proofErr w:type="spellEnd"/>
      <w:r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14:paraId="6F613C63" w14:textId="77777777" w:rsidR="00D23A56" w:rsidRPr="00D23A56" w:rsidRDefault="00D23A56" w:rsidP="00D4340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00569103" w14:textId="3338E449" w:rsidR="0087687F" w:rsidRPr="00D23A56" w:rsidRDefault="008A4F48" w:rsidP="00D43402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B5.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essentiellem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Tremor, der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Funktionsfähigkeit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beeinträchtigt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Propranolol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Pyrimidontherapie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E347AC" w:rsidRPr="00E347AC">
        <w:rPr>
          <w:rFonts w:asciiTheme="minorHAnsi" w:hAnsiTheme="minorHAnsi"/>
          <w:b/>
          <w:sz w:val="22"/>
          <w:szCs w:val="22"/>
        </w:rPr>
        <w:t>.</w:t>
      </w:r>
    </w:p>
    <w:p w14:paraId="1405DB10" w14:textId="005C2E19" w:rsidR="0087687F" w:rsidRPr="00D23A56" w:rsidRDefault="0087687F" w:rsidP="00D4340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</w:rPr>
        <w:t>*</w:t>
      </w:r>
      <w:r w:rsidR="00E347AC" w:rsidRPr="00E347AC">
        <w:t xml:space="preserve"> </w:t>
      </w:r>
      <w:proofErr w:type="spellStart"/>
      <w:r w:rsidR="00E347AC" w:rsidRPr="00E347AC">
        <w:rPr>
          <w:rFonts w:asciiTheme="minorHAnsi" w:hAnsiTheme="minorHAnsi"/>
          <w:i/>
          <w:sz w:val="22"/>
          <w:szCs w:val="22"/>
        </w:rPr>
        <w:t>Pyrimidon</w:t>
      </w:r>
      <w:proofErr w:type="spellEnd"/>
      <w:r w:rsidR="00E347AC" w:rsidRPr="00E347A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E347AC" w:rsidRPr="00E347A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E347AC" w:rsidRPr="00E347A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347AC" w:rsidRPr="00E347AC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347AC" w:rsidRPr="00E347AC">
        <w:rPr>
          <w:rFonts w:asciiTheme="minorHAnsi" w:hAnsiTheme="minorHAnsi"/>
          <w:i/>
          <w:sz w:val="22"/>
          <w:szCs w:val="22"/>
        </w:rPr>
        <w:t xml:space="preserve"> der FDA </w:t>
      </w:r>
      <w:proofErr w:type="spellStart"/>
      <w:r w:rsidR="00E347AC" w:rsidRPr="00E347AC">
        <w:rPr>
          <w:rFonts w:asciiTheme="minorHAnsi" w:hAnsiTheme="minorHAnsi"/>
          <w:i/>
          <w:sz w:val="22"/>
          <w:szCs w:val="22"/>
        </w:rPr>
        <w:t>zugelassen</w:t>
      </w:r>
      <w:proofErr w:type="spellEnd"/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14:paraId="3FB1A66B" w14:textId="66FD4799" w:rsidR="0087687F" w:rsidRPr="00D23A56" w:rsidRDefault="0087687F" w:rsidP="00D4340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C95194" w:rsidRPr="00C95194"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Nebenwirkungen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Primidon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Sedierung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Schwindel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Übelkeit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häufig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niedrigen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begonnen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schrittweise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erhöht</w:t>
      </w:r>
      <w:proofErr w:type="spellEnd"/>
      <w:r w:rsidR="00C95194" w:rsidRPr="00C9519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Pr="00D23A56">
        <w:rPr>
          <w:rFonts w:asciiTheme="minorHAnsi" w:hAnsiTheme="minorHAnsi"/>
          <w:i/>
          <w:sz w:val="22"/>
          <w:szCs w:val="22"/>
        </w:rPr>
        <w:t>.</w:t>
      </w:r>
    </w:p>
    <w:p w14:paraId="1D4A2228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12E900F" w14:textId="03F9BF61" w:rsidR="0087687F" w:rsidRPr="00D23A56" w:rsidRDefault="0087687F" w:rsidP="00D43402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B6.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idiopathischen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Parkinson-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Krankheit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funktionelle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funktionelle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Störungen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Behinderungen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verursacht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L-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Dopa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beginnen</w:t>
      </w:r>
      <w:proofErr w:type="spellEnd"/>
    </w:p>
    <w:p w14:paraId="225983E4" w14:textId="77777777" w:rsidR="00AF4C98" w:rsidRPr="00D23A56" w:rsidRDefault="00AF4C98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6C7F062C" w14:textId="77777777" w:rsidR="00B4173A" w:rsidRPr="00D23A56" w:rsidRDefault="00B4173A" w:rsidP="0087687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14:paraId="601CBE51" w14:textId="10B63C95" w:rsidR="0087687F" w:rsidRPr="00D23A56" w:rsidRDefault="0087687F" w:rsidP="00D4340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B7.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Wenn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idiopathischen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Parkinson-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motorische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On-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Off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Fluktuationen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>, der L-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Dopa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einen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MAO-B-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Hemmer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COMT-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Hemmer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5194" w:rsidRPr="00C95194">
        <w:rPr>
          <w:rFonts w:asciiTheme="minorHAnsi" w:hAnsiTheme="minorHAnsi"/>
          <w:b/>
          <w:sz w:val="22"/>
          <w:szCs w:val="22"/>
        </w:rPr>
        <w:t>hinzuzufügen</w:t>
      </w:r>
      <w:proofErr w:type="spellEnd"/>
      <w:r w:rsidR="00C95194" w:rsidRPr="00C95194">
        <w:rPr>
          <w:rFonts w:asciiTheme="minorHAnsi" w:hAnsiTheme="minorHAnsi"/>
          <w:b/>
          <w:sz w:val="22"/>
          <w:szCs w:val="22"/>
        </w:rPr>
        <w:t>.</w:t>
      </w:r>
    </w:p>
    <w:p w14:paraId="397AED01" w14:textId="77777777"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BE31887" w14:textId="77777777"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230D2BB" w14:textId="4C7232FB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color w:val="000000"/>
          <w:sz w:val="22"/>
          <w:szCs w:val="22"/>
        </w:rPr>
        <w:t xml:space="preserve">B8.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Restless-Legs-Syndrom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denen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Eisenmangel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chronisches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Nierenversagen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ausgeschlossen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sind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es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, alpha-2-delta-Kalziumkanalblocker (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pregabalin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gabapentin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Dopaminagonisten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Pramipexol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/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ropinirol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/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rotigotin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initiieren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wenn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Symptome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Lebensqualität</w:t>
      </w:r>
      <w:proofErr w:type="spellEnd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color w:val="000000"/>
          <w:sz w:val="22"/>
          <w:szCs w:val="22"/>
        </w:rPr>
        <w:t>beeinträchtigen</w:t>
      </w:r>
      <w:proofErr w:type="spellEnd"/>
      <w:r w:rsidR="00576A11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</w:p>
    <w:p w14:paraId="761101AF" w14:textId="77244E97"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576A11" w:rsidRPr="00576A11"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Eine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L-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dopa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-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Therapie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(50-200 mg)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kann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besonders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in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Fällen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mit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intermittierenden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Symptomen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geeignet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sein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.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Kann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auch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symptomatischen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Fällen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mit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Nierenversagen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bevorzugt</w:t>
      </w:r>
      <w:proofErr w:type="spellEnd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576A11" w:rsidRPr="00576A11">
        <w:rPr>
          <w:rFonts w:asciiTheme="minorHAnsi" w:hAnsiTheme="minorHAnsi"/>
          <w:bCs/>
          <w:i/>
          <w:color w:val="000000"/>
          <w:sz w:val="22"/>
          <w:szCs w:val="22"/>
        </w:rPr>
        <w:t>werden</w:t>
      </w:r>
      <w:proofErr w:type="spellEnd"/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69481546" w14:textId="77777777" w:rsidR="00F33FC1" w:rsidRPr="00D23A56" w:rsidRDefault="00F33FC1" w:rsidP="00D43402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0D651CFD" w14:textId="7042AEA3" w:rsidR="00F33FC1" w:rsidRPr="00D23A56" w:rsidRDefault="00F33FC1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C: </w:t>
      </w:r>
      <w:proofErr w:type="spellStart"/>
      <w:r w:rsidR="00576A11" w:rsidRPr="00576A11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576A11" w:rsidRPr="00576A1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576A11" w:rsidRPr="00576A1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6A11" w:rsidRPr="00576A11">
        <w:rPr>
          <w:rFonts w:asciiTheme="minorHAnsi" w:hAnsiTheme="minorHAnsi"/>
          <w:b/>
          <w:sz w:val="28"/>
          <w:szCs w:val="28"/>
        </w:rPr>
        <w:t>Gastrointestinaltrakts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 xml:space="preserve">. </w:t>
      </w:r>
    </w:p>
    <w:p w14:paraId="667D7CE2" w14:textId="77777777" w:rsidR="00D43402" w:rsidRPr="00D23A56" w:rsidRDefault="00D43402" w:rsidP="00D43402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72CEAD3" w14:textId="44132C88" w:rsidR="0087687F" w:rsidRPr="00D23A56" w:rsidRDefault="0087687F" w:rsidP="00D43402">
      <w:pPr>
        <w:pStyle w:val="HTMLVorformatiert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C1.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In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Fällen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mit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symptomatischer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Obstipation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nicht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auf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Änderung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des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Lebensstils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anspricht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Ernährungstraining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),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es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angebracht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, den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Stuhlgang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auszuschließen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Unterstützung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von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Fasern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Psyllium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Methylcellulose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Polycarbophil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Weizendextrin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)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Polyethylenglykol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zu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EC2C15" w:rsidRPr="00EC2C15">
        <w:rPr>
          <w:rFonts w:asciiTheme="minorHAnsi" w:hAnsiTheme="minorHAnsi" w:cs="Times New Roman"/>
          <w:b/>
          <w:sz w:val="22"/>
          <w:szCs w:val="22"/>
        </w:rPr>
        <w:t>beginnen</w:t>
      </w:r>
      <w:proofErr w:type="spellEnd"/>
      <w:r w:rsidR="00EC2C15" w:rsidRPr="00EC2C15">
        <w:rPr>
          <w:rFonts w:asciiTheme="minorHAnsi" w:hAnsiTheme="minorHAnsi" w:cs="Times New Roman"/>
          <w:b/>
          <w:sz w:val="22"/>
          <w:szCs w:val="22"/>
        </w:rPr>
        <w:t>.</w:t>
      </w:r>
    </w:p>
    <w:p w14:paraId="144D6251" w14:textId="77777777" w:rsidR="0087687F" w:rsidRPr="00D23A56" w:rsidRDefault="0087687F" w:rsidP="0087687F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7A175116" w14:textId="3FFF67AC" w:rsidR="00F33FC1" w:rsidRPr="00D23A56" w:rsidRDefault="00F33FC1" w:rsidP="009B6E20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D: </w:t>
      </w:r>
      <w:proofErr w:type="spellStart"/>
      <w:r w:rsidR="00EC2C15" w:rsidRPr="00EC2C15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EC2C15" w:rsidRPr="00EC2C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C2C15" w:rsidRPr="00EC2C15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EC2C15" w:rsidRPr="00EC2C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C2C15" w:rsidRPr="00EC2C15">
        <w:rPr>
          <w:rFonts w:asciiTheme="minorHAnsi" w:hAnsiTheme="minorHAnsi"/>
          <w:b/>
          <w:sz w:val="28"/>
          <w:szCs w:val="28"/>
        </w:rPr>
        <w:t>Atmungssystems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6B8EA38A" w14:textId="77777777" w:rsidR="00F33FC1" w:rsidRPr="00D23A56" w:rsidRDefault="00F33FC1" w:rsidP="009B6E20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04512A2" w14:textId="59528FA7"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D1.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leichtem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bis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mittelschwerem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Asthma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COPD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regelmäßige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inhalative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Beta2-Agonisten-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Anticholinergika-Therapie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>.</w:t>
      </w:r>
    </w:p>
    <w:p w14:paraId="44E8872D" w14:textId="77777777" w:rsidR="00F33FC1" w:rsidRPr="00D23A56" w:rsidRDefault="00F33FC1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  <w:lang w:eastAsia="en-GB"/>
        </w:rPr>
      </w:pPr>
    </w:p>
    <w:p w14:paraId="4868D3BA" w14:textId="306CAA2C"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D2.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Bei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Patienten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mit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mäßigem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bis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schwerem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Asthma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oder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COPD mit FEV</w:t>
      </w:r>
      <w:proofErr w:type="gram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1&lt; 50</w:t>
      </w:r>
      <w:proofErr w:type="gram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%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und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rezidivierenden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Exazerbationen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die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eine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orale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Steroidtherapie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erfordern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ist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es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angebracht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eine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regelmäßige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inhalative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Kortikosteroidtherapie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zu</w:t>
      </w:r>
      <w:proofErr w:type="spellEnd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beginnen</w:t>
      </w:r>
      <w:proofErr w:type="spellEnd"/>
      <w:r w:rsidR="00744EF8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. </w:t>
      </w:r>
    </w:p>
    <w:p w14:paraId="1C84F64E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3E9CFF9" w14:textId="05EDF287" w:rsidR="009B6E20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D3.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chronischer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Hypoxämie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(pO2&lt;= 55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SO2&lt;= 88%)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kontinuierliche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Sauerstofftherapie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Hause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744EF8" w:rsidRPr="00744E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744EF8">
        <w:rPr>
          <w:rFonts w:asciiTheme="minorHAnsi" w:hAnsiTheme="minorHAnsi"/>
          <w:b/>
          <w:sz w:val="22"/>
          <w:szCs w:val="22"/>
        </w:rPr>
        <w:t xml:space="preserve">. </w:t>
      </w:r>
    </w:p>
    <w:p w14:paraId="4B8E4CF6" w14:textId="77777777" w:rsidR="00851AFB" w:rsidRPr="00D23A56" w:rsidRDefault="00851AFB" w:rsidP="0087687F">
      <w:pPr>
        <w:jc w:val="both"/>
        <w:rPr>
          <w:rFonts w:asciiTheme="minorHAnsi" w:hAnsiTheme="minorHAnsi"/>
          <w:sz w:val="22"/>
          <w:szCs w:val="22"/>
        </w:rPr>
      </w:pPr>
    </w:p>
    <w:p w14:paraId="2D2B5934" w14:textId="512997B4" w:rsidR="00851AFB" w:rsidRPr="00D23A56" w:rsidRDefault="00851AFB" w:rsidP="009B6E20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E: </w:t>
      </w:r>
      <w:proofErr w:type="spellStart"/>
      <w:r w:rsidR="00744EF8" w:rsidRPr="00744EF8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744EF8" w:rsidRPr="00744EF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744EF8" w:rsidRPr="00744EF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8"/>
          <w:szCs w:val="28"/>
        </w:rPr>
        <w:t>Bewegungsapparates</w:t>
      </w:r>
      <w:proofErr w:type="spellEnd"/>
      <w:r w:rsidR="00744EF8" w:rsidRPr="00744EF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8"/>
          <w:szCs w:val="28"/>
        </w:rPr>
        <w:t>und</w:t>
      </w:r>
      <w:proofErr w:type="spellEnd"/>
      <w:r w:rsidR="00744EF8" w:rsidRPr="00744EF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sz w:val="28"/>
          <w:szCs w:val="28"/>
        </w:rPr>
        <w:t>Analgetika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7309DF94" w14:textId="77777777" w:rsidR="00851AFB" w:rsidRPr="00D23A56" w:rsidRDefault="00851AFB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A93BD5B" w14:textId="4E9D4B52" w:rsidR="009B6E20" w:rsidRPr="00D23A56" w:rsidRDefault="008A4F48" w:rsidP="009B6E20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color w:val="000000"/>
          <w:sz w:val="22"/>
          <w:szCs w:val="22"/>
        </w:rPr>
        <w:t xml:space="preserve">E1.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täglichen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vitamin-D-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Zufuhr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&lt;800-1000 IE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elementaren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Kalziumzufuhr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&lt;1000-1200 mg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es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eine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Ersatztherapie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/>
          <w:sz w:val="22"/>
          <w:szCs w:val="22"/>
        </w:rPr>
        <w:t>beginnen</w:t>
      </w:r>
      <w:proofErr w:type="spellEnd"/>
    </w:p>
    <w:p w14:paraId="6706B9C1" w14:textId="77777777"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8110093" w14:textId="4DDD1830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E2. </w:t>
      </w:r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Es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ist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angebracht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antiresorptive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Bisphosphonat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denosumab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anabole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Mittel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parathormonanologe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bei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Patienten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mit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dokumentierter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Osteoporose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Fraktur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und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knochenmineral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-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Densitometrie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-t-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score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femur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gesamt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femur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Hals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oder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Lendenwirbelsäule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&lt; -2,5)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zu</w:t>
      </w:r>
      <w:proofErr w:type="spellEnd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44EF8" w:rsidRPr="00744EF8">
        <w:rPr>
          <w:rFonts w:asciiTheme="minorHAnsi" w:hAnsiTheme="minorHAnsi"/>
          <w:b/>
          <w:color w:val="000000" w:themeColor="text1"/>
          <w:sz w:val="22"/>
          <w:szCs w:val="22"/>
        </w:rPr>
        <w:t>initiieren</w:t>
      </w:r>
      <w:proofErr w:type="spellEnd"/>
      <w:r w:rsidR="00744EF8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14:paraId="57E27822" w14:textId="12B05527" w:rsidR="009B6E20" w:rsidRPr="004613B7" w:rsidRDefault="0087687F" w:rsidP="004613B7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iCs/>
          <w:color w:val="222222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*</w:t>
      </w:r>
      <w:r w:rsidR="002D362B" w:rsidRPr="002D362B"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Die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Behandlung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sollte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auch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ausreichende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Zufuhr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von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Vitamin D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und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elementarem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Kalzium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umfassen</w:t>
      </w:r>
      <w:proofErr w:type="spellEnd"/>
      <w:r w:rsidR="002D362B" w:rsidRPr="002D362B">
        <w:rPr>
          <w:rFonts w:asciiTheme="minorHAnsi" w:hAnsiTheme="minorHAnsi"/>
          <w:i/>
          <w:iCs/>
          <w:color w:val="222222"/>
          <w:sz w:val="22"/>
          <w:szCs w:val="22"/>
        </w:rPr>
        <w:t>.</w:t>
      </w:r>
    </w:p>
    <w:p w14:paraId="5630D878" w14:textId="319667B6" w:rsidR="0087687F" w:rsidRPr="00D23A56" w:rsidRDefault="0087687F" w:rsidP="009B6E20">
      <w:pPr>
        <w:pStyle w:val="HTMLVorformatiert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E3.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mit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systemischer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Kortikosteroidtherapie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erwartete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Dauer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: 3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Monate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) i)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Prednisolon-Therapie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von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7,5 mg/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Tag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gleichwertige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Steroidtherapie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erhalten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ii)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dosisunabhängige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Steroidtherapie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erhalten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wenn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der T-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Score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&lt; -1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beträgt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es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angebracht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bisphosphonattherapie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zu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 w:cs="Times New Roman"/>
          <w:b/>
          <w:sz w:val="22"/>
          <w:szCs w:val="22"/>
        </w:rPr>
        <w:t>beginnen</w:t>
      </w:r>
      <w:proofErr w:type="spellEnd"/>
      <w:r w:rsidR="002D362B" w:rsidRPr="002D362B">
        <w:rPr>
          <w:rFonts w:asciiTheme="minorHAnsi" w:hAnsiTheme="minorHAnsi" w:cs="Times New Roman"/>
          <w:b/>
          <w:sz w:val="22"/>
          <w:szCs w:val="22"/>
        </w:rPr>
        <w:t>.</w:t>
      </w:r>
    </w:p>
    <w:p w14:paraId="2AED62B7" w14:textId="322E50F3" w:rsidR="0096528C" w:rsidRDefault="0096528C" w:rsidP="009B6E20">
      <w:pPr>
        <w:pStyle w:val="HTMLVorformatiert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</w:pPr>
      <w:r w:rsidRPr="00D23A56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*&gt;</w:t>
      </w:r>
      <w:r w:rsidR="00220470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=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Bei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Patienten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im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Alter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von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70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Jahren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,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die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eine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dosisunabhängige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langfristige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(&gt;3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Monate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)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Steroidtherapie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erhalten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,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kann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es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angebracht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sein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,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eine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bisphosphonattherapie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zu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beginnen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.</w:t>
      </w:r>
      <w:r w:rsidRPr="00D23A56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</w:p>
    <w:p w14:paraId="6FF0C844" w14:textId="4860CEBA" w:rsidR="0096528C" w:rsidRPr="00AE7765" w:rsidRDefault="00AE7765" w:rsidP="00AE7765">
      <w:pPr>
        <w:pStyle w:val="HTMLVorformatiert"/>
        <w:spacing w:line="360" w:lineRule="auto"/>
        <w:contextualSpacing/>
        <w:jc w:val="both"/>
        <w:rPr>
          <w:rFonts w:asciiTheme="minorHAnsi" w:hAnsiTheme="minorHAnsi" w:cs="Times New Roman"/>
          <w:bCs/>
          <w:i/>
          <w:iCs/>
          <w:sz w:val="22"/>
          <w:szCs w:val="22"/>
        </w:rPr>
      </w:pP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*</w:t>
      </w:r>
      <w:r w:rsidR="002D362B" w:rsidRPr="002D362B"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Die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Behandlung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sollte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auch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eine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ausreichende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Aufnahme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von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Vitamin D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und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essentiellem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Kalzium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umfassen</w:t>
      </w:r>
      <w:proofErr w:type="spellEnd"/>
      <w:r w:rsidR="002D362B" w:rsidRPr="002D362B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.</w:t>
      </w: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</w:p>
    <w:p w14:paraId="166D5A25" w14:textId="77777777" w:rsidR="009B6E20" w:rsidRPr="00D23A56" w:rsidRDefault="009B6E20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C280405" w14:textId="2142F622"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E4.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Nach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Beendigung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mindestens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zwei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Dosen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denosumab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lang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wirkende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antiresorbtive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erhöhte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rebound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>-BTM, BMD-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Verlust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Wirbelfrakturen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nach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Absetzen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denosumab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>).</w:t>
      </w:r>
    </w:p>
    <w:p w14:paraId="262F3811" w14:textId="1D773CE5"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sz w:val="22"/>
          <w:szCs w:val="22"/>
        </w:rPr>
        <w:t>*</w:t>
      </w:r>
      <w:r w:rsidR="00A67324" w:rsidRPr="00D23A56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Der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Rebound-Effekt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ist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ausgeprägter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in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Fällen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, in denen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die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denosumab-Behandlung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nach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zwei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>
        <w:rPr>
          <w:rFonts w:asciiTheme="minorHAnsi" w:hAnsiTheme="minorHAnsi"/>
          <w:bCs/>
          <w:i/>
          <w:iCs/>
          <w:sz w:val="22"/>
          <w:szCs w:val="22"/>
        </w:rPr>
        <w:t>Dosierung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abgebrochen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wird</w:t>
      </w:r>
      <w:proofErr w:type="spellEnd"/>
      <w:r w:rsidR="002D362B" w:rsidRPr="002D362B">
        <w:rPr>
          <w:rFonts w:asciiTheme="minorHAnsi" w:hAnsiTheme="minorHAnsi"/>
          <w:bCs/>
          <w:i/>
          <w:iCs/>
          <w:sz w:val="22"/>
          <w:szCs w:val="22"/>
        </w:rPr>
        <w:t>.</w:t>
      </w:r>
      <w:r w:rsidRPr="00D23A56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</w:p>
    <w:p w14:paraId="2CC036D2" w14:textId="77777777" w:rsidR="009B6E20" w:rsidRPr="00D23A56" w:rsidRDefault="009B6E20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6503D993" w14:textId="190A0D31" w:rsidR="0087687F" w:rsidRPr="00D23A56" w:rsidRDefault="008A4F48" w:rsidP="008768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>E5.</w:t>
      </w:r>
      <w:r w:rsidR="002D362B" w:rsidRPr="002D362B"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Nach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Teriparatid-Therapie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antirezorbtive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2D362B">
        <w:rPr>
          <w:rFonts w:asciiTheme="minorHAnsi" w:hAnsiTheme="minorHAnsi"/>
          <w:b/>
          <w:sz w:val="22"/>
          <w:szCs w:val="22"/>
        </w:rPr>
        <w:t xml:space="preserve">. </w:t>
      </w:r>
    </w:p>
    <w:p w14:paraId="5FBED197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0C512CAE" w14:textId="6F96760B"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E6.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chronisch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aktiven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rheumatologischen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krankheitsmodifizierende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>.</w:t>
      </w:r>
    </w:p>
    <w:p w14:paraId="212BCF6D" w14:textId="77777777"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14:paraId="63B54EBE" w14:textId="4E9FF8E4" w:rsidR="0096528C" w:rsidRPr="00D23A56" w:rsidRDefault="0087687F" w:rsidP="0096528C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E7.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Methotrexat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erhalten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sollte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folsäuresubstitution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eingeleitet</w:t>
      </w:r>
      <w:proofErr w:type="spellEnd"/>
      <w:r w:rsidR="002D362B" w:rsidRPr="002D36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362B" w:rsidRPr="002D362B">
        <w:rPr>
          <w:rFonts w:asciiTheme="minorHAnsi" w:hAnsiTheme="minorHAnsi"/>
          <w:b/>
          <w:sz w:val="22"/>
          <w:szCs w:val="22"/>
        </w:rPr>
        <w:t>werden</w:t>
      </w:r>
      <w:proofErr w:type="spellEnd"/>
    </w:p>
    <w:p w14:paraId="54F6D215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37FD3780" w14:textId="0DDA7810" w:rsidR="009B6E20" w:rsidRDefault="0087687F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E8.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wiederkehrenden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Gichtanfällen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mit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Xanthinoxidase-Hemmer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hauptsächlich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Allopurinol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>.</w:t>
      </w:r>
    </w:p>
    <w:p w14:paraId="5B19E196" w14:textId="77777777" w:rsidR="004613B7" w:rsidRPr="00D23A56" w:rsidRDefault="004613B7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14:paraId="7E064A3B" w14:textId="1C52C4A5" w:rsidR="009B6E20" w:rsidRDefault="0087687F" w:rsidP="004613B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E9.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In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Fällen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in denen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andere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Analgetika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Paracetamol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NSAIDs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leichte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Opioide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ausreichen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um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mittelschwere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bis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schwere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behandeln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stark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wirksame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Opioidtherapie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6F2501">
        <w:rPr>
          <w:rFonts w:asciiTheme="minorHAnsi" w:hAnsiTheme="minorHAnsi"/>
          <w:b/>
          <w:sz w:val="22"/>
          <w:szCs w:val="22"/>
        </w:rPr>
        <w:t xml:space="preserve">. </w:t>
      </w:r>
    </w:p>
    <w:p w14:paraId="525ABC2F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7DF22F90" w14:textId="04AE16E1" w:rsidR="0087687F" w:rsidRPr="00D23A56" w:rsidRDefault="0087687F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E10.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chronischen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langwirksame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Opioide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anwenden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Auftreten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Auslaufschmerzen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Durchbruchsschmerzen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intermittierende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starke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kurzwirksame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Opioide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hinzuzufügen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Gefahr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unkontrollierbaren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 xml:space="preserve"> starken </w:t>
      </w:r>
      <w:proofErr w:type="spellStart"/>
      <w:r w:rsidR="006F2501" w:rsidRPr="006F2501">
        <w:rPr>
          <w:rFonts w:asciiTheme="minorHAnsi" w:hAnsiTheme="minorHAnsi"/>
          <w:b/>
          <w:sz w:val="22"/>
          <w:szCs w:val="22"/>
        </w:rPr>
        <w:t>Schmerzen</w:t>
      </w:r>
      <w:proofErr w:type="spellEnd"/>
      <w:r w:rsidR="006F2501" w:rsidRPr="006F2501">
        <w:rPr>
          <w:rFonts w:asciiTheme="minorHAnsi" w:hAnsiTheme="minorHAnsi"/>
          <w:b/>
          <w:sz w:val="22"/>
          <w:szCs w:val="22"/>
        </w:rPr>
        <w:t>).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</w:p>
    <w:p w14:paraId="4F179502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88A861E" w14:textId="04285593" w:rsidR="009B6E20" w:rsidRPr="00D23A56" w:rsidRDefault="00A67324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F: </w:t>
      </w:r>
      <w:r w:rsidR="00975995" w:rsidRPr="00975995">
        <w:rPr>
          <w:rFonts w:asciiTheme="minorHAnsi" w:hAnsiTheme="minorHAnsi"/>
          <w:b/>
          <w:sz w:val="28"/>
          <w:szCs w:val="28"/>
        </w:rPr>
        <w:t xml:space="preserve">Endokrine </w:t>
      </w:r>
      <w:proofErr w:type="spellStart"/>
      <w:r w:rsidR="00975995">
        <w:rPr>
          <w:rFonts w:asciiTheme="minorHAnsi" w:hAnsiTheme="minorHAnsi"/>
          <w:b/>
          <w:sz w:val="28"/>
          <w:szCs w:val="28"/>
        </w:rPr>
        <w:t>S</w:t>
      </w:r>
      <w:r w:rsidR="00975995" w:rsidRPr="00975995">
        <w:rPr>
          <w:rFonts w:asciiTheme="minorHAnsi" w:hAnsiTheme="minorHAnsi"/>
          <w:b/>
          <w:sz w:val="28"/>
          <w:szCs w:val="28"/>
        </w:rPr>
        <w:t>ystemkriterien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55480A7C" w14:textId="77777777"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14:paraId="5487AF6E" w14:textId="1527BDD0" w:rsidR="0087687F" w:rsidRPr="00D23A56" w:rsidRDefault="0087687F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lastRenderedPageBreak/>
        <w:t xml:space="preserve">F1.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manifesten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Proteinurie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(&gt;300 mg/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Tag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Mikroalbuminurie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(&gt;30 mg/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Tag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Diabetes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mellitus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ACEi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ARB-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>.</w:t>
      </w:r>
    </w:p>
    <w:p w14:paraId="7461EA72" w14:textId="5ADEC1DE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</w:rPr>
        <w:t>*</w:t>
      </w:r>
      <w:r w:rsidR="00975995" w:rsidRPr="00975995"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Nierenversagen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während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Anfangsphase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ACEi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ARB-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ein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Anstieg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Serumkreatininspiegels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erwartet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>.</w:t>
      </w:r>
      <w:r w:rsidRPr="00D23A56">
        <w:rPr>
          <w:rFonts w:asciiTheme="minorHAnsi" w:hAnsiTheme="minorHAnsi"/>
          <w:i/>
          <w:sz w:val="22"/>
          <w:szCs w:val="22"/>
        </w:rPr>
        <w:t xml:space="preserve"> </w:t>
      </w:r>
    </w:p>
    <w:p w14:paraId="6B6C0F4C" w14:textId="232F3BB7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975995" w:rsidRPr="00975995"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dieser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Anstieg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weniger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als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30 %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beträgt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fortzusetzen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>.</w:t>
      </w:r>
    </w:p>
    <w:p w14:paraId="2B93C86D" w14:textId="23781AC1"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975995" w:rsidRPr="00975995"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Obwohl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keine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absolute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Kontraindikation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Einleitung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ACEi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ARB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gibt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einem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Serumkreatininspiegel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="00975995" w:rsidRPr="00975995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&gt;</w:t>
      </w:r>
      <w:proofErr w:type="gramEnd"/>
      <w:r w:rsidR="00975995" w:rsidRPr="00975995">
        <w:rPr>
          <w:rFonts w:asciiTheme="minorHAnsi" w:hAnsiTheme="minorHAnsi"/>
          <w:i/>
          <w:sz w:val="22"/>
          <w:szCs w:val="22"/>
        </w:rPr>
        <w:t xml:space="preserve"> 3,0 mg/dl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davon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abgeraten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>.</w:t>
      </w:r>
      <w:r w:rsidRPr="00D23A56">
        <w:rPr>
          <w:rFonts w:asciiTheme="minorHAnsi" w:hAnsiTheme="minorHAnsi"/>
          <w:i/>
          <w:sz w:val="22"/>
          <w:szCs w:val="22"/>
        </w:rPr>
        <w:t xml:space="preserve"> </w:t>
      </w:r>
    </w:p>
    <w:p w14:paraId="5F7CD423" w14:textId="3EDD207B"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Diabetes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mellitus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Serumkreatinin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-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kaliumspiegel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innerhalb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1-2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nach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Beginn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der ACEI-ARB-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Therapie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jeder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Dosiserhöhung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mindestens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einmal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jährlich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kontrolliert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Risiko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Hyperkaliämie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i/>
          <w:sz w:val="22"/>
          <w:szCs w:val="22"/>
        </w:rPr>
        <w:t>Nierenfunktionsstörung</w:t>
      </w:r>
      <w:proofErr w:type="spellEnd"/>
      <w:r w:rsidR="00975995" w:rsidRPr="00975995">
        <w:rPr>
          <w:rFonts w:asciiTheme="minorHAnsi" w:hAnsiTheme="minorHAnsi"/>
          <w:i/>
          <w:sz w:val="22"/>
          <w:szCs w:val="22"/>
        </w:rPr>
        <w:t>).</w:t>
      </w:r>
      <w:r w:rsidRPr="00D23A56">
        <w:rPr>
          <w:rFonts w:asciiTheme="minorHAnsi" w:hAnsiTheme="minorHAnsi"/>
          <w:i/>
          <w:sz w:val="22"/>
          <w:szCs w:val="22"/>
        </w:rPr>
        <w:t xml:space="preserve"> </w:t>
      </w:r>
    </w:p>
    <w:p w14:paraId="1A99930A" w14:textId="0B79968D" w:rsidR="00A67324" w:rsidRPr="00D23A56" w:rsidRDefault="00A67324" w:rsidP="00A67324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G: </w:t>
      </w:r>
      <w:proofErr w:type="spellStart"/>
      <w:r w:rsidR="00975995" w:rsidRPr="00975995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975995" w:rsidRPr="0097599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975995" w:rsidRPr="0097599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8"/>
          <w:szCs w:val="28"/>
        </w:rPr>
        <w:t>Urogenitalsystems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10AA98B0" w14:textId="77777777" w:rsidR="00A67324" w:rsidRPr="00D23A56" w:rsidRDefault="00A67324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14:paraId="08522A73" w14:textId="2A7691BE" w:rsidR="0087687F" w:rsidRPr="00D23A56" w:rsidRDefault="008A4F48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G1.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Alpha-1-Rezeptorblockern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mittelschwerer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bis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schwerer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(IPSS-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Score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symptomatischer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LUTS (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unteren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Harnwege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denen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Prostatektomie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angezeigt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>.</w:t>
      </w:r>
    </w:p>
    <w:p w14:paraId="53332749" w14:textId="77777777"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19B5BE30" w14:textId="7F9DC7C5" w:rsidR="009B6E20" w:rsidRPr="00D23A56" w:rsidRDefault="008A4F48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G2.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mittelschwerer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bis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schwerer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(IPSS-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Score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symptomatischer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LUTS (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unteren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Harnwege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denen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Prostatektomie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indiziert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Prostatavolumen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&gt;30-40 ml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zusätzlich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5-Alpha-Reduktase-Inhibitor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beginnen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Alpha-1-Rezeptorblocker.</w:t>
      </w:r>
    </w:p>
    <w:p w14:paraId="58FEA268" w14:textId="2DF4691C" w:rsidR="009B6E20" w:rsidRPr="00D23A56" w:rsidRDefault="0087687F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G3.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symptomatischer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atrophischer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Vaginitis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nachdem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nicht-hormonelle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Behandlungen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versucht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wurden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topische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vaginale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Östrogentherapie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75995" w:rsidRPr="00975995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975995" w:rsidRPr="00975995">
        <w:rPr>
          <w:rFonts w:asciiTheme="minorHAnsi" w:hAnsiTheme="minorHAnsi"/>
          <w:b/>
          <w:sz w:val="22"/>
          <w:szCs w:val="22"/>
        </w:rPr>
        <w:t>.</w:t>
      </w:r>
    </w:p>
    <w:p w14:paraId="6F139F5C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5ED57B77" w14:textId="606E8389" w:rsidR="009B6E20" w:rsidRPr="00D23A56" w:rsidRDefault="00A67324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H: </w:t>
      </w:r>
      <w:proofErr w:type="spellStart"/>
      <w:r w:rsidR="00F67BA3" w:rsidRPr="00F67BA3">
        <w:rPr>
          <w:rFonts w:asciiTheme="minorHAnsi" w:hAnsiTheme="minorHAnsi"/>
          <w:b/>
          <w:sz w:val="28"/>
          <w:szCs w:val="28"/>
        </w:rPr>
        <w:t>Impfstoffe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3EEE6590" w14:textId="77777777"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14:paraId="74F8763A" w14:textId="30135789" w:rsidR="0087687F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H1.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Jährlicher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Grippeimpfstoff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angemessen</w:t>
      </w:r>
      <w:proofErr w:type="spellEnd"/>
    </w:p>
    <w:p w14:paraId="7ADC7A4A" w14:textId="2FE765B5" w:rsidR="0087687F" w:rsidRPr="00D23A56" w:rsidRDefault="0087687F" w:rsidP="009B6E20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F67BA3" w:rsidRPr="00F67BA3"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Trivalente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hochdosierte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tetravalente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Influenza-Impfstoffe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sind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älteren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Menschen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wirksamer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als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trivalente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Standarddosis-Impfstoffe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können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bevorzugt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774C6662" w14:textId="1A243554" w:rsidR="009B6E20" w:rsidRPr="00D23A56" w:rsidRDefault="0087687F" w:rsidP="009B6E20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 xml:space="preserve">*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Tetravalente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trivalente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hochdosierte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trivalente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Influenza-Impfstoffe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haben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FDA-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Zulassung</w:t>
      </w:r>
      <w:proofErr w:type="spellEnd"/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14:paraId="4900C765" w14:textId="77777777" w:rsidR="009B6E20" w:rsidRPr="00D23A56" w:rsidRDefault="009B6E20" w:rsidP="009B6E20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14:paraId="7CC9D7D1" w14:textId="0343AFD7"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H2.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Pneumokokken-Impfstoff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Dosis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jeden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der 13-valenten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Konjugat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23-valenten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Polysaccharid-Impfstoffe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nach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dem 65.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Lebensjahr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>.</w:t>
      </w:r>
    </w:p>
    <w:p w14:paraId="66695D8A" w14:textId="264D1A6A" w:rsidR="0087687F" w:rsidRPr="00D23A56" w:rsidRDefault="0087687F" w:rsidP="0087687F">
      <w:pPr>
        <w:spacing w:line="360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i)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Personen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zuvor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nicht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gegen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Pneumokokken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geimpft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wurden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sollte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als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erste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Dosis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ein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13-valenter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Konjugatimpfstoff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verabreicht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gefolgt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einem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23-valenten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Polysaccharid-Impfstoff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mindestens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1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später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  <w:r w:rsidRPr="00D23A56">
        <w:rPr>
          <w:rFonts w:asciiTheme="minorHAnsi" w:hAnsiTheme="minorHAnsi"/>
          <w:bCs/>
          <w:sz w:val="22"/>
          <w:szCs w:val="22"/>
        </w:rPr>
        <w:t xml:space="preserve"> </w:t>
      </w:r>
    </w:p>
    <w:p w14:paraId="733677A2" w14:textId="692A4E0A" w:rsidR="0087687F" w:rsidRPr="00D23A56" w:rsidRDefault="0087687F" w:rsidP="00BA22A8">
      <w:pPr>
        <w:ind w:firstLine="708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lastRenderedPageBreak/>
        <w:t xml:space="preserve">ii)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Personen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zuvor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einen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23-valenten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Polysaccharid-Impfstoff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erhalten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haben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sollten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1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später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einen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13-valenten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Konjugatimpfstoff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erhalten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B986F66" w14:textId="53A1C807" w:rsidR="0087687F" w:rsidRPr="00D23A56" w:rsidRDefault="0087687F" w:rsidP="00BA22A8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Wenn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der 23-valente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Polysaccharid-Impfstoff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vor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dem 65.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Lebensjahr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verabreicht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wurde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sollte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er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Personen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über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65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mindestens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5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nach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der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ersten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Impfung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wiederholt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</w:p>
    <w:p w14:paraId="71F6651B" w14:textId="41767A50" w:rsidR="0087687F" w:rsidRPr="00D23A56" w:rsidRDefault="0087687F" w:rsidP="00BA22A8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Es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wird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empfohlen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den 23-valenten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Polysaccharid-Impfstoff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alle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10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über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65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Jahren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zu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wiederholen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</w:p>
    <w:p w14:paraId="58D94CD8" w14:textId="7EF64B84" w:rsidR="0087687F" w:rsidRPr="00D23A56" w:rsidRDefault="0087687F" w:rsidP="00BA22A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H3.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Herpes-Zoster-Impfung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verringert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das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Gürtelrose-Infektion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postzosterischen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Neuralgie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>)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  <w:r w:rsidRPr="00D23A5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365EEFC" w14:textId="3AEFF07B" w:rsidR="00AE7765" w:rsidRDefault="0087687F" w:rsidP="00BA22A8">
      <w:pPr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F67BA3" w:rsidRPr="00F67BA3"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Impfung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wird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auch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empfohlen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bereits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Gürtelrose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oder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Windpocken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hatten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>.</w:t>
      </w:r>
    </w:p>
    <w:p w14:paraId="188DFE55" w14:textId="27428BBF" w:rsidR="00AE7765" w:rsidRDefault="00AE7765" w:rsidP="00BA22A8">
      <w:pPr>
        <w:spacing w:before="100" w:beforeAutospacing="1" w:after="100" w:afterAutospacing="1"/>
        <w:contextualSpacing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*</w:t>
      </w:r>
      <w:r w:rsidR="00F67BA3" w:rsidRPr="00F67BA3">
        <w:t xml:space="preserve"> </w:t>
      </w:r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RZV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bietet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mehr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Schutz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Cs/>
          <w:i/>
          <w:sz w:val="22"/>
          <w:szCs w:val="22"/>
        </w:rPr>
        <w:t>als</w:t>
      </w:r>
      <w:proofErr w:type="spellEnd"/>
      <w:r w:rsidR="00F67BA3" w:rsidRPr="00F67BA3">
        <w:rPr>
          <w:rFonts w:asciiTheme="minorHAnsi" w:hAnsiTheme="minorHAnsi"/>
          <w:bCs/>
          <w:i/>
          <w:sz w:val="22"/>
          <w:szCs w:val="22"/>
        </w:rPr>
        <w:t xml:space="preserve"> ZVL</w:t>
      </w:r>
      <w:r>
        <w:rPr>
          <w:rFonts w:asciiTheme="minorHAnsi" w:hAnsiTheme="minorHAnsi"/>
          <w:bCs/>
          <w:i/>
          <w:sz w:val="22"/>
          <w:szCs w:val="22"/>
        </w:rPr>
        <w:t>.</w:t>
      </w:r>
    </w:p>
    <w:p w14:paraId="1A62D2FB" w14:textId="63BED0B3" w:rsidR="00AE7765" w:rsidRPr="00AE7765" w:rsidRDefault="00AE7765" w:rsidP="00BA22A8">
      <w:pPr>
        <w:spacing w:before="100" w:beforeAutospacing="1" w:after="100" w:afterAutospacing="1"/>
        <w:contextualSpacing/>
        <w:rPr>
          <w:rFonts w:asciiTheme="minorHAnsi" w:hAnsiTheme="minorHAnsi"/>
          <w:bCs/>
          <w:i/>
          <w:color w:val="222222"/>
          <w:sz w:val="22"/>
          <w:szCs w:val="22"/>
          <w:shd w:val="clear" w:color="auto" w:fill="F8F9FA"/>
        </w:rPr>
      </w:pPr>
      <w:r>
        <w:rPr>
          <w:rFonts w:asciiTheme="minorHAnsi" w:hAnsiTheme="minorHAnsi"/>
          <w:bCs/>
          <w:i/>
          <w:sz w:val="22"/>
          <w:szCs w:val="22"/>
        </w:rPr>
        <w:t>*</w:t>
      </w:r>
      <w:proofErr w:type="gramStart"/>
      <w:r>
        <w:rPr>
          <w:rFonts w:asciiTheme="minorHAnsi" w:hAnsiTheme="minorHAnsi"/>
          <w:bCs/>
          <w:i/>
          <w:sz w:val="22"/>
          <w:szCs w:val="22"/>
        </w:rPr>
        <w:t xml:space="preserve">RZV, </w:t>
      </w:r>
      <w:r w:rsid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>ZVL</w:t>
      </w:r>
      <w:proofErr w:type="gramEnd"/>
      <w:r w:rsid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>
        <w:rPr>
          <w:rFonts w:asciiTheme="minorHAnsi" w:hAnsiTheme="minorHAnsi"/>
          <w:bCs/>
          <w:i/>
          <w:sz w:val="22"/>
          <w:szCs w:val="22"/>
        </w:rPr>
        <w:t>vorzuziehen</w:t>
      </w:r>
      <w:proofErr w:type="spellEnd"/>
      <w:r w:rsid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>
        <w:rPr>
          <w:rFonts w:asciiTheme="minorHAnsi" w:hAnsiTheme="minorHAnsi"/>
          <w:bCs/>
          <w:i/>
          <w:sz w:val="22"/>
          <w:szCs w:val="22"/>
        </w:rPr>
        <w:t>wird</w:t>
      </w:r>
      <w:proofErr w:type="spellEnd"/>
      <w:r w:rsidR="00F67BA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67BA3">
        <w:rPr>
          <w:rFonts w:asciiTheme="minorHAnsi" w:hAnsiTheme="minorHAnsi"/>
          <w:bCs/>
          <w:i/>
          <w:sz w:val="22"/>
          <w:szCs w:val="22"/>
        </w:rPr>
        <w:t>empfohlen</w:t>
      </w:r>
      <w:proofErr w:type="spellEnd"/>
      <w:r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14:paraId="024C797A" w14:textId="77777777" w:rsidR="00F67BA3" w:rsidRPr="00F67BA3" w:rsidRDefault="0087687F" w:rsidP="00BA22A8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color w:val="222222"/>
          <w:sz w:val="22"/>
          <w:szCs w:val="22"/>
        </w:rPr>
      </w:pPr>
      <w:r w:rsidRPr="00D23A56">
        <w:rPr>
          <w:rFonts w:asciiTheme="minorHAnsi" w:hAnsiTheme="minorHAnsi"/>
          <w:i/>
          <w:color w:val="222222"/>
          <w:sz w:val="22"/>
          <w:szCs w:val="22"/>
        </w:rPr>
        <w:t>*</w:t>
      </w:r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RZV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wird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intramuskulär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in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zwei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Dosen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verabreicht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.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Die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zweite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Dosis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sollte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2-6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Monate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nach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der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ersten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Dosis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verabreicht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werden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.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Dieses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Programm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sollte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bei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allen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Patienten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angewendet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werden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auch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bei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Patienten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mit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einer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Vorgeschichte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von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Herpes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Zoster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und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Patienten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mit </w:t>
      </w:r>
      <w:proofErr w:type="spellStart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>früherer</w:t>
      </w:r>
      <w:proofErr w:type="spellEnd"/>
      <w:r w:rsidR="00F67BA3" w:rsidRPr="00F67BA3">
        <w:rPr>
          <w:rFonts w:asciiTheme="minorHAnsi" w:hAnsiTheme="minorHAnsi"/>
          <w:i/>
          <w:color w:val="222222"/>
          <w:sz w:val="22"/>
          <w:szCs w:val="22"/>
        </w:rPr>
        <w:t xml:space="preserve"> ZVL.</w:t>
      </w:r>
    </w:p>
    <w:p w14:paraId="4FEDEB8E" w14:textId="6DAEE0F6" w:rsidR="0087687F" w:rsidRPr="00D23A56" w:rsidRDefault="00F67BA3" w:rsidP="00BA22A8">
      <w:pPr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F67BA3">
        <w:rPr>
          <w:rFonts w:asciiTheme="minorHAnsi" w:hAnsiTheme="minorHAnsi"/>
          <w:i/>
          <w:color w:val="222222"/>
          <w:sz w:val="22"/>
          <w:szCs w:val="22"/>
        </w:rPr>
        <w:t>*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Bei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Gürtelrose-Infektion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wird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eine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Impfung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frühestens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nach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6-12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Monaten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Pr="00F67BA3">
        <w:rPr>
          <w:rFonts w:asciiTheme="minorHAnsi" w:hAnsiTheme="minorHAnsi"/>
          <w:i/>
          <w:color w:val="222222"/>
          <w:sz w:val="22"/>
          <w:szCs w:val="22"/>
        </w:rPr>
        <w:t>empfohlen</w:t>
      </w:r>
      <w:proofErr w:type="spellEnd"/>
      <w:r w:rsidRPr="00F67BA3">
        <w:rPr>
          <w:rFonts w:asciiTheme="minorHAnsi" w:hAnsiTheme="minorHAnsi"/>
          <w:i/>
          <w:color w:val="222222"/>
          <w:sz w:val="22"/>
          <w:szCs w:val="22"/>
        </w:rPr>
        <w:t>.</w:t>
      </w:r>
      <w:r w:rsidR="0087687F" w:rsidRPr="00D23A56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E0030F5" w14:textId="73D28114" w:rsidR="0087687F" w:rsidRPr="00D23A56" w:rsidRDefault="0087687F" w:rsidP="00BA22A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H4. </w:t>
      </w:r>
      <w:r w:rsidR="00F67BA3" w:rsidRPr="00F67BA3">
        <w:rPr>
          <w:rFonts w:asciiTheme="minorHAnsi" w:hAnsiTheme="minorHAnsi"/>
          <w:b/>
          <w:sz w:val="22"/>
          <w:szCs w:val="22"/>
        </w:rPr>
        <w:t xml:space="preserve">Es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alle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10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Jahre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Td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Tetanus-Diphtherie-Toxoid</w:t>
      </w:r>
      <w:proofErr w:type="spellEnd"/>
      <w:r w:rsidR="00F67BA3" w:rsidRPr="00F67BA3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F67BA3" w:rsidRPr="00F67BA3">
        <w:rPr>
          <w:rFonts w:asciiTheme="minorHAnsi" w:hAnsiTheme="minorHAnsi"/>
          <w:b/>
          <w:sz w:val="22"/>
          <w:szCs w:val="22"/>
        </w:rPr>
        <w:t>durchzuführen</w:t>
      </w:r>
      <w:proofErr w:type="spellEnd"/>
    </w:p>
    <w:p w14:paraId="3862D3A9" w14:textId="05567050" w:rsidR="0087687F" w:rsidRPr="00D23A56" w:rsidRDefault="0087687F" w:rsidP="00BA22A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F02AC4" w:rsidRPr="00F02AC4"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Für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ältere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Menschen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(z. B.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Großeltern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),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engen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Kontakt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zu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Säuglingen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über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1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Jahr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haben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kann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eine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Pertussis-Impfung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empfohlen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.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In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diesem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Fall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kann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es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als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Einzeldosis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TdaP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verabreicht</w:t>
      </w:r>
      <w:proofErr w:type="spellEnd"/>
      <w:r w:rsidR="00F02AC4" w:rsidRPr="00F02AC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Cs/>
          <w:i/>
          <w:sz w:val="22"/>
          <w:szCs w:val="22"/>
        </w:rPr>
        <w:t>werden</w:t>
      </w:r>
      <w:proofErr w:type="spellEnd"/>
      <w:r w:rsidR="00F02AC4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14:paraId="4B835B79" w14:textId="77777777" w:rsidR="0087687F" w:rsidRPr="00D23A56" w:rsidRDefault="0087687F" w:rsidP="00BA22A8">
      <w:pPr>
        <w:jc w:val="both"/>
        <w:rPr>
          <w:rFonts w:asciiTheme="minorHAnsi" w:hAnsiTheme="minorHAnsi"/>
          <w:b/>
          <w:sz w:val="22"/>
          <w:szCs w:val="22"/>
        </w:rPr>
      </w:pPr>
    </w:p>
    <w:p w14:paraId="095904CE" w14:textId="77AD7278" w:rsidR="0087687F" w:rsidRPr="00D23A56" w:rsidRDefault="008A4F48" w:rsidP="00BA22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H5.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Pilgerreisen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Meningokokken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impfen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b/>
          <w:sz w:val="22"/>
          <w:szCs w:val="22"/>
        </w:rPr>
        <w:t>lassen</w:t>
      </w:r>
      <w:proofErr w:type="spellEnd"/>
      <w:r w:rsidR="00F02AC4" w:rsidRPr="00F02AC4">
        <w:rPr>
          <w:rFonts w:asciiTheme="minorHAnsi" w:hAnsiTheme="minorHAnsi"/>
          <w:b/>
          <w:sz w:val="22"/>
          <w:szCs w:val="22"/>
        </w:rPr>
        <w:t>.</w:t>
      </w:r>
    </w:p>
    <w:p w14:paraId="371A1021" w14:textId="5B9E1D01" w:rsidR="0087687F" w:rsidRPr="00D23A56" w:rsidRDefault="0087687F" w:rsidP="00BA22A8">
      <w:pPr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F02AC4" w:rsidRPr="00F02AC4">
        <w:t xml:space="preserve"> </w:t>
      </w:r>
      <w:proofErr w:type="spellStart"/>
      <w:r w:rsidR="00F02AC4" w:rsidRPr="00F02AC4">
        <w:rPr>
          <w:rFonts w:asciiTheme="minorHAnsi" w:hAnsiTheme="minorHAnsi"/>
          <w:i/>
          <w:sz w:val="22"/>
          <w:szCs w:val="22"/>
        </w:rPr>
        <w:t>mindestens</w:t>
      </w:r>
      <w:proofErr w:type="spellEnd"/>
      <w:r w:rsidR="00F02AC4" w:rsidRPr="00F02AC4">
        <w:rPr>
          <w:rFonts w:asciiTheme="minorHAnsi" w:hAnsiTheme="minorHAnsi"/>
          <w:i/>
          <w:sz w:val="22"/>
          <w:szCs w:val="22"/>
        </w:rPr>
        <w:t xml:space="preserve"> 10 </w:t>
      </w:r>
      <w:proofErr w:type="spellStart"/>
      <w:r w:rsidR="00F02AC4" w:rsidRPr="00F02AC4">
        <w:rPr>
          <w:rFonts w:asciiTheme="minorHAnsi" w:hAnsiTheme="minorHAnsi"/>
          <w:i/>
          <w:sz w:val="22"/>
          <w:szCs w:val="22"/>
        </w:rPr>
        <w:t>Tage</w:t>
      </w:r>
      <w:proofErr w:type="spellEnd"/>
      <w:r w:rsidR="00F02AC4" w:rsidRPr="00F02AC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2AC4" w:rsidRPr="00F02AC4">
        <w:rPr>
          <w:rFonts w:asciiTheme="minorHAnsi" w:hAnsiTheme="minorHAnsi"/>
          <w:i/>
          <w:sz w:val="22"/>
          <w:szCs w:val="22"/>
        </w:rPr>
        <w:t>vor</w:t>
      </w:r>
      <w:proofErr w:type="spellEnd"/>
      <w:r w:rsidR="00F02AC4" w:rsidRPr="00F02AC4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F02AC4" w:rsidRPr="00F02AC4">
        <w:rPr>
          <w:rFonts w:asciiTheme="minorHAnsi" w:hAnsiTheme="minorHAnsi"/>
          <w:i/>
          <w:sz w:val="22"/>
          <w:szCs w:val="22"/>
        </w:rPr>
        <w:t>Pilgerreisen</w:t>
      </w:r>
      <w:proofErr w:type="spellEnd"/>
      <w:r w:rsid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14:paraId="7DE98BCA" w14:textId="629F6978" w:rsidR="0087687F" w:rsidRPr="00D23A56" w:rsidRDefault="0087687F" w:rsidP="00BA22A8">
      <w:pPr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erneuten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Reise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nach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5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Jahren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wiederholt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BA22A8" w:rsidRPr="00BA22A8">
        <w:rPr>
          <w:rFonts w:asciiTheme="minorHAnsi" w:hAnsiTheme="minorHAnsi"/>
          <w:i/>
          <w:sz w:val="22"/>
          <w:szCs w:val="22"/>
        </w:rPr>
        <w:t>.</w:t>
      </w:r>
      <w:r w:rsidRPr="00D23A56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</w:p>
    <w:p w14:paraId="37C8DC38" w14:textId="5880303D" w:rsidR="000A315F" w:rsidRPr="00D23A56" w:rsidRDefault="000A315F" w:rsidP="00BA22A8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I: </w:t>
      </w:r>
      <w:proofErr w:type="spellStart"/>
      <w:r w:rsidR="00BA22A8" w:rsidRPr="00BA22A8">
        <w:rPr>
          <w:rFonts w:asciiTheme="minorHAnsi" w:hAnsiTheme="minorHAnsi"/>
          <w:b/>
          <w:sz w:val="28"/>
          <w:szCs w:val="28"/>
        </w:rPr>
        <w:t>Ergänzungen</w:t>
      </w:r>
      <w:proofErr w:type="spellEnd"/>
      <w:r w:rsidRPr="00D23A56">
        <w:rPr>
          <w:rFonts w:asciiTheme="minorHAnsi" w:hAnsiTheme="minorHAnsi"/>
          <w:b/>
          <w:sz w:val="28"/>
          <w:szCs w:val="28"/>
        </w:rPr>
        <w:t>.</w:t>
      </w:r>
    </w:p>
    <w:p w14:paraId="2FB534D3" w14:textId="77777777"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14:paraId="1ABD4350" w14:textId="12F190AE" w:rsidR="0087687F" w:rsidRPr="00D23A56" w:rsidRDefault="0087687F" w:rsidP="00BA22A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I1.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Menschen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Mangelernährung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(MN)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Mangelernährungsrisiko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(MNR)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Beginn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oralen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Nahrungsergänzung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(ONS)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angemessen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wenn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Ernährungsberatung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Nahrungsergänzung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ausreichen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, um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Nahrungsaufnahme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erhöhen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Ernährungsziele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/>
          <w:sz w:val="22"/>
          <w:szCs w:val="22"/>
        </w:rPr>
        <w:t>erreichen</w:t>
      </w:r>
      <w:proofErr w:type="spellEnd"/>
      <w:r w:rsidR="00BA22A8" w:rsidRPr="00BA22A8">
        <w:rPr>
          <w:rFonts w:asciiTheme="minorHAnsi" w:hAnsiTheme="minorHAnsi"/>
          <w:b/>
          <w:sz w:val="22"/>
          <w:szCs w:val="22"/>
        </w:rPr>
        <w:t>.</w:t>
      </w:r>
    </w:p>
    <w:p w14:paraId="69CC1E77" w14:textId="35EABF05"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BA22A8" w:rsidRPr="00BA22A8">
        <w:t xml:space="preserve"> </w:t>
      </w:r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Es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gibt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mehr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Hinweise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auf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Einleitung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ONS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Menschen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mit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chronischen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sz w:val="22"/>
          <w:szCs w:val="22"/>
        </w:rPr>
        <w:t>Erkrankungen</w:t>
      </w:r>
      <w:proofErr w:type="spellEnd"/>
      <w:r w:rsidR="00BA22A8" w:rsidRPr="00BA22A8">
        <w:rPr>
          <w:rFonts w:asciiTheme="minorHAnsi" w:hAnsiTheme="minorHAnsi"/>
          <w:bCs/>
          <w:i/>
          <w:sz w:val="22"/>
          <w:szCs w:val="22"/>
        </w:rPr>
        <w:t>.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56B9A33B" w14:textId="0484289F" w:rsidR="0087687F" w:rsidRPr="00D23A56" w:rsidRDefault="0087687F" w:rsidP="00BA22A8">
      <w:pPr>
        <w:autoSpaceDE w:val="0"/>
        <w:autoSpaceDN w:val="0"/>
        <w:adjustRightInd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*</w:t>
      </w:r>
      <w:r w:rsidR="00BA22A8" w:rsidRPr="00BA22A8">
        <w:t xml:space="preserve"> </w:t>
      </w:r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Es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wird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empfohlen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,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dass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der ONS-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Gehalt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mindestens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400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kcal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Energie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30 g Protein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pro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Tag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enthält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ONS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mindestens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1 Monat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lang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fortgesetzt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wird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14:paraId="2AB7ECC5" w14:textId="68F9BA7C" w:rsidR="0087687F" w:rsidRPr="00D23A56" w:rsidRDefault="0087687F" w:rsidP="00BA22A8">
      <w:pPr>
        <w:autoSpaceDE w:val="0"/>
        <w:autoSpaceDN w:val="0"/>
        <w:adjustRightInd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*</w:t>
      </w:r>
      <w:r w:rsidR="00BA22A8" w:rsidRPr="00BA22A8">
        <w:t xml:space="preserve"> </w:t>
      </w:r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Es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ist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angemessen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die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ONS-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Fälle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einmal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im Monat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zu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bewerten</w:t>
      </w:r>
      <w:proofErr w:type="spellEnd"/>
      <w:r w:rsidR="00BA22A8" w:rsidRPr="00BA22A8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6D030F57" w14:textId="1E340391" w:rsidR="0087687F" w:rsidRPr="00D23A56" w:rsidRDefault="0087687F" w:rsidP="00BA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BA22A8" w:rsidRPr="00BA22A8"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In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Bezug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auf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Behandlung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liegt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der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empfohlene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Wert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für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Energieaufnahme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Personen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 xml:space="preserve"> 30 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kcal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/kg/</w:t>
      </w:r>
      <w:proofErr w:type="spellStart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Tag</w:t>
      </w:r>
      <w:proofErr w:type="spellEnd"/>
      <w:r w:rsidR="00BA22A8" w:rsidRPr="00BA22A8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14:paraId="29706B47" w14:textId="1D2B38F0" w:rsidR="0087687F" w:rsidRPr="00D23A56" w:rsidRDefault="0087687F" w:rsidP="00BA22A8">
      <w:pPr>
        <w:pStyle w:val="HTMLVorformatiert"/>
        <w:shd w:val="clear" w:color="auto" w:fill="FFFFFF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BA22A8" w:rsidRPr="00BA22A8"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gesunden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Menschen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wird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eine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Proteinzufuhr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von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1,0-1,2 g/kg/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Tag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empfohlen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.</w:t>
      </w:r>
    </w:p>
    <w:p w14:paraId="58D04135" w14:textId="4A28E20C" w:rsidR="0087687F" w:rsidRPr="00D23A56" w:rsidRDefault="0087687F" w:rsidP="00BA22A8">
      <w:pPr>
        <w:pStyle w:val="HTMLVorformatiert"/>
        <w:shd w:val="clear" w:color="auto" w:fill="FFFFFF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BA22A8" w:rsidRPr="00BA22A8"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Für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ältere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Menschen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mit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akuten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oder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chronischen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Erkrankungen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wird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eine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Proteinzufuhr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von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1,2-1,5 g/kg/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Tag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empfohlen</w:t>
      </w:r>
      <w:proofErr w:type="spellEnd"/>
      <w:r w:rsidR="00BA22A8" w:rsidRPr="00BA22A8">
        <w:rPr>
          <w:rFonts w:asciiTheme="minorHAnsi" w:hAnsiTheme="minorHAnsi" w:cs="Times New Roman"/>
          <w:bCs/>
          <w:i/>
          <w:color w:val="000000"/>
          <w:sz w:val="22"/>
          <w:szCs w:val="22"/>
        </w:rPr>
        <w:t>.</w:t>
      </w:r>
    </w:p>
    <w:p w14:paraId="486273DB" w14:textId="77777777" w:rsidR="0087687F" w:rsidRPr="00D23A56" w:rsidRDefault="0087687F" w:rsidP="00BA22A8">
      <w:pPr>
        <w:pStyle w:val="HTMLVorformatiert"/>
        <w:shd w:val="clear" w:color="auto" w:fill="FFFFFF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*Ciddi hastalığı, yaralanma veya </w:t>
      </w:r>
      <w:proofErr w:type="spellStart"/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malnütrisyonu</w:t>
      </w:r>
      <w:proofErr w:type="spellEnd"/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olan yaşlı bireyler için protein alımının 1,5 g/kg</w:t>
      </w:r>
      <w:r w:rsidR="000A315F"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/</w:t>
      </w:r>
      <w:proofErr w:type="spellStart"/>
      <w:r w:rsidR="000A315F"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gün</w:t>
      </w: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’</w:t>
      </w:r>
      <w:r w:rsidR="000A315F"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ü</w:t>
      </w: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n</w:t>
      </w:r>
      <w:proofErr w:type="spellEnd"/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üzerine 2,0 g/kg</w:t>
      </w:r>
      <w:r w:rsidR="000A315F"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/</w:t>
      </w:r>
      <w:proofErr w:type="spellStart"/>
      <w:r w:rsidR="000A315F"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gün’e</w:t>
      </w:r>
      <w:proofErr w:type="spellEnd"/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kadar çıkarılması gerekebilir. </w:t>
      </w:r>
    </w:p>
    <w:p w14:paraId="04037E17" w14:textId="77777777" w:rsidR="0087687F" w:rsidRPr="00D23A56" w:rsidRDefault="0087687F" w:rsidP="00BA22A8">
      <w:pPr>
        <w:pStyle w:val="HTMLVorformatiert"/>
        <w:shd w:val="clear" w:color="auto" w:fill="FFFFFF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14:paraId="768C5AA4" w14:textId="3E080CF4" w:rsidR="0087687F" w:rsidRPr="00D23A56" w:rsidRDefault="0087687F" w:rsidP="00BA22A8">
      <w:pPr>
        <w:pStyle w:val="HTMLVorformatiert"/>
        <w:shd w:val="clear" w:color="auto" w:fill="FFFFFF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I2. </w:t>
      </w:r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Der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Beginn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einer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oralen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Nahrungsergänzung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(ONS)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hospitalisierten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mit MN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MNR (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erhöht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Nährstoffaufnahme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das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Körpergewicht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verringert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das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Risiko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von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Komplikationen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Wiederaufnahmen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 xml:space="preserve">) </w:t>
      </w:r>
      <w:proofErr w:type="spellStart"/>
      <w:r w:rsidR="00BA22A8" w:rsidRPr="00BA22A8">
        <w:rPr>
          <w:rFonts w:asciiTheme="minorHAnsi" w:hAnsiTheme="minorHAnsi" w:cs="Times New Roman"/>
          <w:b/>
          <w:sz w:val="22"/>
          <w:szCs w:val="22"/>
        </w:rPr>
        <w:t>angemessen</w:t>
      </w:r>
      <w:proofErr w:type="spellEnd"/>
      <w:r w:rsidR="00BA22A8" w:rsidRPr="00BA22A8">
        <w:rPr>
          <w:rFonts w:asciiTheme="minorHAnsi" w:hAnsiTheme="minorHAnsi" w:cs="Times New Roman"/>
          <w:b/>
          <w:sz w:val="22"/>
          <w:szCs w:val="22"/>
        </w:rPr>
        <w:t>.</w:t>
      </w:r>
      <w:r w:rsidRPr="00D23A56">
        <w:rPr>
          <w:rFonts w:asciiTheme="minorHAnsi" w:hAnsiTheme="minorHAnsi" w:cs="Times New Roman"/>
          <w:b/>
          <w:sz w:val="22"/>
          <w:szCs w:val="22"/>
        </w:rPr>
        <w:t>)</w:t>
      </w:r>
    </w:p>
    <w:p w14:paraId="017E45A2" w14:textId="4038241B" w:rsidR="0087687F" w:rsidRPr="00D23A56" w:rsidRDefault="0087687F" w:rsidP="00BA22A8">
      <w:pPr>
        <w:pStyle w:val="HTMLVorformatiert"/>
        <w:shd w:val="clear" w:color="auto" w:fill="FFFFFF"/>
        <w:rPr>
          <w:rFonts w:asciiTheme="minorHAnsi" w:hAnsiTheme="minorHAnsi" w:cs="Times New Roman"/>
          <w:b/>
          <w:i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iCs/>
          <w:sz w:val="22"/>
          <w:szCs w:val="22"/>
        </w:rPr>
        <w:t>*</w:t>
      </w:r>
      <w:r w:rsidR="00BA22A8" w:rsidRPr="00BA22A8"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Die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spontane orale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Energieaufnahme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ist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bei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älteren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Menschen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mit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akutem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Krankenhausaufenthalt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im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Allgemeinen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gering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und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entspricht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nicht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 xml:space="preserve"> den </w:t>
      </w:r>
      <w:proofErr w:type="spellStart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Anforderungen</w:t>
      </w:r>
      <w:proofErr w:type="spellEnd"/>
      <w:r w:rsidR="00BA22A8" w:rsidRPr="00BA22A8">
        <w:rPr>
          <w:rFonts w:asciiTheme="minorHAnsi" w:hAnsiTheme="minorHAnsi" w:cs="Times New Roman"/>
          <w:bCs/>
          <w:i/>
          <w:iCs/>
          <w:sz w:val="22"/>
          <w:szCs w:val="22"/>
        </w:rPr>
        <w:t>.</w:t>
      </w:r>
      <w:r w:rsidRPr="00D23A5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D23A56">
        <w:rPr>
          <w:rFonts w:asciiTheme="minorHAnsi" w:hAnsiTheme="minorHAnsi" w:cs="Times New Roman"/>
          <w:i/>
          <w:sz w:val="22"/>
          <w:szCs w:val="22"/>
        </w:rPr>
        <w:br/>
      </w:r>
      <w:r w:rsidRPr="00D23A56">
        <w:rPr>
          <w:rFonts w:asciiTheme="minorHAnsi" w:hAnsiTheme="minorHAnsi" w:cs="Times New Roman"/>
          <w:bCs/>
          <w:i/>
          <w:sz w:val="22"/>
          <w:szCs w:val="22"/>
        </w:rPr>
        <w:t>*</w:t>
      </w:r>
      <w:r w:rsidR="00BA22A8" w:rsidRPr="00BA22A8"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In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den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meisten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Fällen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kann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es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angebracht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sein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, ONS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nach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der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Entlassung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aus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dem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Krankenhaus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weiter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zu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verwenden</w:t>
      </w:r>
      <w:proofErr w:type="spellEnd"/>
      <w:r w:rsidR="00BA22A8" w:rsidRPr="00BA22A8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.</w:t>
      </w:r>
    </w:p>
    <w:p w14:paraId="7B412CA7" w14:textId="4CE9885D" w:rsidR="0087687F" w:rsidRPr="00D23A56" w:rsidRDefault="0087687F" w:rsidP="00BA22A8">
      <w:pPr>
        <w:contextualSpacing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vertAlign w:val="superscript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lastRenderedPageBreak/>
        <w:t xml:space="preserve">I3.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Die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postoperative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Einleitung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einer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ONS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bei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älteren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Patienten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mit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Hüftfrakturen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(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unabhängig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vom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Ernährungszustand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)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ist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angemessen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(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verbessert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die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Nahrungsaufnahme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und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verringert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das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Risiko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von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Komplikationen</w:t>
      </w:r>
      <w:proofErr w:type="spellEnd"/>
      <w:r w:rsidR="006F3815" w:rsidRPr="006F3815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).</w:t>
      </w: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</w:p>
    <w:p w14:paraId="0E5B09FE" w14:textId="50EEE28F" w:rsidR="0087687F" w:rsidRPr="00D23A56" w:rsidRDefault="0087687F" w:rsidP="00BA22A8">
      <w:pPr>
        <w:contextualSpacing/>
        <w:jc w:val="both"/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*</w:t>
      </w:r>
      <w:r w:rsidR="006F3815" w:rsidRPr="006F3815"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Keine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spezifische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ONS-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Empfehlung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(Standard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oder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High Protein)</w:t>
      </w: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. </w:t>
      </w:r>
    </w:p>
    <w:p w14:paraId="559B0A8C" w14:textId="3B11EFE9" w:rsidR="0087687F" w:rsidRPr="00D23A56" w:rsidRDefault="0087687F" w:rsidP="00BA22A8">
      <w:pPr>
        <w:contextualSpacing/>
        <w:jc w:val="both"/>
        <w:rPr>
          <w:rFonts w:asciiTheme="minorHAnsi" w:hAnsiTheme="minorHAnsi"/>
          <w:bCs/>
          <w:i/>
          <w:color w:val="4472C4" w:themeColor="accen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*</w:t>
      </w:r>
      <w:r w:rsidR="006F3815" w:rsidRPr="006F3815">
        <w:t xml:space="preserve"> </w:t>
      </w:r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Es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kann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angebracht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sein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, ONS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für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mindestens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1 Monat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zu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verabreichen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In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Studien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wurde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ONS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zwischen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1-6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Monaten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nach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Hüftfraktur</w:t>
      </w:r>
      <w:proofErr w:type="spellEnd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verwendet</w:t>
      </w:r>
      <w:proofErr w:type="spellEnd"/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.</w:t>
      </w:r>
      <w:r w:rsidRPr="00D23A56">
        <w:rPr>
          <w:rFonts w:asciiTheme="minorHAnsi" w:hAnsiTheme="minorHAnsi"/>
          <w:bCs/>
          <w:i/>
          <w:color w:val="4472C4" w:themeColor="accent1"/>
          <w:sz w:val="22"/>
          <w:szCs w:val="22"/>
          <w:shd w:val="clear" w:color="auto" w:fill="FFFFFF"/>
        </w:rPr>
        <w:t xml:space="preserve"> </w:t>
      </w:r>
    </w:p>
    <w:p w14:paraId="7B7FE44D" w14:textId="69E81243" w:rsidR="000A315F" w:rsidRPr="004613B7" w:rsidRDefault="0087687F" w:rsidP="00BA22A8">
      <w:pPr>
        <w:contextualSpacing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*</w:t>
      </w:r>
      <w:r w:rsidR="006F3815" w:rsidRPr="006F3815"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Auch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eine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präoperative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Einleitung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kann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Erwägung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gezogen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werden</w:t>
      </w:r>
      <w:proofErr w:type="spellEnd"/>
      <w:r w:rsidR="006F3815" w:rsidRPr="006F3815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.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4C4E6DB" w14:textId="42EF76AC" w:rsidR="0087687F" w:rsidRPr="00D23A56" w:rsidRDefault="0087687F" w:rsidP="00BA22A8">
      <w:pPr>
        <w:pStyle w:val="HTMLVorformatiert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I4.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mit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Dekubitus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es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angemessen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>, ONS mit 1,2-2 g/kg/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Tag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Protein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30-35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kcal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>/kg/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Tag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Energie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zu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beginnen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, um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ausreichende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Protein-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Energieaufnahme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/>
          <w:sz w:val="22"/>
          <w:szCs w:val="22"/>
        </w:rPr>
        <w:t>sicherzustellen</w:t>
      </w:r>
      <w:proofErr w:type="spellEnd"/>
      <w:r w:rsidR="006F3815" w:rsidRPr="006F3815">
        <w:rPr>
          <w:rFonts w:asciiTheme="minorHAnsi" w:hAnsiTheme="minorHAnsi" w:cs="Times New Roman"/>
          <w:b/>
          <w:sz w:val="22"/>
          <w:szCs w:val="22"/>
        </w:rPr>
        <w:t>.</w:t>
      </w:r>
    </w:p>
    <w:p w14:paraId="60D91B20" w14:textId="44519944" w:rsidR="0087687F" w:rsidRPr="00D23A56" w:rsidRDefault="0087687F" w:rsidP="00BA22A8">
      <w:pPr>
        <w:contextualSpacing/>
        <w:mirrorIndents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6F3815" w:rsidRPr="006F3815"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Bei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unterernährten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Patienten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mit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Dekubitus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kann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die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Verwendung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von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ONS mit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hohem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Protein-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Energiegehalt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angereichert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mit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Arginin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Zink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und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Antioxidantien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vorteilhafter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/>
          <w:bCs/>
          <w:i/>
          <w:sz w:val="22"/>
          <w:szCs w:val="22"/>
        </w:rPr>
        <w:t>sein</w:t>
      </w:r>
      <w:proofErr w:type="spellEnd"/>
      <w:r w:rsidR="006F3815" w:rsidRPr="006F3815">
        <w:rPr>
          <w:rFonts w:asciiTheme="minorHAnsi" w:hAnsiTheme="minorHAnsi"/>
          <w:bCs/>
          <w:i/>
          <w:sz w:val="22"/>
          <w:szCs w:val="22"/>
        </w:rPr>
        <w:t>.</w:t>
      </w:r>
    </w:p>
    <w:p w14:paraId="03F283FA" w14:textId="352AA333" w:rsidR="0087687F" w:rsidRPr="00D23A56" w:rsidRDefault="0087687F" w:rsidP="00BA22A8">
      <w:pPr>
        <w:pStyle w:val="HTMLVorformatiert"/>
        <w:contextualSpacing/>
        <w:mirrorIndents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6F3815" w:rsidRPr="006F3815"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Die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Zugabe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von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Arginin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,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Glutamin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und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HMB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zu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Ernährungsprodukten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kann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bei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Patienten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mit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Dekubitus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positive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Ergebnisse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haben</w:t>
      </w:r>
      <w:proofErr w:type="spellEnd"/>
      <w:r w:rsidR="006F3815" w:rsidRPr="006F3815">
        <w:rPr>
          <w:rFonts w:asciiTheme="minorHAnsi" w:hAnsiTheme="minorHAnsi" w:cs="Times New Roman"/>
          <w:bCs/>
          <w:i/>
          <w:color w:val="000000"/>
          <w:sz w:val="22"/>
          <w:szCs w:val="22"/>
        </w:rPr>
        <w:t>.</w:t>
      </w:r>
    </w:p>
    <w:p w14:paraId="09BDD023" w14:textId="77777777" w:rsidR="0087687F" w:rsidRPr="00D23A56" w:rsidRDefault="0087687F" w:rsidP="00BA22A8">
      <w:pPr>
        <w:pStyle w:val="HTMLVorformatiert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14:paraId="68BF3157" w14:textId="77777777" w:rsidR="00E62E1F" w:rsidRDefault="00E62E1F"/>
    <w:tbl>
      <w:tblPr>
        <w:tblW w:w="6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7"/>
      </w:tblGrid>
      <w:tr w:rsidR="00504EA8" w:rsidRPr="0063161F" w14:paraId="245F0ADC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7AE" w14:textId="6808A7BF" w:rsidR="00504EA8" w:rsidRPr="003212D6" w:rsidRDefault="006F3815" w:rsidP="00F67BA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Abkürzungen</w:t>
            </w:r>
            <w:proofErr w:type="spellEnd"/>
            <w:r w:rsidR="00504EA8">
              <w:rPr>
                <w:rFonts w:ascii="Calibri" w:hAnsi="Calibri"/>
                <w:b/>
              </w:rPr>
              <w:t>:</w:t>
            </w:r>
          </w:p>
          <w:p w14:paraId="1F94A3DD" w14:textId="5D4B1600" w:rsidR="00504EA8" w:rsidRPr="0063161F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ACE</w:t>
            </w:r>
            <w:r>
              <w:rPr>
                <w:rFonts w:ascii="Calibri" w:hAnsi="Calibri"/>
              </w:rPr>
              <w:t>İ:</w:t>
            </w:r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Angiotensin-Converting-Enzym-Hemmer</w:t>
            </w:r>
            <w:proofErr w:type="spellEnd"/>
          </w:p>
        </w:tc>
      </w:tr>
      <w:tr w:rsidR="00504EA8" w:rsidRPr="0063161F" w14:paraId="03F2852A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EE3" w14:textId="685B2715" w:rsidR="00504EA8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ARB: </w:t>
            </w:r>
            <w:proofErr w:type="spellStart"/>
            <w:r w:rsidR="006F3815" w:rsidRPr="006F3815">
              <w:rPr>
                <w:rFonts w:ascii="Calibri" w:hAnsi="Calibri"/>
              </w:rPr>
              <w:t>Angiotensin-Rezeptor-Blocker</w:t>
            </w:r>
            <w:proofErr w:type="spellEnd"/>
          </w:p>
          <w:p w14:paraId="761AF9EA" w14:textId="2C4A5C4B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BTM: </w:t>
            </w:r>
            <w:proofErr w:type="spellStart"/>
            <w:r w:rsidR="006F3815" w:rsidRPr="006F3815">
              <w:rPr>
                <w:rFonts w:ascii="Calibri" w:hAnsi="Calibri"/>
              </w:rPr>
              <w:t>Knochenumsatzmarker</w:t>
            </w:r>
            <w:proofErr w:type="spellEnd"/>
          </w:p>
        </w:tc>
      </w:tr>
      <w:tr w:rsidR="00504EA8" w:rsidRPr="0063161F" w14:paraId="496011B5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92E" w14:textId="23548DD7" w:rsidR="00504EA8" w:rsidRDefault="00504EA8" w:rsidP="00F67BA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ChE</w:t>
            </w:r>
            <w:r>
              <w:rPr>
                <w:rFonts w:ascii="Calibri" w:hAnsi="Calibri"/>
              </w:rPr>
              <w:t>İ</w:t>
            </w:r>
            <w:proofErr w:type="spellEnd"/>
            <w:r w:rsidRPr="0063161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Acetylcholinesterase-Inhibitoren</w:t>
            </w:r>
            <w:proofErr w:type="spellEnd"/>
          </w:p>
          <w:p w14:paraId="24C8E0AD" w14:textId="77777777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COMT: </w:t>
            </w:r>
            <w:proofErr w:type="spellStart"/>
            <w:r w:rsidRPr="00055E8C">
              <w:rPr>
                <w:rFonts w:ascii="Calibri" w:hAnsi="Calibri"/>
              </w:rPr>
              <w:t>Catechol</w:t>
            </w:r>
            <w:proofErr w:type="spellEnd"/>
            <w:r w:rsidRPr="00055E8C">
              <w:rPr>
                <w:rFonts w:ascii="Calibri" w:hAnsi="Calibri"/>
              </w:rPr>
              <w:t>-O-</w:t>
            </w:r>
            <w:proofErr w:type="spellStart"/>
            <w:r w:rsidRPr="00055E8C">
              <w:rPr>
                <w:rFonts w:ascii="Calibri" w:hAnsi="Calibri"/>
              </w:rPr>
              <w:t>methyltransferase</w:t>
            </w:r>
            <w:proofErr w:type="spellEnd"/>
          </w:p>
        </w:tc>
      </w:tr>
      <w:tr w:rsidR="00504EA8" w:rsidRPr="0063161F" w14:paraId="1F2F0BAE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3D3" w14:textId="789C5215" w:rsidR="00504EA8" w:rsidRPr="0063161F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EF: </w:t>
            </w:r>
            <w:proofErr w:type="spellStart"/>
            <w:r w:rsidR="006F3815" w:rsidRPr="006F3815">
              <w:rPr>
                <w:rFonts w:ascii="Calibri" w:hAnsi="Calibri"/>
              </w:rPr>
              <w:t>Ejektionsfraktion</w:t>
            </w:r>
            <w:proofErr w:type="spellEnd"/>
          </w:p>
        </w:tc>
      </w:tr>
      <w:tr w:rsidR="00504EA8" w:rsidRPr="0063161F" w14:paraId="25792512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443" w14:textId="73CF7274" w:rsidR="00504EA8" w:rsidRPr="0063161F" w:rsidRDefault="00504EA8" w:rsidP="00F67BA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eGFR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6F3815" w:rsidRPr="006F3815">
              <w:rPr>
                <w:rFonts w:ascii="Calibri" w:hAnsi="Calibri"/>
              </w:rPr>
              <w:t>Geschätzte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glomeruläre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Filtrationsrate</w:t>
            </w:r>
            <w:proofErr w:type="spellEnd"/>
          </w:p>
        </w:tc>
      </w:tr>
      <w:tr w:rsidR="00504EA8" w:rsidRPr="0063161F" w14:paraId="67E4F143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837" w14:textId="77777777" w:rsidR="00504EA8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FDA: </w:t>
            </w:r>
            <w:proofErr w:type="spellStart"/>
            <w:r w:rsidRPr="0063161F">
              <w:rPr>
                <w:rFonts w:ascii="Calibri" w:hAnsi="Calibri"/>
              </w:rPr>
              <w:t>Food</w:t>
            </w:r>
            <w:proofErr w:type="spellEnd"/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Pr="0063161F">
              <w:rPr>
                <w:rFonts w:ascii="Calibri" w:hAnsi="Calibri"/>
              </w:rPr>
              <w:t>and</w:t>
            </w:r>
            <w:proofErr w:type="spellEnd"/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Pr="0063161F">
              <w:rPr>
                <w:rFonts w:ascii="Calibri" w:hAnsi="Calibri"/>
              </w:rPr>
              <w:t>Drug</w:t>
            </w:r>
            <w:proofErr w:type="spellEnd"/>
            <w:r w:rsidRPr="0063161F">
              <w:rPr>
                <w:rFonts w:ascii="Calibri" w:hAnsi="Calibri"/>
              </w:rPr>
              <w:t xml:space="preserve"> Administration</w:t>
            </w:r>
          </w:p>
          <w:p w14:paraId="3066840F" w14:textId="3D8BA121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FEV1: </w:t>
            </w:r>
            <w:proofErr w:type="spellStart"/>
            <w:r w:rsidR="006F3815" w:rsidRPr="006F3815">
              <w:rPr>
                <w:rFonts w:ascii="Calibri" w:hAnsi="Calibri"/>
              </w:rPr>
              <w:t>forciertes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exspiratorisches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Volumen</w:t>
            </w:r>
            <w:proofErr w:type="spellEnd"/>
          </w:p>
        </w:tc>
      </w:tr>
      <w:tr w:rsidR="00504EA8" w:rsidRPr="0063161F" w14:paraId="44D2EADE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1EC" w14:textId="27673648" w:rsidR="00504EA8" w:rsidRPr="0063161F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İ</w:t>
            </w:r>
            <w:r w:rsidRPr="0063161F">
              <w:rPr>
                <w:rFonts w:ascii="Calibri" w:hAnsi="Calibri"/>
              </w:rPr>
              <w:t xml:space="preserve">S: </w:t>
            </w:r>
            <w:proofErr w:type="spellStart"/>
            <w:r w:rsidR="006F3815" w:rsidRPr="006F3815">
              <w:rPr>
                <w:rFonts w:ascii="Calibri" w:hAnsi="Calibri"/>
              </w:rPr>
              <w:t>Magen-Darmtrakt</w:t>
            </w:r>
            <w:proofErr w:type="spellEnd"/>
          </w:p>
        </w:tc>
      </w:tr>
      <w:tr w:rsidR="00504EA8" w:rsidRPr="0063161F" w14:paraId="29F24A1C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235" w14:textId="29F03E37" w:rsidR="00504EA8" w:rsidRPr="00055E8C" w:rsidRDefault="00504EA8" w:rsidP="00F67BA3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IPSS: </w:t>
            </w:r>
            <w:proofErr w:type="spellStart"/>
            <w:r w:rsidR="006F3815" w:rsidRPr="006F3815">
              <w:rPr>
                <w:rFonts w:ascii="Calibri" w:hAnsi="Calibri"/>
              </w:rPr>
              <w:t>Internationaler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Prostatasymptom-Score</w:t>
            </w:r>
            <w:proofErr w:type="spellEnd"/>
          </w:p>
        </w:tc>
      </w:tr>
      <w:tr w:rsidR="00504EA8" w:rsidRPr="0063161F" w14:paraId="64ED793C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B81" w14:textId="5922B6D3" w:rsidR="00504EA8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KOAH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6F3815" w:rsidRPr="006F3815">
              <w:rPr>
                <w:rFonts w:ascii="Calibri" w:hAnsi="Calibri"/>
              </w:rPr>
              <w:t>Chronisch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obstruktive</w:t>
            </w:r>
            <w:proofErr w:type="spellEnd"/>
            <w:r w:rsidR="006F3815" w:rsidRPr="006F3815">
              <w:rPr>
                <w:rFonts w:ascii="Calibri" w:hAnsi="Calibri"/>
              </w:rPr>
              <w:t xml:space="preserve"> </w:t>
            </w:r>
            <w:proofErr w:type="spellStart"/>
            <w:r w:rsidR="006F3815" w:rsidRPr="006F3815">
              <w:rPr>
                <w:rFonts w:ascii="Calibri" w:hAnsi="Calibri"/>
              </w:rPr>
              <w:t>Lungenerkrankung</w:t>
            </w:r>
            <w:proofErr w:type="spellEnd"/>
          </w:p>
          <w:p w14:paraId="7B1EBAB4" w14:textId="4D114173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KMD: </w:t>
            </w:r>
            <w:proofErr w:type="spellStart"/>
            <w:r w:rsidR="00840F33" w:rsidRPr="00840F33">
              <w:rPr>
                <w:rFonts w:ascii="Calibri" w:hAnsi="Calibri"/>
              </w:rPr>
              <w:t>Knochenmineraldichte</w:t>
            </w:r>
            <w:proofErr w:type="spellEnd"/>
          </w:p>
        </w:tc>
      </w:tr>
      <w:tr w:rsidR="00504EA8" w:rsidRPr="0063161F" w14:paraId="4717F0CB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7BB" w14:textId="5CF4063B" w:rsidR="00504EA8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LUTS: </w:t>
            </w:r>
            <w:proofErr w:type="spellStart"/>
            <w:r w:rsidR="00840F33" w:rsidRPr="00840F33">
              <w:rPr>
                <w:rFonts w:ascii="Calibri" w:hAnsi="Calibri"/>
              </w:rPr>
              <w:t>Symptome</w:t>
            </w:r>
            <w:proofErr w:type="spellEnd"/>
            <w:r w:rsidR="00840F33" w:rsidRPr="00840F33">
              <w:rPr>
                <w:rFonts w:ascii="Calibri" w:hAnsi="Calibri"/>
              </w:rPr>
              <w:t xml:space="preserve"> der </w:t>
            </w:r>
            <w:proofErr w:type="spellStart"/>
            <w:r w:rsidR="00840F33" w:rsidRPr="00840F33">
              <w:rPr>
                <w:rFonts w:ascii="Calibri" w:hAnsi="Calibri"/>
              </w:rPr>
              <w:t>unteren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Harnwege</w:t>
            </w:r>
            <w:proofErr w:type="spellEnd"/>
          </w:p>
          <w:p w14:paraId="0970C7C0" w14:textId="71F42773" w:rsidR="00504EA8" w:rsidRDefault="00504EA8" w:rsidP="00F67BA3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MAO-B: </w:t>
            </w:r>
            <w:proofErr w:type="spellStart"/>
            <w:r w:rsidR="00840F33" w:rsidRPr="00840F33">
              <w:rPr>
                <w:rFonts w:ascii="Calibri" w:hAnsi="Calibri"/>
              </w:rPr>
              <w:t>Monoaminoxidase</w:t>
            </w:r>
            <w:proofErr w:type="spellEnd"/>
            <w:r w:rsidR="00840F33" w:rsidRPr="00840F33">
              <w:rPr>
                <w:rFonts w:ascii="Calibri" w:hAnsi="Calibri"/>
              </w:rPr>
              <w:t>-B</w:t>
            </w:r>
          </w:p>
          <w:p w14:paraId="46ABC7AC" w14:textId="4FDF302B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Mİ: </w:t>
            </w:r>
            <w:proofErr w:type="spellStart"/>
            <w:r w:rsidR="00840F33" w:rsidRPr="00840F33">
              <w:rPr>
                <w:rFonts w:ascii="Calibri" w:hAnsi="Calibri"/>
              </w:rPr>
              <w:t>Herzinfarkt</w:t>
            </w:r>
            <w:proofErr w:type="spellEnd"/>
          </w:p>
        </w:tc>
      </w:tr>
      <w:tr w:rsidR="00504EA8" w:rsidRPr="0063161F" w14:paraId="33A98B2D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761" w14:textId="5682C8A7" w:rsidR="00504EA8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MN: </w:t>
            </w:r>
            <w:proofErr w:type="spellStart"/>
            <w:r w:rsidR="00840F33" w:rsidRPr="00840F33">
              <w:rPr>
                <w:rFonts w:ascii="Calibri" w:hAnsi="Calibri"/>
              </w:rPr>
              <w:t>Unterernährung</w:t>
            </w:r>
            <w:proofErr w:type="spellEnd"/>
          </w:p>
          <w:p w14:paraId="7459CA0F" w14:textId="732201A6" w:rsidR="00504EA8" w:rsidRPr="0063161F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MNR: </w:t>
            </w:r>
            <w:proofErr w:type="spellStart"/>
            <w:r w:rsidR="00840F33" w:rsidRPr="00840F33">
              <w:rPr>
                <w:rFonts w:ascii="Calibri" w:hAnsi="Calibri"/>
              </w:rPr>
              <w:t>Unterernährungsrisiko</w:t>
            </w:r>
            <w:proofErr w:type="spellEnd"/>
          </w:p>
        </w:tc>
      </w:tr>
      <w:tr w:rsidR="00504EA8" w:rsidRPr="0063161F" w14:paraId="2693A496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C37" w14:textId="07B98D6E" w:rsidR="00504EA8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NSA</w:t>
            </w:r>
            <w:r>
              <w:rPr>
                <w:rFonts w:ascii="Calibri" w:hAnsi="Calibri"/>
              </w:rPr>
              <w:t>İİ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840F33" w:rsidRPr="00840F33">
              <w:rPr>
                <w:rFonts w:ascii="Calibri" w:hAnsi="Calibri"/>
              </w:rPr>
              <w:t>Nicht-steroidale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entzündungshemmende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Medikamente</w:t>
            </w:r>
            <w:proofErr w:type="spellEnd"/>
          </w:p>
          <w:p w14:paraId="46748CAB" w14:textId="2C10E7A9" w:rsidR="00504EA8" w:rsidRDefault="00504EA8" w:rsidP="00F67BA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OA</w:t>
            </w:r>
            <w:r>
              <w:rPr>
                <w:rFonts w:ascii="Calibri" w:hAnsi="Calibri"/>
              </w:rPr>
              <w:t>K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840F33" w:rsidRPr="00840F33">
              <w:rPr>
                <w:rFonts w:ascii="Calibri" w:hAnsi="Calibri"/>
              </w:rPr>
              <w:t>orales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Antikoagulans</w:t>
            </w:r>
            <w:proofErr w:type="spellEnd"/>
          </w:p>
          <w:p w14:paraId="004548ED" w14:textId="5396B81B" w:rsidR="00504EA8" w:rsidRDefault="00504EA8" w:rsidP="00F67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ONS: </w:t>
            </w:r>
            <w:proofErr w:type="spellStart"/>
            <w:r w:rsidR="00840F33" w:rsidRPr="00840F33">
              <w:rPr>
                <w:rFonts w:ascii="Calibri" w:hAnsi="Calibri"/>
              </w:rPr>
              <w:t>Nahrungsergänzungsmittel</w:t>
            </w:r>
            <w:proofErr w:type="spellEnd"/>
            <w:r w:rsidR="00840F33" w:rsidRPr="00840F33">
              <w:rPr>
                <w:rFonts w:ascii="Calibri" w:hAnsi="Calibri"/>
              </w:rPr>
              <w:t xml:space="preserve"> zum </w:t>
            </w:r>
            <w:proofErr w:type="spellStart"/>
            <w:r w:rsidR="00840F33" w:rsidRPr="00840F33">
              <w:rPr>
                <w:rFonts w:ascii="Calibri" w:hAnsi="Calibri"/>
              </w:rPr>
              <w:t>Einnehmen</w:t>
            </w:r>
            <w:proofErr w:type="spellEnd"/>
          </w:p>
          <w:p w14:paraId="7D0B668A" w14:textId="7E1A6228" w:rsidR="00504EA8" w:rsidRDefault="00504EA8" w:rsidP="00F67BA3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RZV: </w:t>
            </w:r>
            <w:proofErr w:type="spellStart"/>
            <w:r w:rsidR="00840F33" w:rsidRPr="00840F33">
              <w:rPr>
                <w:rFonts w:ascii="Calibri" w:hAnsi="Calibri"/>
              </w:rPr>
              <w:t>Rekombinanter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Zoster-Impfstoff</w:t>
            </w:r>
            <w:proofErr w:type="spellEnd"/>
          </w:p>
          <w:p w14:paraId="3969B00D" w14:textId="76FC559F" w:rsidR="00504EA8" w:rsidRPr="0063161F" w:rsidRDefault="00504EA8" w:rsidP="00F67BA3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SaO2: </w:t>
            </w:r>
            <w:proofErr w:type="spellStart"/>
            <w:r w:rsidR="00840F33" w:rsidRPr="00840F33">
              <w:rPr>
                <w:rFonts w:ascii="Calibri" w:hAnsi="Calibri"/>
              </w:rPr>
              <w:t>Sauerstoffsättigung</w:t>
            </w:r>
            <w:proofErr w:type="spellEnd"/>
          </w:p>
        </w:tc>
      </w:tr>
      <w:tr w:rsidR="00504EA8" w:rsidRPr="0063161F" w14:paraId="59758CEC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DB5F" w14:textId="4CEE3FAE" w:rsidR="00504EA8" w:rsidRPr="0063161F" w:rsidRDefault="00504EA8" w:rsidP="00F67BA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SNRIs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840F33" w:rsidRPr="00840F33">
              <w:rPr>
                <w:rFonts w:ascii="Calibri" w:hAnsi="Calibri"/>
              </w:rPr>
              <w:t>Serotonin-Noradrenalin-Wiederaufnahmehemmer</w:t>
            </w:r>
            <w:proofErr w:type="spellEnd"/>
          </w:p>
        </w:tc>
      </w:tr>
      <w:tr w:rsidR="00504EA8" w:rsidRPr="0063161F" w14:paraId="20C1FA2F" w14:textId="77777777" w:rsidTr="00F67BA3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988" w14:textId="389AAC95" w:rsidR="00504EA8" w:rsidRPr="0063161F" w:rsidRDefault="00504EA8" w:rsidP="00F67BA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SSRIs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840F33" w:rsidRPr="00840F33">
              <w:rPr>
                <w:rFonts w:ascii="Calibri" w:hAnsi="Calibri"/>
              </w:rPr>
              <w:t>Selektive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Serotonin-Wiederaufnahmehemmer</w:t>
            </w:r>
            <w:proofErr w:type="spellEnd"/>
          </w:p>
        </w:tc>
      </w:tr>
      <w:tr w:rsidR="00504EA8" w:rsidRPr="0063161F" w14:paraId="1FA6EDD4" w14:textId="77777777" w:rsidTr="00F67BA3">
        <w:trPr>
          <w:trHeight w:val="3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441" w14:textId="4C0DC785" w:rsidR="00504EA8" w:rsidRDefault="00504EA8" w:rsidP="00F67BA3">
            <w:pPr>
              <w:rPr>
                <w:rFonts w:ascii="Calibri" w:hAnsi="Calibri"/>
              </w:rPr>
            </w:pPr>
            <w:proofErr w:type="spellStart"/>
            <w:r w:rsidRPr="00055E8C">
              <w:rPr>
                <w:rFonts w:ascii="Calibri" w:hAnsi="Calibri"/>
              </w:rPr>
              <w:t>TdaP</w:t>
            </w:r>
            <w:proofErr w:type="spellEnd"/>
            <w:r w:rsidRPr="00055E8C">
              <w:rPr>
                <w:rFonts w:ascii="Calibri" w:hAnsi="Calibri"/>
              </w:rPr>
              <w:t xml:space="preserve">: </w:t>
            </w:r>
            <w:proofErr w:type="spellStart"/>
            <w:r w:rsidR="00840F33" w:rsidRPr="00840F33">
              <w:rPr>
                <w:rFonts w:ascii="Calibri" w:hAnsi="Calibri"/>
              </w:rPr>
              <w:t>Tetanus</w:t>
            </w:r>
            <w:proofErr w:type="spellEnd"/>
            <w:r w:rsidR="00840F33" w:rsidRPr="00840F33">
              <w:rPr>
                <w:rFonts w:ascii="Calibri" w:hAnsi="Calibri"/>
              </w:rPr>
              <w:t xml:space="preserve">, </w:t>
            </w:r>
            <w:proofErr w:type="spellStart"/>
            <w:r w:rsidR="00840F33" w:rsidRPr="00840F33">
              <w:rPr>
                <w:rFonts w:ascii="Calibri" w:hAnsi="Calibri"/>
              </w:rPr>
              <w:t>Diphtherie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und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azelluläre</w:t>
            </w:r>
            <w:proofErr w:type="spellEnd"/>
            <w:r w:rsidR="00840F33" w:rsidRPr="00840F33">
              <w:rPr>
                <w:rFonts w:ascii="Calibri" w:hAnsi="Calibri"/>
              </w:rPr>
              <w:t xml:space="preserve"> </w:t>
            </w:r>
            <w:proofErr w:type="spellStart"/>
            <w:r w:rsidR="00840F33" w:rsidRPr="00840F33">
              <w:rPr>
                <w:rFonts w:ascii="Calibri" w:hAnsi="Calibri"/>
              </w:rPr>
              <w:t>Keuchhusten</w:t>
            </w:r>
            <w:proofErr w:type="spellEnd"/>
          </w:p>
          <w:p w14:paraId="565540E1" w14:textId="5CECF91D" w:rsidR="00504EA8" w:rsidRPr="0063161F" w:rsidRDefault="00504EA8" w:rsidP="00F67BA3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ZVL: </w:t>
            </w:r>
            <w:proofErr w:type="spellStart"/>
            <w:r w:rsidR="00840F33" w:rsidRPr="00840F33">
              <w:rPr>
                <w:rFonts w:ascii="Calibri" w:hAnsi="Calibri"/>
              </w:rPr>
              <w:t>Zoster-Lebendimpfstoff</w:t>
            </w:r>
            <w:proofErr w:type="spellEnd"/>
          </w:p>
        </w:tc>
      </w:tr>
    </w:tbl>
    <w:p w14:paraId="0908A9C1" w14:textId="057DB2BC" w:rsidR="003212D6" w:rsidRPr="000C6676" w:rsidRDefault="003212D6" w:rsidP="003212D6">
      <w:pPr>
        <w:contextualSpacing/>
        <w:jc w:val="both"/>
        <w:rPr>
          <w:rFonts w:asciiTheme="minorHAnsi" w:hAnsiTheme="minorHAnsi" w:cstheme="minorHAnsi"/>
          <w:bCs/>
          <w:i/>
        </w:rPr>
      </w:pPr>
      <w:r w:rsidRPr="000C6676">
        <w:rPr>
          <w:rFonts w:asciiTheme="minorHAnsi" w:hAnsiTheme="minorHAnsi" w:cstheme="minorHAnsi"/>
          <w:bCs/>
        </w:rPr>
        <w:t>#</w:t>
      </w:r>
      <w:r w:rsidR="00840F33" w:rsidRPr="00840F33">
        <w:t xml:space="preserve">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Kriterien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die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in der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internationalen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Delphi-Panelstudie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keinen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Konsens</w:t>
      </w:r>
      <w:proofErr w:type="spellEnd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840F33" w:rsidRPr="00840F33">
        <w:rPr>
          <w:rFonts w:asciiTheme="minorHAnsi" w:hAnsiTheme="minorHAnsi" w:cstheme="minorHAnsi"/>
          <w:bCs/>
          <w:color w:val="000000"/>
          <w:shd w:val="clear" w:color="auto" w:fill="FFFFFF"/>
        </w:rPr>
        <w:t>ergaben</w:t>
      </w:r>
      <w:proofErr w:type="spellEnd"/>
      <w:r w:rsidR="00F67BA3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sectPr w:rsidR="003212D6" w:rsidRPr="000C66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BFA" w14:textId="77777777" w:rsidR="003E5EA3" w:rsidRDefault="003E5EA3" w:rsidP="00504EA8">
      <w:r>
        <w:separator/>
      </w:r>
    </w:p>
  </w:endnote>
  <w:endnote w:type="continuationSeparator" w:id="0">
    <w:p w14:paraId="413A893B" w14:textId="77777777" w:rsidR="003E5EA3" w:rsidRDefault="003E5EA3" w:rsidP="0050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E580" w14:textId="77777777" w:rsidR="003E5EA3" w:rsidRDefault="003E5EA3" w:rsidP="00504EA8">
      <w:r>
        <w:separator/>
      </w:r>
    </w:p>
  </w:footnote>
  <w:footnote w:type="continuationSeparator" w:id="0">
    <w:p w14:paraId="058048B9" w14:textId="77777777" w:rsidR="003E5EA3" w:rsidRDefault="003E5EA3" w:rsidP="0050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976"/>
    <w:multiLevelType w:val="multilevel"/>
    <w:tmpl w:val="002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4D1"/>
    <w:multiLevelType w:val="hybridMultilevel"/>
    <w:tmpl w:val="CD9A3100"/>
    <w:lvl w:ilvl="0" w:tplc="C5BA2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7070F"/>
    <w:multiLevelType w:val="hybridMultilevel"/>
    <w:tmpl w:val="EC4473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6F4"/>
    <w:multiLevelType w:val="hybridMultilevel"/>
    <w:tmpl w:val="E4D8DB2A"/>
    <w:lvl w:ilvl="0" w:tplc="36FE1B8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6E8"/>
    <w:multiLevelType w:val="multilevel"/>
    <w:tmpl w:val="332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24521"/>
    <w:multiLevelType w:val="multilevel"/>
    <w:tmpl w:val="67E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603"/>
    <w:multiLevelType w:val="multilevel"/>
    <w:tmpl w:val="2F2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41A2D"/>
    <w:multiLevelType w:val="hybridMultilevel"/>
    <w:tmpl w:val="ED102BF2"/>
    <w:lvl w:ilvl="0" w:tplc="16A4F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3A2"/>
    <w:multiLevelType w:val="multilevel"/>
    <w:tmpl w:val="20E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30FB"/>
    <w:multiLevelType w:val="hybridMultilevel"/>
    <w:tmpl w:val="73306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C3D"/>
    <w:multiLevelType w:val="multilevel"/>
    <w:tmpl w:val="6C3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5B02"/>
    <w:multiLevelType w:val="multilevel"/>
    <w:tmpl w:val="43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C1E43"/>
    <w:multiLevelType w:val="multilevel"/>
    <w:tmpl w:val="4E6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00095"/>
    <w:multiLevelType w:val="multilevel"/>
    <w:tmpl w:val="E79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E6178"/>
    <w:multiLevelType w:val="multilevel"/>
    <w:tmpl w:val="E7F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34F2"/>
    <w:multiLevelType w:val="hybridMultilevel"/>
    <w:tmpl w:val="7D688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23C"/>
    <w:multiLevelType w:val="multilevel"/>
    <w:tmpl w:val="834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91A2A"/>
    <w:multiLevelType w:val="multilevel"/>
    <w:tmpl w:val="F24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41E0B"/>
    <w:multiLevelType w:val="multilevel"/>
    <w:tmpl w:val="991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E40DB"/>
    <w:multiLevelType w:val="multilevel"/>
    <w:tmpl w:val="99C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8752C"/>
    <w:multiLevelType w:val="multilevel"/>
    <w:tmpl w:val="D31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72E55"/>
    <w:multiLevelType w:val="multilevel"/>
    <w:tmpl w:val="6B7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30F27"/>
    <w:multiLevelType w:val="hybridMultilevel"/>
    <w:tmpl w:val="F7E6D4B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54DA"/>
    <w:multiLevelType w:val="multilevel"/>
    <w:tmpl w:val="EB7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31156"/>
    <w:multiLevelType w:val="multilevel"/>
    <w:tmpl w:val="A1A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E1825"/>
    <w:multiLevelType w:val="multilevel"/>
    <w:tmpl w:val="043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465DE"/>
    <w:multiLevelType w:val="hybridMultilevel"/>
    <w:tmpl w:val="382413DE"/>
    <w:lvl w:ilvl="0" w:tplc="000AFE02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3396"/>
    <w:multiLevelType w:val="hybridMultilevel"/>
    <w:tmpl w:val="A2F656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FE0002"/>
    <w:multiLevelType w:val="hybridMultilevel"/>
    <w:tmpl w:val="2A2E86BE"/>
    <w:lvl w:ilvl="0" w:tplc="D1F07BD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F1B2C"/>
    <w:multiLevelType w:val="multilevel"/>
    <w:tmpl w:val="5DF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384945"/>
    <w:multiLevelType w:val="hybridMultilevel"/>
    <w:tmpl w:val="E5AC8848"/>
    <w:lvl w:ilvl="0" w:tplc="FEA21AC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049EF"/>
    <w:multiLevelType w:val="multilevel"/>
    <w:tmpl w:val="16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37E79"/>
    <w:multiLevelType w:val="hybridMultilevel"/>
    <w:tmpl w:val="C714D80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622A8"/>
    <w:multiLevelType w:val="hybridMultilevel"/>
    <w:tmpl w:val="BFDE5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0DA"/>
    <w:multiLevelType w:val="hybridMultilevel"/>
    <w:tmpl w:val="12EC5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3D0B"/>
    <w:multiLevelType w:val="hybridMultilevel"/>
    <w:tmpl w:val="936AF2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F2E18"/>
    <w:multiLevelType w:val="multilevel"/>
    <w:tmpl w:val="1EB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22571"/>
    <w:multiLevelType w:val="multilevel"/>
    <w:tmpl w:val="54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870A7"/>
    <w:multiLevelType w:val="hybridMultilevel"/>
    <w:tmpl w:val="2A7E90CE"/>
    <w:lvl w:ilvl="0" w:tplc="CC3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8B32D6"/>
    <w:multiLevelType w:val="multilevel"/>
    <w:tmpl w:val="D88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183197"/>
    <w:multiLevelType w:val="hybridMultilevel"/>
    <w:tmpl w:val="7B26086E"/>
    <w:lvl w:ilvl="0" w:tplc="A0E8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327197"/>
    <w:multiLevelType w:val="hybridMultilevel"/>
    <w:tmpl w:val="6DCA464A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981"/>
    <w:multiLevelType w:val="multilevel"/>
    <w:tmpl w:val="9DD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505D43"/>
    <w:multiLevelType w:val="hybridMultilevel"/>
    <w:tmpl w:val="319A5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96686"/>
    <w:multiLevelType w:val="multilevel"/>
    <w:tmpl w:val="DFC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CB0A6A"/>
    <w:multiLevelType w:val="hybridMultilevel"/>
    <w:tmpl w:val="55089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49F0"/>
    <w:multiLevelType w:val="multilevel"/>
    <w:tmpl w:val="68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B52C4"/>
    <w:multiLevelType w:val="multilevel"/>
    <w:tmpl w:val="F9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184"/>
    <w:multiLevelType w:val="multilevel"/>
    <w:tmpl w:val="A7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03D7A"/>
    <w:multiLevelType w:val="multilevel"/>
    <w:tmpl w:val="6C3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8"/>
  </w:num>
  <w:num w:numId="3">
    <w:abstractNumId w:val="33"/>
  </w:num>
  <w:num w:numId="4">
    <w:abstractNumId w:val="1"/>
  </w:num>
  <w:num w:numId="5">
    <w:abstractNumId w:val="2"/>
  </w:num>
  <w:num w:numId="6">
    <w:abstractNumId w:val="22"/>
  </w:num>
  <w:num w:numId="7">
    <w:abstractNumId w:val="30"/>
  </w:num>
  <w:num w:numId="8">
    <w:abstractNumId w:val="11"/>
  </w:num>
  <w:num w:numId="9">
    <w:abstractNumId w:val="12"/>
  </w:num>
  <w:num w:numId="10">
    <w:abstractNumId w:val="26"/>
  </w:num>
  <w:num w:numId="11">
    <w:abstractNumId w:val="13"/>
  </w:num>
  <w:num w:numId="12">
    <w:abstractNumId w:val="28"/>
  </w:num>
  <w:num w:numId="13">
    <w:abstractNumId w:val="46"/>
  </w:num>
  <w:num w:numId="14">
    <w:abstractNumId w:val="31"/>
  </w:num>
  <w:num w:numId="15">
    <w:abstractNumId w:val="36"/>
  </w:num>
  <w:num w:numId="16">
    <w:abstractNumId w:val="37"/>
  </w:num>
  <w:num w:numId="17">
    <w:abstractNumId w:val="19"/>
  </w:num>
  <w:num w:numId="18">
    <w:abstractNumId w:val="21"/>
  </w:num>
  <w:num w:numId="19">
    <w:abstractNumId w:val="17"/>
  </w:num>
  <w:num w:numId="20">
    <w:abstractNumId w:val="29"/>
  </w:num>
  <w:num w:numId="21">
    <w:abstractNumId w:val="10"/>
  </w:num>
  <w:num w:numId="22">
    <w:abstractNumId w:val="5"/>
  </w:num>
  <w:num w:numId="23">
    <w:abstractNumId w:val="49"/>
  </w:num>
  <w:num w:numId="24">
    <w:abstractNumId w:val="14"/>
  </w:num>
  <w:num w:numId="25">
    <w:abstractNumId w:val="47"/>
  </w:num>
  <w:num w:numId="26">
    <w:abstractNumId w:val="23"/>
  </w:num>
  <w:num w:numId="27">
    <w:abstractNumId w:val="42"/>
  </w:num>
  <w:num w:numId="28">
    <w:abstractNumId w:val="8"/>
  </w:num>
  <w:num w:numId="29">
    <w:abstractNumId w:val="39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4"/>
  </w:num>
  <w:num w:numId="35">
    <w:abstractNumId w:val="25"/>
  </w:num>
  <w:num w:numId="36">
    <w:abstractNumId w:val="44"/>
  </w:num>
  <w:num w:numId="37">
    <w:abstractNumId w:val="16"/>
  </w:num>
  <w:num w:numId="38">
    <w:abstractNumId w:val="20"/>
  </w:num>
  <w:num w:numId="39">
    <w:abstractNumId w:val="15"/>
  </w:num>
  <w:num w:numId="40">
    <w:abstractNumId w:val="45"/>
  </w:num>
  <w:num w:numId="41">
    <w:abstractNumId w:val="34"/>
  </w:num>
  <w:num w:numId="42">
    <w:abstractNumId w:val="43"/>
  </w:num>
  <w:num w:numId="43">
    <w:abstractNumId w:val="7"/>
  </w:num>
  <w:num w:numId="44">
    <w:abstractNumId w:val="41"/>
  </w:num>
  <w:num w:numId="45">
    <w:abstractNumId w:val="32"/>
  </w:num>
  <w:num w:numId="46">
    <w:abstractNumId w:val="35"/>
  </w:num>
  <w:num w:numId="47">
    <w:abstractNumId w:val="40"/>
  </w:num>
  <w:num w:numId="48">
    <w:abstractNumId w:val="2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7F"/>
    <w:rsid w:val="00083447"/>
    <w:rsid w:val="000A315F"/>
    <w:rsid w:val="001A5946"/>
    <w:rsid w:val="0021098E"/>
    <w:rsid w:val="00220470"/>
    <w:rsid w:val="00271D01"/>
    <w:rsid w:val="002B2322"/>
    <w:rsid w:val="002D1D53"/>
    <w:rsid w:val="002D362B"/>
    <w:rsid w:val="003212D6"/>
    <w:rsid w:val="00381C12"/>
    <w:rsid w:val="00387C29"/>
    <w:rsid w:val="003C46C7"/>
    <w:rsid w:val="003E5EA3"/>
    <w:rsid w:val="004613B7"/>
    <w:rsid w:val="004D5423"/>
    <w:rsid w:val="00504EA8"/>
    <w:rsid w:val="005130B0"/>
    <w:rsid w:val="00576A11"/>
    <w:rsid w:val="00580A4F"/>
    <w:rsid w:val="006318EC"/>
    <w:rsid w:val="0063366A"/>
    <w:rsid w:val="00686DAC"/>
    <w:rsid w:val="006946BB"/>
    <w:rsid w:val="006A4946"/>
    <w:rsid w:val="006C6C51"/>
    <w:rsid w:val="006F2501"/>
    <w:rsid w:val="006F3815"/>
    <w:rsid w:val="007109B3"/>
    <w:rsid w:val="00744EF8"/>
    <w:rsid w:val="00751A5B"/>
    <w:rsid w:val="00787C15"/>
    <w:rsid w:val="00840F33"/>
    <w:rsid w:val="00851AFB"/>
    <w:rsid w:val="008765EF"/>
    <w:rsid w:val="0087687F"/>
    <w:rsid w:val="008874FC"/>
    <w:rsid w:val="008A4F48"/>
    <w:rsid w:val="008D12AE"/>
    <w:rsid w:val="0096528C"/>
    <w:rsid w:val="00967E82"/>
    <w:rsid w:val="00975995"/>
    <w:rsid w:val="009B6E20"/>
    <w:rsid w:val="009D3E08"/>
    <w:rsid w:val="009E5E56"/>
    <w:rsid w:val="00A64DD3"/>
    <w:rsid w:val="00A67324"/>
    <w:rsid w:val="00A76680"/>
    <w:rsid w:val="00AE7765"/>
    <w:rsid w:val="00AF4C98"/>
    <w:rsid w:val="00AF66B5"/>
    <w:rsid w:val="00B35A74"/>
    <w:rsid w:val="00B4173A"/>
    <w:rsid w:val="00BA22A8"/>
    <w:rsid w:val="00BD0096"/>
    <w:rsid w:val="00C414DB"/>
    <w:rsid w:val="00C43A55"/>
    <w:rsid w:val="00C95194"/>
    <w:rsid w:val="00CB650A"/>
    <w:rsid w:val="00CF34E0"/>
    <w:rsid w:val="00D13715"/>
    <w:rsid w:val="00D175F8"/>
    <w:rsid w:val="00D23A56"/>
    <w:rsid w:val="00D43402"/>
    <w:rsid w:val="00D75F55"/>
    <w:rsid w:val="00DC669A"/>
    <w:rsid w:val="00DF6CCD"/>
    <w:rsid w:val="00E347AC"/>
    <w:rsid w:val="00E62E1F"/>
    <w:rsid w:val="00E6620A"/>
    <w:rsid w:val="00E72F78"/>
    <w:rsid w:val="00E85B98"/>
    <w:rsid w:val="00E9431A"/>
    <w:rsid w:val="00EC2C15"/>
    <w:rsid w:val="00F02AC4"/>
    <w:rsid w:val="00F33FC1"/>
    <w:rsid w:val="00F67BA3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7A2C"/>
  <w15:chartTrackingRefBased/>
  <w15:docId w15:val="{41F8D6EC-50C9-4F4C-B13F-7311877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87F"/>
    <w:rPr>
      <w:rFonts w:ascii="Times New Roman" w:eastAsia="Times New Roman" w:hAnsi="Times New Roman" w:cs="Times New Roman"/>
      <w:lang w:eastAsia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8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68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687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tr-T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687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tr-TR"/>
    </w:rPr>
  </w:style>
  <w:style w:type="paragraph" w:styleId="Listenabsatz">
    <w:name w:val="List Paragraph"/>
    <w:basedOn w:val="Standard"/>
    <w:uiPriority w:val="34"/>
    <w:qFormat/>
    <w:rsid w:val="00876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7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7687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Titel">
    <w:name w:val="Title"/>
    <w:basedOn w:val="Standard"/>
    <w:next w:val="Standard"/>
    <w:link w:val="TitelZchn"/>
    <w:uiPriority w:val="10"/>
    <w:qFormat/>
    <w:rsid w:val="0087687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8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StandardWeb">
    <w:name w:val="Normal (Web)"/>
    <w:basedOn w:val="Standard"/>
    <w:uiPriority w:val="99"/>
    <w:unhideWhenUsed/>
    <w:rsid w:val="0087687F"/>
    <w:pPr>
      <w:spacing w:before="100" w:beforeAutospacing="1" w:after="100" w:afterAutospacing="1"/>
    </w:pPr>
  </w:style>
  <w:style w:type="character" w:customStyle="1" w:styleId="h1">
    <w:name w:val="h1"/>
    <w:basedOn w:val="Absatz-Standardschriftart"/>
    <w:rsid w:val="0087687F"/>
  </w:style>
  <w:style w:type="character" w:customStyle="1" w:styleId="headingendmark">
    <w:name w:val="headingendmark"/>
    <w:basedOn w:val="Absatz-Standardschriftart"/>
    <w:rsid w:val="0087687F"/>
  </w:style>
  <w:style w:type="character" w:styleId="Hyperlink">
    <w:name w:val="Hyperlink"/>
    <w:basedOn w:val="Absatz-Standardschriftart"/>
    <w:uiPriority w:val="99"/>
    <w:unhideWhenUsed/>
    <w:rsid w:val="0087687F"/>
    <w:rPr>
      <w:color w:val="0000FF"/>
      <w:u w:val="single"/>
    </w:rPr>
  </w:style>
  <w:style w:type="paragraph" w:customStyle="1" w:styleId="bulletndent1">
    <w:name w:val="bulletındent1"/>
    <w:basedOn w:val="Standard"/>
    <w:rsid w:val="0087687F"/>
    <w:pPr>
      <w:spacing w:before="100" w:beforeAutospacing="1" w:after="100" w:afterAutospacing="1"/>
    </w:pPr>
  </w:style>
  <w:style w:type="character" w:customStyle="1" w:styleId="glyph">
    <w:name w:val="glyph"/>
    <w:basedOn w:val="Absatz-Standardschriftart"/>
    <w:rsid w:val="0087687F"/>
  </w:style>
  <w:style w:type="character" w:styleId="Hervorhebung">
    <w:name w:val="Emphasis"/>
    <w:basedOn w:val="Absatz-Standardschriftart"/>
    <w:uiPriority w:val="20"/>
    <w:qFormat/>
    <w:rsid w:val="0087687F"/>
    <w:rPr>
      <w:i/>
      <w:iCs/>
    </w:rPr>
  </w:style>
  <w:style w:type="character" w:customStyle="1" w:styleId="apple-converted-space">
    <w:name w:val="apple-converted-space"/>
    <w:basedOn w:val="Absatz-Standardschriftart"/>
    <w:rsid w:val="0087687F"/>
  </w:style>
  <w:style w:type="character" w:styleId="BesuchterLink">
    <w:name w:val="FollowedHyperlink"/>
    <w:basedOn w:val="Absatz-Standardschriftart"/>
    <w:uiPriority w:val="99"/>
    <w:semiHidden/>
    <w:unhideWhenUsed/>
    <w:rsid w:val="0087687F"/>
    <w:rPr>
      <w:color w:val="954F72" w:themeColor="followedHyperlink"/>
      <w:u w:val="single"/>
    </w:rPr>
  </w:style>
  <w:style w:type="character" w:customStyle="1" w:styleId="nowrap">
    <w:name w:val="nowrap"/>
    <w:basedOn w:val="Absatz-Standardschriftart"/>
    <w:rsid w:val="0087687F"/>
  </w:style>
  <w:style w:type="paragraph" w:customStyle="1" w:styleId="headinganchor">
    <w:name w:val="headinganchor"/>
    <w:basedOn w:val="Standard"/>
    <w:rsid w:val="0087687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7687F"/>
    <w:rPr>
      <w:b/>
      <w:bCs/>
    </w:rPr>
  </w:style>
  <w:style w:type="character" w:customStyle="1" w:styleId="highlighted">
    <w:name w:val="highlighted"/>
    <w:basedOn w:val="Absatz-Standardschriftart"/>
    <w:rsid w:val="0087687F"/>
  </w:style>
  <w:style w:type="character" w:customStyle="1" w:styleId="h2">
    <w:name w:val="h2"/>
    <w:basedOn w:val="Absatz-Standardschriftart"/>
    <w:rsid w:val="0087687F"/>
  </w:style>
  <w:style w:type="paragraph" w:customStyle="1" w:styleId="svarticle">
    <w:name w:val="svarticle"/>
    <w:basedOn w:val="Standard"/>
    <w:rsid w:val="0087687F"/>
    <w:pPr>
      <w:spacing w:before="100" w:beforeAutospacing="1" w:after="100" w:afterAutospacing="1"/>
    </w:pPr>
  </w:style>
  <w:style w:type="character" w:customStyle="1" w:styleId="highlight">
    <w:name w:val="highlight"/>
    <w:basedOn w:val="Absatz-Standardschriftart"/>
    <w:rsid w:val="0087687F"/>
  </w:style>
  <w:style w:type="paragraph" w:customStyle="1" w:styleId="paragraph">
    <w:name w:val="paragraph"/>
    <w:basedOn w:val="Standard"/>
    <w:rsid w:val="0087687F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7687F"/>
  </w:style>
  <w:style w:type="character" w:customStyle="1" w:styleId="spellingerror">
    <w:name w:val="spellingerror"/>
    <w:basedOn w:val="Absatz-Standardschriftart"/>
    <w:rsid w:val="0087687F"/>
  </w:style>
  <w:style w:type="character" w:customStyle="1" w:styleId="eop">
    <w:name w:val="eop"/>
    <w:basedOn w:val="Absatz-Standardschriftart"/>
    <w:rsid w:val="0087687F"/>
  </w:style>
  <w:style w:type="character" w:styleId="Kommentarzeichen">
    <w:name w:val="annotation reference"/>
    <w:basedOn w:val="Absatz-Standardschriftart"/>
    <w:uiPriority w:val="99"/>
    <w:semiHidden/>
    <w:unhideWhenUsed/>
    <w:rsid w:val="00876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687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687F"/>
    <w:rPr>
      <w:rFonts w:eastAsiaTheme="minorEastAsia"/>
      <w:sz w:val="20"/>
      <w:szCs w:val="20"/>
      <w:lang w:eastAsia="tr-T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87F"/>
    <w:rPr>
      <w:rFonts w:eastAsiaTheme="minorEastAsia"/>
      <w:b/>
      <w:bCs/>
      <w:sz w:val="20"/>
      <w:szCs w:val="20"/>
      <w:lang w:eastAsia="tr-T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87F"/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87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medcalcfontcctab">
    <w:name w:val="medcalcfontcctab"/>
    <w:basedOn w:val="Absatz-Standardschriftart"/>
    <w:rsid w:val="0087687F"/>
  </w:style>
  <w:style w:type="paragraph" w:customStyle="1" w:styleId="bulletindent1">
    <w:name w:val="bulletindent1"/>
    <w:basedOn w:val="Standard"/>
    <w:rsid w:val="0087687F"/>
    <w:pPr>
      <w:spacing w:before="100" w:beforeAutospacing="1" w:after="100" w:afterAutospacing="1"/>
    </w:pPr>
  </w:style>
  <w:style w:type="character" w:customStyle="1" w:styleId="cit">
    <w:name w:val="cit"/>
    <w:basedOn w:val="Absatz-Standardschriftart"/>
    <w:rsid w:val="0087687F"/>
  </w:style>
  <w:style w:type="character" w:customStyle="1" w:styleId="fm-vol-iss-date">
    <w:name w:val="fm-vol-iss-date"/>
    <w:basedOn w:val="Absatz-Standardschriftart"/>
    <w:rsid w:val="0087687F"/>
  </w:style>
  <w:style w:type="character" w:customStyle="1" w:styleId="doi">
    <w:name w:val="doi"/>
    <w:basedOn w:val="Absatz-Standardschriftart"/>
    <w:rsid w:val="0087687F"/>
  </w:style>
  <w:style w:type="character" w:customStyle="1" w:styleId="fm-citation-ids-label">
    <w:name w:val="fm-citation-ids-label"/>
    <w:basedOn w:val="Absatz-Standardschriftart"/>
    <w:rsid w:val="0087687F"/>
  </w:style>
  <w:style w:type="character" w:customStyle="1" w:styleId="title-text">
    <w:name w:val="title-text"/>
    <w:basedOn w:val="Absatz-Standardschriftart"/>
    <w:rsid w:val="0087687F"/>
  </w:style>
  <w:style w:type="character" w:customStyle="1" w:styleId="published-date">
    <w:name w:val="published-date"/>
    <w:basedOn w:val="Absatz-Standardschriftart"/>
    <w:rsid w:val="0087687F"/>
  </w:style>
  <w:style w:type="character" w:customStyle="1" w:styleId="subhead-sans">
    <w:name w:val="subhead-sans"/>
    <w:basedOn w:val="Absatz-Standardschriftart"/>
    <w:rsid w:val="0087687F"/>
  </w:style>
  <w:style w:type="character" w:customStyle="1" w:styleId="zmlenmeyenBahsetme1">
    <w:name w:val="Çözümlenmeyen Bahsetme1"/>
    <w:basedOn w:val="Absatz-Standardschriftart"/>
    <w:uiPriority w:val="99"/>
    <w:semiHidden/>
    <w:unhideWhenUsed/>
    <w:rsid w:val="0087687F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Absatz-Standardschriftart"/>
    <w:uiPriority w:val="99"/>
    <w:semiHidden/>
    <w:unhideWhenUsed/>
    <w:rsid w:val="0087687F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87687F"/>
    <w:rPr>
      <w:rFonts w:eastAsiaTheme="minorEastAsia"/>
      <w:sz w:val="22"/>
      <w:szCs w:val="22"/>
      <w:lang w:eastAsia="tr-TR"/>
    </w:rPr>
  </w:style>
  <w:style w:type="paragraph" w:customStyle="1" w:styleId="title1">
    <w:name w:val="title1"/>
    <w:basedOn w:val="Standard"/>
    <w:rsid w:val="0087687F"/>
    <w:rPr>
      <w:sz w:val="27"/>
      <w:szCs w:val="27"/>
    </w:rPr>
  </w:style>
  <w:style w:type="paragraph" w:customStyle="1" w:styleId="desc2">
    <w:name w:val="desc2"/>
    <w:basedOn w:val="Standard"/>
    <w:rsid w:val="0087687F"/>
    <w:rPr>
      <w:sz w:val="26"/>
      <w:szCs w:val="26"/>
    </w:rPr>
  </w:style>
  <w:style w:type="paragraph" w:customStyle="1" w:styleId="details1">
    <w:name w:val="details1"/>
    <w:basedOn w:val="Standard"/>
    <w:rsid w:val="0087687F"/>
    <w:rPr>
      <w:sz w:val="22"/>
      <w:szCs w:val="22"/>
    </w:rPr>
  </w:style>
  <w:style w:type="character" w:customStyle="1" w:styleId="jrnl">
    <w:name w:val="jrnl"/>
    <w:basedOn w:val="Absatz-Standardschriftart"/>
    <w:rsid w:val="0087687F"/>
  </w:style>
  <w:style w:type="character" w:customStyle="1" w:styleId="reference2">
    <w:name w:val="reference2"/>
    <w:basedOn w:val="Absatz-Standardschriftart"/>
    <w:rsid w:val="0087687F"/>
  </w:style>
  <w:style w:type="paragraph" w:customStyle="1" w:styleId="p">
    <w:name w:val="p"/>
    <w:basedOn w:val="Standard"/>
    <w:rsid w:val="0087687F"/>
    <w:pPr>
      <w:spacing w:before="100" w:beforeAutospacing="1" w:after="100" w:afterAutospacing="1"/>
    </w:pPr>
  </w:style>
  <w:style w:type="character" w:customStyle="1" w:styleId="element-citation">
    <w:name w:val="element-citation"/>
    <w:basedOn w:val="Absatz-Standardschriftart"/>
    <w:rsid w:val="0087687F"/>
  </w:style>
  <w:style w:type="character" w:customStyle="1" w:styleId="ref-journal">
    <w:name w:val="ref-journal"/>
    <w:basedOn w:val="Absatz-Standardschriftart"/>
    <w:rsid w:val="0087687F"/>
  </w:style>
  <w:style w:type="character" w:customStyle="1" w:styleId="ref-vol">
    <w:name w:val="ref-vol"/>
    <w:basedOn w:val="Absatz-Standardschriftart"/>
    <w:rsid w:val="0087687F"/>
  </w:style>
  <w:style w:type="character" w:customStyle="1" w:styleId="A0">
    <w:name w:val="A0"/>
    <w:uiPriority w:val="99"/>
    <w:rsid w:val="0087687F"/>
    <w:rPr>
      <w:rFonts w:cs="Times"/>
      <w:color w:val="000000"/>
      <w:sz w:val="18"/>
      <w:szCs w:val="18"/>
    </w:rPr>
  </w:style>
  <w:style w:type="paragraph" w:customStyle="1" w:styleId="xydpa63fa9c4yiv7303835055ydpbaf6fb72yiv8453841409ydp3fb8dab1msonormal">
    <w:name w:val="x_ydpa63fa9c4yiv7303835055ydpbaf6fb72yiv8453841409ydp3fb8dab1msonormal"/>
    <w:basedOn w:val="Standard"/>
    <w:rsid w:val="0087687F"/>
    <w:pPr>
      <w:spacing w:before="100" w:beforeAutospacing="1" w:after="100" w:afterAutospacing="1"/>
    </w:pPr>
  </w:style>
  <w:style w:type="paragraph" w:customStyle="1" w:styleId="Saptanm">
    <w:name w:val="Saptanmış"/>
    <w:rsid w:val="00876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xydp98b0ef9amsonormal">
    <w:name w:val="x_ydp98b0ef9amsonormal"/>
    <w:basedOn w:val="Standard"/>
    <w:rsid w:val="0087687F"/>
    <w:pPr>
      <w:spacing w:before="100" w:beforeAutospacing="1" w:after="100" w:afterAutospacing="1"/>
    </w:pPr>
  </w:style>
  <w:style w:type="character" w:customStyle="1" w:styleId="xydp98b0ef9amsohyperlink">
    <w:name w:val="x_ydp98b0ef9amsohyperlink"/>
    <w:basedOn w:val="Absatz-Standardschriftart"/>
    <w:rsid w:val="0087687F"/>
  </w:style>
  <w:style w:type="character" w:customStyle="1" w:styleId="user-generated">
    <w:name w:val="user-generated"/>
    <w:basedOn w:val="Absatz-Standardschriftart"/>
    <w:rsid w:val="0087687F"/>
  </w:style>
  <w:style w:type="character" w:customStyle="1" w:styleId="zmlenmeyenBahsetme3">
    <w:name w:val="Çözümlenmeyen Bahsetme3"/>
    <w:basedOn w:val="Absatz-Standardschriftart"/>
    <w:uiPriority w:val="99"/>
    <w:semiHidden/>
    <w:unhideWhenUsed/>
    <w:rsid w:val="0087687F"/>
    <w:rPr>
      <w:color w:val="808080"/>
      <w:shd w:val="clear" w:color="auto" w:fill="E6E6E6"/>
    </w:rPr>
  </w:style>
  <w:style w:type="paragraph" w:customStyle="1" w:styleId="xydpfcd73491msonormal">
    <w:name w:val="x_ydpfcd73491msonormal"/>
    <w:basedOn w:val="Standard"/>
    <w:rsid w:val="0087687F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Absatz-Standardschriftart"/>
    <w:uiPriority w:val="99"/>
    <w:rsid w:val="0087687F"/>
    <w:rPr>
      <w:rFonts w:ascii="Courier New" w:eastAsia="Times New Roman" w:hAnsi="Courier New" w:cs="Courier New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E20"/>
    <w:rPr>
      <w:color w:val="605E5C"/>
      <w:shd w:val="clear" w:color="auto" w:fill="E1DFDD"/>
    </w:rPr>
  </w:style>
  <w:style w:type="paragraph" w:customStyle="1" w:styleId="Normal1">
    <w:name w:val="Normal1"/>
    <w:rsid w:val="00E6620A"/>
    <w:rPr>
      <w:rFonts w:ascii="Times New Roman" w:eastAsia="Times New Roman" w:hAnsi="Times New Roman" w:cs="Times New Roman"/>
      <w:lang w:eastAsia="tr-TR"/>
    </w:rPr>
  </w:style>
  <w:style w:type="paragraph" w:styleId="Kopfzeile">
    <w:name w:val="header"/>
    <w:basedOn w:val="Standard"/>
    <w:link w:val="KopfzeileZchn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EA8"/>
    <w:rPr>
      <w:rFonts w:ascii="Times New Roman" w:eastAsia="Times New Roman" w:hAnsi="Times New Roman" w:cs="Times New Roman"/>
      <w:lang w:eastAsia="tr-TR"/>
    </w:rPr>
  </w:style>
  <w:style w:type="paragraph" w:styleId="Fuzeile">
    <w:name w:val="footer"/>
    <w:basedOn w:val="Standard"/>
    <w:link w:val="FuzeileZchn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EA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16357</Characters>
  <Application>Microsoft Office Word</Application>
  <DocSecurity>0</DocSecurity>
  <Lines>310</Lines>
  <Paragraphs>137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Obekli</dc:creator>
  <cp:keywords/>
  <dc:description/>
  <cp:lastModifiedBy>Mehmet Sarioglu</cp:lastModifiedBy>
  <cp:revision>5</cp:revision>
  <dcterms:created xsi:type="dcterms:W3CDTF">2021-11-20T19:56:00Z</dcterms:created>
  <dcterms:modified xsi:type="dcterms:W3CDTF">2021-11-22T01:11:00Z</dcterms:modified>
</cp:coreProperties>
</file>